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FC35F" w14:textId="6D9B4C43" w:rsidR="0006569A" w:rsidRDefault="005510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0A9">
        <w:rPr>
          <w:rFonts w:ascii="Times New Roman" w:hAnsi="Times New Roman" w:cs="Times New Roman"/>
          <w:b/>
          <w:bCs/>
          <w:sz w:val="24"/>
          <w:szCs w:val="24"/>
        </w:rPr>
        <w:t xml:space="preserve">Table 3. </w:t>
      </w:r>
      <w:r w:rsidR="00871D7C">
        <w:rPr>
          <w:rFonts w:ascii="Times New Roman" w:hAnsi="Times New Roman" w:cs="Times New Roman"/>
          <w:b/>
          <w:bCs/>
          <w:sz w:val="24"/>
          <w:szCs w:val="24"/>
        </w:rPr>
        <w:t xml:space="preserve">Differentially expressed miRNAs </w:t>
      </w:r>
      <w:r w:rsidR="00871D7C" w:rsidRPr="00871D7C">
        <w:rPr>
          <w:rFonts w:ascii="Times New Roman" w:hAnsi="Times New Roman" w:cs="Times New Roman"/>
          <w:b/>
          <w:bCs/>
          <w:sz w:val="24"/>
          <w:szCs w:val="24"/>
        </w:rPr>
        <w:t>along with their differentially expressed target mRNAs after iodide treatment in WT mice (WTI/WTC)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5510A9" w14:paraId="0F25B31E" w14:textId="77777777" w:rsidTr="005510A9">
        <w:tc>
          <w:tcPr>
            <w:tcW w:w="1885" w:type="dxa"/>
          </w:tcPr>
          <w:p w14:paraId="46A26FB3" w14:textId="6A7ED773" w:rsidR="005510A9" w:rsidRDefault="005510A9" w:rsidP="0055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miRNA </w:t>
            </w:r>
          </w:p>
        </w:tc>
        <w:tc>
          <w:tcPr>
            <w:tcW w:w="7465" w:type="dxa"/>
          </w:tcPr>
          <w:p w14:paraId="60A40376" w14:textId="3AEC8B27" w:rsidR="005510A9" w:rsidRDefault="005510A9" w:rsidP="0055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target genes</w:t>
            </w:r>
          </w:p>
        </w:tc>
      </w:tr>
      <w:tr w:rsidR="005510A9" w14:paraId="7B12E6A6" w14:textId="77777777" w:rsidTr="005510A9">
        <w:tc>
          <w:tcPr>
            <w:tcW w:w="1885" w:type="dxa"/>
          </w:tcPr>
          <w:p w14:paraId="345532EE" w14:textId="679459BD" w:rsidR="005510A9" w:rsidRDefault="005510A9" w:rsidP="0055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miR-195a-5p</w:t>
            </w:r>
          </w:p>
        </w:tc>
        <w:tc>
          <w:tcPr>
            <w:tcW w:w="7465" w:type="dxa"/>
          </w:tcPr>
          <w:p w14:paraId="438FB4AB" w14:textId="06EA3CA0" w:rsidR="005510A9" w:rsidRPr="005510A9" w:rsidRDefault="005510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1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Flt3, </w:t>
            </w:r>
            <w:proofErr w:type="spellStart"/>
            <w:r w:rsidRPr="00551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Arhgdia</w:t>
            </w:r>
            <w:proofErr w:type="spellEnd"/>
            <w:r w:rsidRPr="00551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Tmem43, Ucp2, Mapk3, </w:t>
            </w:r>
            <w:proofErr w:type="spellStart"/>
            <w:r w:rsidRPr="00551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Zyx</w:t>
            </w:r>
            <w:proofErr w:type="spellEnd"/>
            <w:r w:rsidRPr="00551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Atg9a, Serpine2, Kif23, Lypla2, Cdk6</w:t>
            </w:r>
          </w:p>
        </w:tc>
      </w:tr>
      <w:tr w:rsidR="005510A9" w14:paraId="734FD8AA" w14:textId="77777777" w:rsidTr="005510A9">
        <w:tc>
          <w:tcPr>
            <w:tcW w:w="1885" w:type="dxa"/>
          </w:tcPr>
          <w:p w14:paraId="1F27690A" w14:textId="31D7B384" w:rsidR="005510A9" w:rsidRDefault="005510A9" w:rsidP="0055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miR-204-5p</w:t>
            </w:r>
          </w:p>
        </w:tc>
        <w:tc>
          <w:tcPr>
            <w:tcW w:w="7465" w:type="dxa"/>
          </w:tcPr>
          <w:p w14:paraId="45F56C7D" w14:textId="107929BB" w:rsidR="005510A9" w:rsidRDefault="0055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Erf, Arpc1b, Itgb4, Cdh11</w:t>
            </w:r>
          </w:p>
        </w:tc>
      </w:tr>
      <w:tr w:rsidR="005510A9" w14:paraId="307C35CC" w14:textId="77777777" w:rsidTr="005510A9">
        <w:tc>
          <w:tcPr>
            <w:tcW w:w="1885" w:type="dxa"/>
          </w:tcPr>
          <w:p w14:paraId="5937E91E" w14:textId="097E71FF" w:rsidR="005510A9" w:rsidRDefault="005510A9" w:rsidP="0055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miR-218-5p</w:t>
            </w:r>
          </w:p>
        </w:tc>
        <w:tc>
          <w:tcPr>
            <w:tcW w:w="7465" w:type="dxa"/>
          </w:tcPr>
          <w:p w14:paraId="50F70B60" w14:textId="1EE0E24E" w:rsidR="005510A9" w:rsidRDefault="0087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Col1a1, Lamb3</w:t>
            </w:r>
          </w:p>
        </w:tc>
      </w:tr>
      <w:tr w:rsidR="00871D7C" w14:paraId="4299BEA3" w14:textId="77777777" w:rsidTr="005510A9">
        <w:tc>
          <w:tcPr>
            <w:tcW w:w="1885" w:type="dxa"/>
          </w:tcPr>
          <w:p w14:paraId="4ED46C48" w14:textId="473BDD84" w:rsidR="00871D7C" w:rsidRPr="005510A9" w:rsidRDefault="00871D7C" w:rsidP="005510A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miR-135a-5p</w:t>
            </w:r>
          </w:p>
        </w:tc>
        <w:tc>
          <w:tcPr>
            <w:tcW w:w="7465" w:type="dxa"/>
          </w:tcPr>
          <w:p w14:paraId="464AE757" w14:textId="6484A66E" w:rsidR="00871D7C" w:rsidRPr="00871D7C" w:rsidRDefault="00871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Alox5ap</w:t>
            </w:r>
          </w:p>
        </w:tc>
      </w:tr>
      <w:tr w:rsidR="00871D7C" w14:paraId="56091720" w14:textId="77777777" w:rsidTr="005510A9">
        <w:tc>
          <w:tcPr>
            <w:tcW w:w="1885" w:type="dxa"/>
          </w:tcPr>
          <w:p w14:paraId="01E56830" w14:textId="3CC982AB" w:rsidR="00871D7C" w:rsidRDefault="00871D7C" w:rsidP="00871D7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71D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miR-351-5p</w:t>
            </w:r>
          </w:p>
        </w:tc>
        <w:tc>
          <w:tcPr>
            <w:tcW w:w="7465" w:type="dxa"/>
          </w:tcPr>
          <w:p w14:paraId="58DA9EC0" w14:textId="7A42B837" w:rsidR="00871D7C" w:rsidRDefault="00871D7C" w:rsidP="00871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D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Acss1, Igfbp3</w:t>
            </w:r>
          </w:p>
        </w:tc>
      </w:tr>
      <w:tr w:rsidR="00871D7C" w14:paraId="15E16B26" w14:textId="77777777" w:rsidTr="005510A9">
        <w:tc>
          <w:tcPr>
            <w:tcW w:w="1885" w:type="dxa"/>
          </w:tcPr>
          <w:p w14:paraId="35FE1410" w14:textId="4E2190D3" w:rsidR="00871D7C" w:rsidRPr="00871D7C" w:rsidRDefault="00871D7C" w:rsidP="00871D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miR-128-3p</w:t>
            </w:r>
          </w:p>
        </w:tc>
        <w:tc>
          <w:tcPr>
            <w:tcW w:w="7465" w:type="dxa"/>
          </w:tcPr>
          <w:p w14:paraId="6F54738A" w14:textId="2A0154DF" w:rsidR="00871D7C" w:rsidRPr="00871D7C" w:rsidRDefault="00871D7C" w:rsidP="00871D7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Dbi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Ntrk3, Snap25</w:t>
            </w:r>
          </w:p>
        </w:tc>
      </w:tr>
    </w:tbl>
    <w:p w14:paraId="0E8699D0" w14:textId="61F85C95" w:rsidR="005510A9" w:rsidRPr="005510A9" w:rsidRDefault="00871D7C" w:rsidP="0087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Blue and red font indicate downregulation and upregulation respectively. </w:t>
      </w:r>
      <w:r>
        <w:rPr>
          <w:rFonts w:ascii="Times New Roman" w:hAnsi="Times New Roman" w:cs="Times New Roman"/>
          <w:sz w:val="24"/>
          <w:szCs w:val="24"/>
        </w:rPr>
        <w:t>Herein, only interactions of high confidence are depicted (they have been experimentally observed in the bibliography curated by IPA)</w:t>
      </w:r>
      <w:r w:rsidR="00BF27FA">
        <w:rPr>
          <w:rFonts w:ascii="Times New Roman" w:hAnsi="Times New Roman" w:cs="Times New Roman"/>
          <w:sz w:val="24"/>
          <w:szCs w:val="24"/>
        </w:rPr>
        <w:t xml:space="preserve">. </w:t>
      </w:r>
      <w:r w:rsidR="00BF27FA">
        <w:rPr>
          <w:rFonts w:ascii="Times New Roman" w:hAnsi="Times New Roman" w:cs="Times New Roman"/>
          <w:sz w:val="24"/>
          <w:szCs w:val="24"/>
        </w:rPr>
        <w:t>The differentially expressed miRNAs were paired with the differentially expressed mRNAs from the same samples following the rule of opposite regulation; increased miRNA after treatment matched with decreased mRNA target and decreased miRNA matched with increased mRNA target.</w:t>
      </w:r>
      <w:r w:rsidR="00BF27FA" w:rsidRPr="00BF27FA">
        <w:rPr>
          <w:rFonts w:ascii="Times New Roman" w:hAnsi="Times New Roman" w:cs="Times New Roman"/>
          <w:sz w:val="24"/>
          <w:szCs w:val="24"/>
        </w:rPr>
        <w:t xml:space="preserve"> </w:t>
      </w:r>
      <w:r w:rsidR="00BF27FA">
        <w:rPr>
          <w:rFonts w:ascii="Times New Roman" w:hAnsi="Times New Roman" w:cs="Times New Roman"/>
          <w:sz w:val="24"/>
          <w:szCs w:val="24"/>
        </w:rPr>
        <w:t xml:space="preserve">microRNA target filter analysis </w:t>
      </w:r>
      <w:r w:rsidR="00BF27FA">
        <w:rPr>
          <w:rFonts w:ascii="Times New Roman" w:hAnsi="Times New Roman" w:cs="Times New Roman"/>
          <w:sz w:val="24"/>
          <w:szCs w:val="24"/>
        </w:rPr>
        <w:t xml:space="preserve">was used in IPA. </w:t>
      </w:r>
      <w:r w:rsidR="00BF27FA" w:rsidRPr="00BF27FA">
        <w:rPr>
          <w:rFonts w:ascii="Times New Roman" w:hAnsi="Times New Roman" w:cs="Times New Roman"/>
          <w:b/>
          <w:bCs/>
          <w:sz w:val="24"/>
          <w:szCs w:val="24"/>
        </w:rPr>
        <w:t>Table S6</w:t>
      </w:r>
      <w:r w:rsidR="00BF27FA">
        <w:rPr>
          <w:rFonts w:ascii="Times New Roman" w:hAnsi="Times New Roman" w:cs="Times New Roman"/>
          <w:sz w:val="24"/>
          <w:szCs w:val="24"/>
        </w:rPr>
        <w:t xml:space="preserve"> includes all miRNA-mRNA pairs.</w:t>
      </w:r>
    </w:p>
    <w:sectPr w:rsidR="005510A9" w:rsidRPr="0055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9A"/>
    <w:rsid w:val="0006569A"/>
    <w:rsid w:val="005510A9"/>
    <w:rsid w:val="00871D7C"/>
    <w:rsid w:val="00B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CDDF"/>
  <w15:chartTrackingRefBased/>
  <w15:docId w15:val="{7C1CC457-76A2-453B-AE7C-892F3F9C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Dionysios Chartoumpekis</dc:creator>
  <cp:keywords/>
  <dc:description/>
  <cp:lastModifiedBy>Dionysios Chartoumpekis</cp:lastModifiedBy>
  <cp:revision>2</cp:revision>
  <dcterms:created xsi:type="dcterms:W3CDTF">2020-07-30T20:38:00Z</dcterms:created>
  <dcterms:modified xsi:type="dcterms:W3CDTF">2020-07-31T02:50:00Z</dcterms:modified>
</cp:coreProperties>
</file>