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52894" w14:textId="77777777" w:rsidR="00EB6DDB" w:rsidRDefault="0022331B">
      <w:pPr>
        <w:spacing w:line="360" w:lineRule="auto"/>
        <w:jc w:val="center"/>
        <w:rPr>
          <w:rFonts w:ascii="Arial" w:eastAsia="Arial" w:hAnsi="Arial" w:cs="Arial"/>
          <w:b/>
          <w:sz w:val="18"/>
          <w:szCs w:val="18"/>
        </w:rPr>
      </w:pPr>
      <w:r>
        <w:rPr>
          <w:rFonts w:ascii="Arial" w:eastAsia="Arial" w:hAnsi="Arial" w:cs="Arial"/>
          <w:noProof/>
          <w:sz w:val="18"/>
          <w:szCs w:val="18"/>
        </w:rPr>
        <w:drawing>
          <wp:inline distT="0" distB="0" distL="0" distR="0" wp14:anchorId="1FF2F160" wp14:editId="4622A3E0">
            <wp:extent cx="4583328" cy="350833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83328" cy="3508333"/>
                    </a:xfrm>
                    <a:prstGeom prst="rect">
                      <a:avLst/>
                    </a:prstGeom>
                    <a:ln/>
                  </pic:spPr>
                </pic:pic>
              </a:graphicData>
            </a:graphic>
          </wp:inline>
        </w:drawing>
      </w:r>
    </w:p>
    <w:p w14:paraId="2252B8BE" w14:textId="77777777" w:rsidR="00EB6DDB" w:rsidRDefault="0022331B">
      <w:pPr>
        <w:spacing w:line="360" w:lineRule="auto"/>
        <w:jc w:val="both"/>
        <w:rPr>
          <w:rFonts w:ascii="Arial" w:eastAsia="Arial" w:hAnsi="Arial" w:cs="Arial"/>
          <w:sz w:val="18"/>
          <w:szCs w:val="18"/>
        </w:rPr>
      </w:pPr>
      <w:r>
        <w:rPr>
          <w:rFonts w:ascii="Arial" w:eastAsia="Arial" w:hAnsi="Arial" w:cs="Arial"/>
          <w:b/>
          <w:sz w:val="18"/>
          <w:szCs w:val="18"/>
        </w:rPr>
        <w:t xml:space="preserve">Figure S1: Sorting of induced OP9 cells with a separation cutoff of 24 µm. </w:t>
      </w:r>
      <w:r>
        <w:rPr>
          <w:rFonts w:ascii="Arial" w:eastAsia="Arial" w:hAnsi="Arial" w:cs="Arial"/>
          <w:sz w:val="18"/>
          <w:szCs w:val="18"/>
        </w:rPr>
        <w:t xml:space="preserve">Quantification of cell diameter distributions in each outlet (“small cells” fraction, violet; “large cells” fraction, yellow) after sorting of induced-OP9 cells by means of the </w:t>
      </w:r>
      <w:proofErr w:type="spellStart"/>
      <w:r>
        <w:rPr>
          <w:rFonts w:ascii="Arial" w:eastAsia="Arial" w:hAnsi="Arial" w:cs="Arial"/>
          <w:sz w:val="18"/>
          <w:szCs w:val="18"/>
        </w:rPr>
        <w:t>MarrowCellDLD</w:t>
      </w:r>
      <w:proofErr w:type="spellEnd"/>
      <w:r>
        <w:rPr>
          <w:rFonts w:ascii="Arial" w:eastAsia="Arial" w:hAnsi="Arial" w:cs="Arial"/>
          <w:sz w:val="18"/>
          <w:szCs w:val="18"/>
        </w:rPr>
        <w:t xml:space="preserve"> system with a 24 µm separation cutoff (24 µm critical size). The </w:t>
      </w:r>
      <w:r>
        <w:rPr>
          <w:rFonts w:ascii="Arial" w:eastAsia="Arial" w:hAnsi="Arial" w:cs="Arial"/>
          <w:sz w:val="18"/>
          <w:szCs w:val="18"/>
        </w:rPr>
        <w:t>quantification was based on phase contrast microscopy measurements of cells collected at the outlets and replated for imaging after sorting. Cell diameter measurements were performed using QuPath0.3.2 software. The cell diameter distributions were displaye</w:t>
      </w:r>
      <w:r>
        <w:rPr>
          <w:rFonts w:ascii="Arial" w:eastAsia="Arial" w:hAnsi="Arial" w:cs="Arial"/>
          <w:sz w:val="18"/>
          <w:szCs w:val="18"/>
        </w:rPr>
        <w:t xml:space="preserve">d as relative frequencies over 150 cells per sample group from n=2 sorting experiments. The same protocol for purity quantification and empirical characterization of the critical size was performed for </w:t>
      </w:r>
      <w:proofErr w:type="spellStart"/>
      <w:r>
        <w:rPr>
          <w:rFonts w:ascii="Arial" w:eastAsia="Arial" w:hAnsi="Arial" w:cs="Arial"/>
          <w:sz w:val="18"/>
          <w:szCs w:val="18"/>
        </w:rPr>
        <w:t>MarrowCellDLD</w:t>
      </w:r>
      <w:proofErr w:type="spellEnd"/>
      <w:r>
        <w:rPr>
          <w:rFonts w:ascii="Arial" w:eastAsia="Arial" w:hAnsi="Arial" w:cs="Arial"/>
          <w:sz w:val="18"/>
          <w:szCs w:val="18"/>
        </w:rPr>
        <w:t xml:space="preserve"> devices with a separation cutoff of 19 µ</w:t>
      </w:r>
      <w:r>
        <w:rPr>
          <w:rFonts w:ascii="Arial" w:eastAsia="Arial" w:hAnsi="Arial" w:cs="Arial"/>
          <w:sz w:val="18"/>
          <w:szCs w:val="18"/>
        </w:rPr>
        <w:t xml:space="preserve">m as displayed in Figure 3C in the main text. </w:t>
      </w:r>
      <w:proofErr w:type="spellStart"/>
      <w:r>
        <w:rPr>
          <w:rFonts w:ascii="Arial" w:eastAsia="Arial" w:hAnsi="Arial" w:cs="Arial"/>
          <w:color w:val="1155CC"/>
          <w:sz w:val="18"/>
          <w:szCs w:val="18"/>
        </w:rPr>
        <w:t>MarrowCellDLD</w:t>
      </w:r>
      <w:proofErr w:type="spellEnd"/>
      <w:r>
        <w:rPr>
          <w:rFonts w:ascii="Arial" w:eastAsia="Arial" w:hAnsi="Arial" w:cs="Arial"/>
          <w:color w:val="1155CC"/>
          <w:sz w:val="18"/>
          <w:szCs w:val="18"/>
        </w:rPr>
        <w:t xml:space="preserve"> </w:t>
      </w:r>
      <w:proofErr w:type="spellStart"/>
      <w:r>
        <w:rPr>
          <w:rFonts w:ascii="Arial" w:eastAsia="Arial" w:hAnsi="Arial" w:cs="Arial"/>
          <w:color w:val="1155CC"/>
          <w:sz w:val="18"/>
          <w:szCs w:val="18"/>
        </w:rPr>
        <w:t>sortings</w:t>
      </w:r>
      <w:proofErr w:type="spellEnd"/>
      <w:r>
        <w:rPr>
          <w:rFonts w:ascii="Arial" w:eastAsia="Arial" w:hAnsi="Arial" w:cs="Arial"/>
          <w:color w:val="1155CC"/>
          <w:sz w:val="18"/>
          <w:szCs w:val="18"/>
        </w:rPr>
        <w:t xml:space="preserve"> were performed with a 24 µm separation cutoff and applied pressure of 20 mbar. </w:t>
      </w:r>
    </w:p>
    <w:p w14:paraId="5A8617FB" w14:textId="7A0ED4EE" w:rsidR="00EB6DDB" w:rsidRDefault="00EB6DDB">
      <w:pPr>
        <w:spacing w:line="360" w:lineRule="auto"/>
        <w:jc w:val="both"/>
        <w:rPr>
          <w:rFonts w:ascii="Arial" w:eastAsia="Arial" w:hAnsi="Arial" w:cs="Arial"/>
          <w:b/>
          <w:sz w:val="18"/>
          <w:szCs w:val="18"/>
        </w:rPr>
      </w:pPr>
    </w:p>
    <w:p w14:paraId="260BAED1" w14:textId="77777777" w:rsidR="0022331B" w:rsidRDefault="0022331B">
      <w:pPr>
        <w:spacing w:line="360" w:lineRule="auto"/>
        <w:jc w:val="both"/>
        <w:rPr>
          <w:rFonts w:ascii="Arial" w:eastAsia="Arial" w:hAnsi="Arial" w:cs="Arial"/>
          <w:b/>
          <w:sz w:val="18"/>
          <w:szCs w:val="18"/>
        </w:rPr>
      </w:pPr>
    </w:p>
    <w:p w14:paraId="6552D28C" w14:textId="77777777" w:rsidR="00EB6DDB" w:rsidRDefault="00EB6DDB">
      <w:pPr>
        <w:spacing w:line="360" w:lineRule="auto"/>
        <w:jc w:val="both"/>
        <w:rPr>
          <w:rFonts w:ascii="Arial" w:eastAsia="Arial" w:hAnsi="Arial" w:cs="Arial"/>
          <w:b/>
          <w:sz w:val="18"/>
          <w:szCs w:val="18"/>
        </w:rPr>
      </w:pPr>
    </w:p>
    <w:p w14:paraId="356420F2" w14:textId="77777777" w:rsidR="00EB6DDB" w:rsidRDefault="0022331B">
      <w:pPr>
        <w:spacing w:after="240" w:line="240" w:lineRule="auto"/>
        <w:jc w:val="center"/>
        <w:rPr>
          <w:rFonts w:ascii="Times New Roman" w:eastAsia="Times New Roman" w:hAnsi="Times New Roman" w:cs="Times New Roman"/>
          <w:sz w:val="24"/>
          <w:szCs w:val="24"/>
        </w:rPr>
      </w:pPr>
      <w:r>
        <w:rPr>
          <w:noProof/>
          <w:color w:val="000000"/>
        </w:rPr>
        <w:lastRenderedPageBreak/>
        <w:drawing>
          <wp:inline distT="0" distB="0" distL="0" distR="0" wp14:anchorId="39F5A476" wp14:editId="1FB325C6">
            <wp:extent cx="4324350" cy="244792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324350" cy="2447925"/>
                    </a:xfrm>
                    <a:prstGeom prst="rect">
                      <a:avLst/>
                    </a:prstGeom>
                    <a:ln/>
                  </pic:spPr>
                </pic:pic>
              </a:graphicData>
            </a:graphic>
          </wp:inline>
        </w:drawing>
      </w:r>
    </w:p>
    <w:p w14:paraId="5D50C6D1" w14:textId="77777777" w:rsidR="00EB6DDB" w:rsidRDefault="0022331B">
      <w:pPr>
        <w:spacing w:line="360" w:lineRule="auto"/>
        <w:jc w:val="both"/>
        <w:rPr>
          <w:rFonts w:ascii="Arial" w:eastAsia="Arial" w:hAnsi="Arial" w:cs="Arial"/>
          <w:b/>
          <w:color w:val="4472C4"/>
          <w:sz w:val="18"/>
          <w:szCs w:val="18"/>
        </w:rPr>
      </w:pPr>
      <w:r w:rsidRPr="0022331B">
        <w:rPr>
          <w:rFonts w:ascii="Arial" w:eastAsia="Arial" w:hAnsi="Arial" w:cs="Arial"/>
          <w:b/>
          <w:color w:val="4472C4"/>
          <w:sz w:val="18"/>
          <w:szCs w:val="18"/>
        </w:rPr>
        <w:t xml:space="preserve">Figure S2: </w:t>
      </w:r>
      <w:proofErr w:type="spellStart"/>
      <w:r>
        <w:rPr>
          <w:rFonts w:ascii="Arial" w:eastAsia="Arial" w:hAnsi="Arial" w:cs="Arial"/>
          <w:b/>
          <w:color w:val="4472C4"/>
          <w:sz w:val="18"/>
          <w:szCs w:val="18"/>
        </w:rPr>
        <w:t>LipidTOX</w:t>
      </w:r>
      <w:proofErr w:type="spellEnd"/>
      <w:r>
        <w:rPr>
          <w:rFonts w:ascii="Arial" w:eastAsia="Arial" w:hAnsi="Arial" w:cs="Arial"/>
          <w:b/>
          <w:color w:val="4472C4"/>
          <w:sz w:val="18"/>
          <w:szCs w:val="18"/>
        </w:rPr>
        <w:t xml:space="preserve"> positivity rates over the two </w:t>
      </w:r>
      <w:proofErr w:type="spellStart"/>
      <w:r>
        <w:rPr>
          <w:rFonts w:ascii="Arial" w:eastAsia="Arial" w:hAnsi="Arial" w:cs="Arial"/>
          <w:b/>
          <w:color w:val="4472C4"/>
          <w:sz w:val="18"/>
          <w:szCs w:val="18"/>
        </w:rPr>
        <w:t>MarrowCellDLD</w:t>
      </w:r>
      <w:proofErr w:type="spellEnd"/>
      <w:r>
        <w:rPr>
          <w:rFonts w:ascii="Arial" w:eastAsia="Arial" w:hAnsi="Arial" w:cs="Arial"/>
          <w:b/>
          <w:color w:val="4472C4"/>
          <w:sz w:val="18"/>
          <w:szCs w:val="18"/>
        </w:rPr>
        <w:t>-sorted fractions of induced OP9 cells w</w:t>
      </w:r>
      <w:r>
        <w:rPr>
          <w:rFonts w:ascii="Arial" w:eastAsia="Arial" w:hAnsi="Arial" w:cs="Arial"/>
          <w:b/>
          <w:color w:val="4472C4"/>
          <w:sz w:val="18"/>
          <w:szCs w:val="18"/>
        </w:rPr>
        <w:t xml:space="preserve">ith a separation cutoff of 19 µm. </w:t>
      </w:r>
      <w:proofErr w:type="spellStart"/>
      <w:r>
        <w:rPr>
          <w:rFonts w:ascii="Arial" w:eastAsia="Arial" w:hAnsi="Arial" w:cs="Arial"/>
          <w:color w:val="4472C4"/>
          <w:sz w:val="18"/>
          <w:szCs w:val="18"/>
        </w:rPr>
        <w:t>Imagestream</w:t>
      </w:r>
      <w:proofErr w:type="spellEnd"/>
      <w:r>
        <w:rPr>
          <w:rFonts w:ascii="Arial" w:eastAsia="Arial" w:hAnsi="Arial" w:cs="Arial"/>
          <w:color w:val="4472C4"/>
          <w:sz w:val="18"/>
          <w:szCs w:val="18"/>
        </w:rPr>
        <w:t xml:space="preserve"> data depicting </w:t>
      </w:r>
      <w:proofErr w:type="spellStart"/>
      <w:r>
        <w:rPr>
          <w:rFonts w:ascii="Arial" w:eastAsia="Arial" w:hAnsi="Arial" w:cs="Arial"/>
          <w:color w:val="4472C4"/>
          <w:sz w:val="18"/>
          <w:szCs w:val="18"/>
        </w:rPr>
        <w:t>LipidTOX</w:t>
      </w:r>
      <w:proofErr w:type="spellEnd"/>
      <w:r>
        <w:rPr>
          <w:rFonts w:ascii="Arial" w:eastAsia="Arial" w:hAnsi="Arial" w:cs="Arial"/>
          <w:color w:val="4472C4"/>
          <w:sz w:val="18"/>
          <w:szCs w:val="18"/>
        </w:rPr>
        <w:t xml:space="preserve"> gating of both “small cells” fraction (left) and “large cells” fraction (right) after sorting of induced-OP9 cells by means of the </w:t>
      </w:r>
      <w:proofErr w:type="spellStart"/>
      <w:r>
        <w:rPr>
          <w:rFonts w:ascii="Arial" w:eastAsia="Arial" w:hAnsi="Arial" w:cs="Arial"/>
          <w:color w:val="4472C4"/>
          <w:sz w:val="18"/>
          <w:szCs w:val="18"/>
        </w:rPr>
        <w:t>MarrowCellDLD</w:t>
      </w:r>
      <w:proofErr w:type="spellEnd"/>
      <w:r>
        <w:rPr>
          <w:rFonts w:ascii="Arial" w:eastAsia="Arial" w:hAnsi="Arial" w:cs="Arial"/>
          <w:color w:val="4472C4"/>
          <w:sz w:val="18"/>
          <w:szCs w:val="18"/>
        </w:rPr>
        <w:t xml:space="preserve"> system with a 19 µm separation cutoff. Fi</w:t>
      </w:r>
      <w:r>
        <w:rPr>
          <w:rFonts w:ascii="Arial" w:eastAsia="Arial" w:hAnsi="Arial" w:cs="Arial"/>
          <w:color w:val="4472C4"/>
          <w:sz w:val="18"/>
          <w:szCs w:val="18"/>
        </w:rPr>
        <w:t xml:space="preserve">rst, both populations were gated to select single and viable (DAPI-negative). Subsequently, </w:t>
      </w:r>
      <w:proofErr w:type="spellStart"/>
      <w:r>
        <w:rPr>
          <w:rFonts w:ascii="Arial" w:eastAsia="Arial" w:hAnsi="Arial" w:cs="Arial"/>
          <w:color w:val="4472C4"/>
          <w:sz w:val="18"/>
          <w:szCs w:val="18"/>
        </w:rPr>
        <w:t>LipidTOX</w:t>
      </w:r>
      <w:proofErr w:type="spellEnd"/>
      <w:r>
        <w:rPr>
          <w:rFonts w:ascii="Arial" w:eastAsia="Arial" w:hAnsi="Arial" w:cs="Arial"/>
          <w:color w:val="4472C4"/>
          <w:sz w:val="18"/>
          <w:szCs w:val="18"/>
        </w:rPr>
        <w:t xml:space="preserve"> intensity vs. BF area is plotted to select </w:t>
      </w:r>
      <w:proofErr w:type="spellStart"/>
      <w:r>
        <w:rPr>
          <w:rFonts w:ascii="Arial" w:eastAsia="Arial" w:hAnsi="Arial" w:cs="Arial"/>
          <w:color w:val="4472C4"/>
          <w:sz w:val="18"/>
          <w:szCs w:val="18"/>
        </w:rPr>
        <w:t>LipidTOX</w:t>
      </w:r>
      <w:proofErr w:type="spellEnd"/>
      <w:r>
        <w:rPr>
          <w:rFonts w:ascii="Arial" w:eastAsia="Arial" w:hAnsi="Arial" w:cs="Arial"/>
          <w:color w:val="4472C4"/>
          <w:sz w:val="18"/>
          <w:szCs w:val="18"/>
        </w:rPr>
        <w:t xml:space="preserve">-positive cells. With this approach, we quantify the percentage of </w:t>
      </w:r>
      <w:proofErr w:type="spellStart"/>
      <w:r>
        <w:rPr>
          <w:rFonts w:ascii="Arial" w:eastAsia="Arial" w:hAnsi="Arial" w:cs="Arial"/>
          <w:color w:val="4472C4"/>
          <w:sz w:val="18"/>
          <w:szCs w:val="18"/>
        </w:rPr>
        <w:t>LipidTOX</w:t>
      </w:r>
      <w:proofErr w:type="spellEnd"/>
      <w:r>
        <w:rPr>
          <w:rFonts w:ascii="Arial" w:eastAsia="Arial" w:hAnsi="Arial" w:cs="Arial"/>
          <w:color w:val="4472C4"/>
          <w:sz w:val="18"/>
          <w:szCs w:val="18"/>
        </w:rPr>
        <w:t>-positive cells within each f</w:t>
      </w:r>
      <w:r>
        <w:rPr>
          <w:rFonts w:ascii="Arial" w:eastAsia="Arial" w:hAnsi="Arial" w:cs="Arial"/>
          <w:color w:val="4472C4"/>
          <w:sz w:val="18"/>
          <w:szCs w:val="18"/>
        </w:rPr>
        <w:t xml:space="preserve">raction. </w:t>
      </w:r>
      <w:proofErr w:type="spellStart"/>
      <w:r>
        <w:rPr>
          <w:rFonts w:ascii="Arial" w:eastAsia="Arial" w:hAnsi="Arial" w:cs="Arial"/>
          <w:color w:val="1155CC"/>
          <w:sz w:val="18"/>
          <w:szCs w:val="18"/>
        </w:rPr>
        <w:t>MarrowCellDLD</w:t>
      </w:r>
      <w:proofErr w:type="spellEnd"/>
      <w:r>
        <w:rPr>
          <w:rFonts w:ascii="Arial" w:eastAsia="Arial" w:hAnsi="Arial" w:cs="Arial"/>
          <w:color w:val="1155CC"/>
          <w:sz w:val="18"/>
          <w:szCs w:val="18"/>
        </w:rPr>
        <w:t xml:space="preserve"> </w:t>
      </w:r>
      <w:proofErr w:type="spellStart"/>
      <w:r>
        <w:rPr>
          <w:rFonts w:ascii="Arial" w:eastAsia="Arial" w:hAnsi="Arial" w:cs="Arial"/>
          <w:color w:val="1155CC"/>
          <w:sz w:val="18"/>
          <w:szCs w:val="18"/>
        </w:rPr>
        <w:t>sortings</w:t>
      </w:r>
      <w:proofErr w:type="spellEnd"/>
      <w:r>
        <w:rPr>
          <w:rFonts w:ascii="Arial" w:eastAsia="Arial" w:hAnsi="Arial" w:cs="Arial"/>
          <w:color w:val="1155CC"/>
          <w:sz w:val="18"/>
          <w:szCs w:val="18"/>
        </w:rPr>
        <w:t xml:space="preserve"> were performed with a 19 µm separation cutoff and applied pressure of 20 mbar. </w:t>
      </w:r>
    </w:p>
    <w:p w14:paraId="7EE83722" w14:textId="77777777" w:rsidR="00EB6DDB" w:rsidRDefault="00EB6DDB">
      <w:pPr>
        <w:spacing w:line="360" w:lineRule="auto"/>
        <w:rPr>
          <w:rFonts w:ascii="Arial" w:eastAsia="Arial" w:hAnsi="Arial" w:cs="Arial"/>
          <w:b/>
          <w:sz w:val="18"/>
          <w:szCs w:val="18"/>
        </w:rPr>
      </w:pPr>
    </w:p>
    <w:p w14:paraId="2D98132E" w14:textId="77777777" w:rsidR="00EB6DDB" w:rsidRDefault="0022331B">
      <w:pPr>
        <w:spacing w:before="240" w:line="360" w:lineRule="auto"/>
        <w:jc w:val="center"/>
        <w:rPr>
          <w:rFonts w:ascii="Arial" w:eastAsia="Arial" w:hAnsi="Arial" w:cs="Arial"/>
          <w:u w:val="single"/>
        </w:rPr>
      </w:pPr>
      <w:r>
        <w:rPr>
          <w:rFonts w:ascii="Arial" w:eastAsia="Arial" w:hAnsi="Arial" w:cs="Arial"/>
          <w:noProof/>
        </w:rPr>
        <w:lastRenderedPageBreak/>
        <w:drawing>
          <wp:inline distT="0" distB="0" distL="0" distR="0" wp14:anchorId="36BCEDC7" wp14:editId="08FAC4C3">
            <wp:extent cx="3604727" cy="5166318"/>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604727" cy="5166318"/>
                    </a:xfrm>
                    <a:prstGeom prst="rect">
                      <a:avLst/>
                    </a:prstGeom>
                    <a:ln/>
                  </pic:spPr>
                </pic:pic>
              </a:graphicData>
            </a:graphic>
          </wp:inline>
        </w:drawing>
      </w:r>
    </w:p>
    <w:p w14:paraId="3E24A10E" w14:textId="77777777" w:rsidR="00EB6DDB" w:rsidRDefault="0022331B">
      <w:pPr>
        <w:spacing w:before="240" w:line="360" w:lineRule="auto"/>
        <w:jc w:val="both"/>
        <w:rPr>
          <w:rFonts w:ascii="Arial" w:eastAsia="Arial" w:hAnsi="Arial" w:cs="Arial"/>
          <w:sz w:val="18"/>
          <w:szCs w:val="18"/>
          <w:u w:val="single"/>
        </w:rPr>
      </w:pPr>
      <w:r>
        <w:rPr>
          <w:rFonts w:ascii="Arial" w:eastAsia="Arial" w:hAnsi="Arial" w:cs="Arial"/>
          <w:b/>
          <w:sz w:val="18"/>
          <w:szCs w:val="18"/>
        </w:rPr>
        <w:t>Figure S</w:t>
      </w:r>
      <w:r>
        <w:rPr>
          <w:rFonts w:ascii="Arial" w:eastAsia="Arial" w:hAnsi="Arial" w:cs="Arial"/>
          <w:b/>
          <w:color w:val="1155CC"/>
          <w:sz w:val="18"/>
          <w:szCs w:val="18"/>
        </w:rPr>
        <w:t>3</w:t>
      </w:r>
      <w:r>
        <w:rPr>
          <w:rFonts w:ascii="Arial" w:eastAsia="Arial" w:hAnsi="Arial" w:cs="Arial"/>
          <w:b/>
          <w:sz w:val="18"/>
          <w:szCs w:val="18"/>
        </w:rPr>
        <w:t>: Induced OP9 cell phenotype visualization post-DLD cell sorting.</w:t>
      </w:r>
      <w:r>
        <w:rPr>
          <w:rFonts w:ascii="Arial" w:eastAsia="Arial" w:hAnsi="Arial" w:cs="Arial"/>
          <w:sz w:val="18"/>
          <w:szCs w:val="18"/>
        </w:rPr>
        <w:t xml:space="preserve"> Phase contrast (left) and fluorescent (BODIPY, right) images of induced OP9 post-sorting plating. (A-D)</w:t>
      </w:r>
      <w:r>
        <w:rPr>
          <w:rFonts w:ascii="Arial" w:eastAsia="Arial" w:hAnsi="Arial" w:cs="Arial"/>
          <w:b/>
          <w:sz w:val="18"/>
          <w:szCs w:val="18"/>
        </w:rPr>
        <w:t xml:space="preserve"> </w:t>
      </w:r>
      <w:r>
        <w:rPr>
          <w:rFonts w:ascii="Arial" w:eastAsia="Arial" w:hAnsi="Arial" w:cs="Arial"/>
          <w:sz w:val="18"/>
          <w:szCs w:val="18"/>
        </w:rPr>
        <w:t>Cells at day 6 post-differentiation and DLD post-sorting (stirred unsorted remaining in the inlet [A], cells from the small cells fraction [B], and the</w:t>
      </w:r>
      <w:r>
        <w:rPr>
          <w:rFonts w:ascii="Arial" w:eastAsia="Arial" w:hAnsi="Arial" w:cs="Arial"/>
          <w:sz w:val="18"/>
          <w:szCs w:val="18"/>
        </w:rPr>
        <w:t xml:space="preserve"> large cells fraction [C-D]) were plated and stained with BODIPY for lipid content visualization (scale = 100µm). </w:t>
      </w:r>
      <w:proofErr w:type="spellStart"/>
      <w:r>
        <w:rPr>
          <w:rFonts w:ascii="Arial" w:eastAsia="Arial" w:hAnsi="Arial" w:cs="Arial"/>
          <w:color w:val="1155CC"/>
          <w:sz w:val="18"/>
          <w:szCs w:val="18"/>
        </w:rPr>
        <w:t>MarrowCellDLD</w:t>
      </w:r>
      <w:proofErr w:type="spellEnd"/>
      <w:r>
        <w:rPr>
          <w:rFonts w:ascii="Arial" w:eastAsia="Arial" w:hAnsi="Arial" w:cs="Arial"/>
          <w:color w:val="1155CC"/>
          <w:sz w:val="18"/>
          <w:szCs w:val="18"/>
        </w:rPr>
        <w:t xml:space="preserve"> </w:t>
      </w:r>
      <w:proofErr w:type="spellStart"/>
      <w:r>
        <w:rPr>
          <w:rFonts w:ascii="Arial" w:eastAsia="Arial" w:hAnsi="Arial" w:cs="Arial"/>
          <w:color w:val="1155CC"/>
          <w:sz w:val="18"/>
          <w:szCs w:val="18"/>
        </w:rPr>
        <w:t>sortings</w:t>
      </w:r>
      <w:proofErr w:type="spellEnd"/>
      <w:r>
        <w:rPr>
          <w:rFonts w:ascii="Arial" w:eastAsia="Arial" w:hAnsi="Arial" w:cs="Arial"/>
          <w:color w:val="1155CC"/>
          <w:sz w:val="18"/>
          <w:szCs w:val="18"/>
        </w:rPr>
        <w:t xml:space="preserve"> were performed with a 19 µm separation cutoff and applied pressure of 20 mbar. </w:t>
      </w:r>
    </w:p>
    <w:p w14:paraId="1E436BA8" w14:textId="77777777" w:rsidR="00EB6DDB" w:rsidRDefault="0022331B">
      <w:pPr>
        <w:spacing w:line="360" w:lineRule="auto"/>
        <w:jc w:val="center"/>
      </w:pPr>
      <w:r>
        <w:rPr>
          <w:rFonts w:ascii="Arial" w:eastAsia="Arial" w:hAnsi="Arial" w:cs="Arial"/>
          <w:b/>
          <w:noProof/>
          <w:sz w:val="18"/>
          <w:szCs w:val="18"/>
        </w:rPr>
        <w:lastRenderedPageBreak/>
        <w:drawing>
          <wp:inline distT="0" distB="0" distL="0" distR="0" wp14:anchorId="175B1BAC" wp14:editId="1D415D1E">
            <wp:extent cx="4137413" cy="6745154"/>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137413" cy="6745154"/>
                    </a:xfrm>
                    <a:prstGeom prst="rect">
                      <a:avLst/>
                    </a:prstGeom>
                    <a:ln/>
                  </pic:spPr>
                </pic:pic>
              </a:graphicData>
            </a:graphic>
          </wp:inline>
        </w:drawing>
      </w:r>
    </w:p>
    <w:p w14:paraId="1B85D025" w14:textId="77777777" w:rsidR="00EB6DDB" w:rsidRDefault="0022331B">
      <w:pPr>
        <w:spacing w:line="360" w:lineRule="auto"/>
        <w:jc w:val="both"/>
        <w:rPr>
          <w:rFonts w:ascii="Arial" w:eastAsia="Arial" w:hAnsi="Arial" w:cs="Arial"/>
          <w:sz w:val="18"/>
          <w:szCs w:val="18"/>
        </w:rPr>
      </w:pPr>
      <w:r>
        <w:rPr>
          <w:rFonts w:ascii="Arial" w:eastAsia="Arial" w:hAnsi="Arial" w:cs="Arial"/>
          <w:b/>
          <w:sz w:val="18"/>
          <w:szCs w:val="18"/>
        </w:rPr>
        <w:t>Figure S</w:t>
      </w:r>
      <w:r>
        <w:rPr>
          <w:rFonts w:ascii="Arial" w:eastAsia="Arial" w:hAnsi="Arial" w:cs="Arial"/>
          <w:b/>
          <w:color w:val="1155CC"/>
          <w:sz w:val="18"/>
          <w:szCs w:val="18"/>
        </w:rPr>
        <w:t>4</w:t>
      </w:r>
      <w:r>
        <w:rPr>
          <w:rFonts w:ascii="Arial" w:eastAsia="Arial" w:hAnsi="Arial" w:cs="Arial"/>
          <w:b/>
          <w:sz w:val="18"/>
          <w:szCs w:val="18"/>
        </w:rPr>
        <w:t>: FACS gating strategies for</w:t>
      </w:r>
      <w:r>
        <w:rPr>
          <w:rFonts w:ascii="Arial" w:eastAsia="Arial" w:hAnsi="Arial" w:cs="Arial"/>
          <w:b/>
          <w:sz w:val="18"/>
          <w:szCs w:val="18"/>
        </w:rPr>
        <w:t xml:space="preserve"> </w:t>
      </w:r>
      <w:proofErr w:type="spellStart"/>
      <w:r>
        <w:rPr>
          <w:rFonts w:ascii="Arial" w:eastAsia="Arial" w:hAnsi="Arial" w:cs="Arial"/>
          <w:b/>
          <w:sz w:val="18"/>
          <w:szCs w:val="18"/>
        </w:rPr>
        <w:t>LipidTOX</w:t>
      </w:r>
      <w:proofErr w:type="spellEnd"/>
      <w:r>
        <w:rPr>
          <w:rFonts w:ascii="Arial" w:eastAsia="Arial" w:hAnsi="Arial" w:cs="Arial"/>
          <w:b/>
          <w:sz w:val="18"/>
          <w:szCs w:val="18"/>
        </w:rPr>
        <w:t xml:space="preserve">-based sorting of a sample of induced OP9 cells and gating approach for </w:t>
      </w:r>
      <w:proofErr w:type="spellStart"/>
      <w:r>
        <w:rPr>
          <w:rFonts w:ascii="Arial" w:eastAsia="Arial" w:hAnsi="Arial" w:cs="Arial"/>
          <w:b/>
          <w:sz w:val="18"/>
          <w:szCs w:val="18"/>
        </w:rPr>
        <w:t>ImageStream</w:t>
      </w:r>
      <w:proofErr w:type="spellEnd"/>
      <w:r>
        <w:rPr>
          <w:rFonts w:ascii="Arial" w:eastAsia="Arial" w:hAnsi="Arial" w:cs="Arial"/>
          <w:b/>
          <w:sz w:val="18"/>
          <w:szCs w:val="18"/>
        </w:rPr>
        <w:t xml:space="preserve"> flow cytometry imaging. (A)</w:t>
      </w:r>
      <w:r>
        <w:rPr>
          <w:rFonts w:ascii="Arial" w:eastAsia="Arial" w:hAnsi="Arial" w:cs="Arial"/>
          <w:sz w:val="18"/>
          <w:szCs w:val="18"/>
        </w:rPr>
        <w:t xml:space="preserve"> FACS sorting using BD </w:t>
      </w:r>
      <w:proofErr w:type="spellStart"/>
      <w:r>
        <w:rPr>
          <w:rFonts w:ascii="Arial" w:eastAsia="Arial" w:hAnsi="Arial" w:cs="Arial"/>
          <w:sz w:val="18"/>
          <w:szCs w:val="18"/>
        </w:rPr>
        <w:t>FACSAria</w:t>
      </w:r>
      <w:proofErr w:type="spellEnd"/>
      <w:r>
        <w:rPr>
          <w:rFonts w:ascii="Arial" w:eastAsia="Arial" w:hAnsi="Arial" w:cs="Arial"/>
          <w:sz w:val="18"/>
          <w:szCs w:val="18"/>
        </w:rPr>
        <w:t xml:space="preserve"> Cell Sorter. Three subsequent gating steps are performed to isolate singles namely plotting FSC-A vs. SS</w:t>
      </w:r>
      <w:r>
        <w:rPr>
          <w:rFonts w:ascii="Arial" w:eastAsia="Arial" w:hAnsi="Arial" w:cs="Arial"/>
          <w:sz w:val="18"/>
          <w:szCs w:val="18"/>
        </w:rPr>
        <w:t xml:space="preserve">C-A (P1), followed by FSC-H vs. FSC-W (P2), and finally SSC-H vs. SSC-W (P3). Subsequently, we performed gating for Propidium iodide PI-negative cells (P4), to exclude non-viable cells. In the next step, </w:t>
      </w:r>
      <w:proofErr w:type="spellStart"/>
      <w:r>
        <w:rPr>
          <w:rFonts w:ascii="Arial" w:eastAsia="Arial" w:hAnsi="Arial" w:cs="Arial"/>
          <w:sz w:val="18"/>
          <w:szCs w:val="18"/>
        </w:rPr>
        <w:t>LipidTOX</w:t>
      </w:r>
      <w:proofErr w:type="spellEnd"/>
      <w:r>
        <w:rPr>
          <w:rFonts w:ascii="Arial" w:eastAsia="Arial" w:hAnsi="Arial" w:cs="Arial"/>
          <w:sz w:val="18"/>
          <w:szCs w:val="18"/>
        </w:rPr>
        <w:t xml:space="preserve"> fluorescence of the viable singlets is eval</w:t>
      </w:r>
      <w:r>
        <w:rPr>
          <w:rFonts w:ascii="Arial" w:eastAsia="Arial" w:hAnsi="Arial" w:cs="Arial"/>
          <w:sz w:val="18"/>
          <w:szCs w:val="18"/>
        </w:rPr>
        <w:t xml:space="preserve">uated on a histogram: three non-contiguous subpopulations were then sorted based on </w:t>
      </w:r>
      <w:proofErr w:type="spellStart"/>
      <w:r>
        <w:rPr>
          <w:rFonts w:ascii="Arial" w:eastAsia="Arial" w:hAnsi="Arial" w:cs="Arial"/>
          <w:sz w:val="18"/>
          <w:szCs w:val="18"/>
        </w:rPr>
        <w:t>LipidTOX</w:t>
      </w:r>
      <w:proofErr w:type="spellEnd"/>
      <w:r>
        <w:rPr>
          <w:rFonts w:ascii="Arial" w:eastAsia="Arial" w:hAnsi="Arial" w:cs="Arial"/>
          <w:sz w:val="18"/>
          <w:szCs w:val="18"/>
        </w:rPr>
        <w:t xml:space="preserve"> intensity (here named ‘P7’, ‘int’, and ‘P5’). These three fractions were collected after FACS sorting and analyzed by </w:t>
      </w:r>
      <w:proofErr w:type="spellStart"/>
      <w:r>
        <w:rPr>
          <w:rFonts w:ascii="Arial" w:eastAsia="Arial" w:hAnsi="Arial" w:cs="Arial"/>
          <w:sz w:val="18"/>
          <w:szCs w:val="18"/>
        </w:rPr>
        <w:t>Imagestream</w:t>
      </w:r>
      <w:proofErr w:type="spellEnd"/>
      <w:r>
        <w:rPr>
          <w:rFonts w:ascii="Arial" w:eastAsia="Arial" w:hAnsi="Arial" w:cs="Arial"/>
          <w:sz w:val="18"/>
          <w:szCs w:val="18"/>
        </w:rPr>
        <w:t>, as displayed in Figure 5.A in th</w:t>
      </w:r>
      <w:r>
        <w:rPr>
          <w:rFonts w:ascii="Arial" w:eastAsia="Arial" w:hAnsi="Arial" w:cs="Arial"/>
          <w:sz w:val="18"/>
          <w:szCs w:val="18"/>
        </w:rPr>
        <w:t xml:space="preserve">e main text. </w:t>
      </w:r>
      <w:r>
        <w:rPr>
          <w:rFonts w:ascii="Arial" w:eastAsia="Arial" w:hAnsi="Arial" w:cs="Arial"/>
          <w:b/>
          <w:sz w:val="18"/>
          <w:szCs w:val="18"/>
        </w:rPr>
        <w:t>(B)</w:t>
      </w:r>
      <w:r>
        <w:rPr>
          <w:rFonts w:ascii="Arial" w:eastAsia="Arial" w:hAnsi="Arial" w:cs="Arial"/>
          <w:sz w:val="18"/>
          <w:szCs w:val="18"/>
        </w:rPr>
        <w:t xml:space="preserve"> FACS sorting using </w:t>
      </w:r>
      <w:proofErr w:type="spellStart"/>
      <w:r>
        <w:rPr>
          <w:rFonts w:ascii="Arial" w:eastAsia="Arial" w:hAnsi="Arial" w:cs="Arial"/>
          <w:sz w:val="18"/>
          <w:szCs w:val="18"/>
        </w:rPr>
        <w:t>MoFlo</w:t>
      </w:r>
      <w:proofErr w:type="spellEnd"/>
      <w:r>
        <w:rPr>
          <w:rFonts w:ascii="Arial" w:eastAsia="Arial" w:hAnsi="Arial" w:cs="Arial"/>
          <w:sz w:val="18"/>
          <w:szCs w:val="18"/>
        </w:rPr>
        <w:t xml:space="preserve"> </w:t>
      </w:r>
      <w:proofErr w:type="spellStart"/>
      <w:r>
        <w:rPr>
          <w:rFonts w:ascii="Arial" w:eastAsia="Arial" w:hAnsi="Arial" w:cs="Arial"/>
          <w:sz w:val="18"/>
          <w:szCs w:val="18"/>
        </w:rPr>
        <w:t>Astrios</w:t>
      </w:r>
      <w:proofErr w:type="spellEnd"/>
      <w:r>
        <w:rPr>
          <w:rFonts w:ascii="Arial" w:eastAsia="Arial" w:hAnsi="Arial" w:cs="Arial"/>
          <w:sz w:val="18"/>
          <w:szCs w:val="18"/>
        </w:rPr>
        <w:t xml:space="preserve"> Cell Sorter. In the first step, the GFP-positive cells are selected (R9). The OP9-GFP line, which constitutively expresses GFP in the cytoplasm (REF), was used for these experiments to facilitate the exclus</w:t>
      </w:r>
      <w:r>
        <w:rPr>
          <w:rFonts w:ascii="Arial" w:eastAsia="Arial" w:hAnsi="Arial" w:cs="Arial"/>
          <w:sz w:val="18"/>
          <w:szCs w:val="18"/>
        </w:rPr>
        <w:t xml:space="preserve">ion of debris and non-viable cells through </w:t>
      </w:r>
      <w:r>
        <w:rPr>
          <w:rFonts w:ascii="Arial" w:eastAsia="Arial" w:hAnsi="Arial" w:cs="Arial"/>
          <w:sz w:val="18"/>
          <w:szCs w:val="18"/>
        </w:rPr>
        <w:lastRenderedPageBreak/>
        <w:t xml:space="preserve">GFP+DAPI- gating (R2). We then performed singlet gating to exclude cell aggregates based on FSC-A vs. FSC-H (R6). Subsequently, </w:t>
      </w:r>
      <w:proofErr w:type="spellStart"/>
      <w:r>
        <w:rPr>
          <w:rFonts w:ascii="Arial" w:eastAsia="Arial" w:hAnsi="Arial" w:cs="Arial"/>
          <w:sz w:val="18"/>
          <w:szCs w:val="18"/>
        </w:rPr>
        <w:t>LipidTOX</w:t>
      </w:r>
      <w:proofErr w:type="spellEnd"/>
      <w:r>
        <w:rPr>
          <w:rFonts w:ascii="Arial" w:eastAsia="Arial" w:hAnsi="Arial" w:cs="Arial"/>
          <w:sz w:val="18"/>
          <w:szCs w:val="18"/>
        </w:rPr>
        <w:t xml:space="preserve"> fluorescence of the viable singlets was evaluated on a histogram: three subp</w:t>
      </w:r>
      <w:r>
        <w:rPr>
          <w:rFonts w:ascii="Arial" w:eastAsia="Arial" w:hAnsi="Arial" w:cs="Arial"/>
          <w:sz w:val="18"/>
          <w:szCs w:val="18"/>
        </w:rPr>
        <w:t xml:space="preserve">opulations are identified based on </w:t>
      </w:r>
      <w:proofErr w:type="spellStart"/>
      <w:r>
        <w:rPr>
          <w:rFonts w:ascii="Arial" w:eastAsia="Arial" w:hAnsi="Arial" w:cs="Arial"/>
          <w:sz w:val="18"/>
          <w:szCs w:val="18"/>
        </w:rPr>
        <w:t>LipidTOX</w:t>
      </w:r>
      <w:proofErr w:type="spellEnd"/>
      <w:r>
        <w:rPr>
          <w:rFonts w:ascii="Arial" w:eastAsia="Arial" w:hAnsi="Arial" w:cs="Arial"/>
          <w:sz w:val="18"/>
          <w:szCs w:val="18"/>
        </w:rPr>
        <w:t xml:space="preserve"> intensity (here named ‘low, ‘int’, and ‘high’). In a final gating step, we restricted the sorted </w:t>
      </w:r>
      <w:proofErr w:type="spellStart"/>
      <w:r>
        <w:rPr>
          <w:rFonts w:ascii="Arial" w:eastAsia="Arial" w:hAnsi="Arial" w:cs="Arial"/>
          <w:sz w:val="18"/>
          <w:szCs w:val="18"/>
        </w:rPr>
        <w:t>Lipidox</w:t>
      </w:r>
      <w:proofErr w:type="spellEnd"/>
      <w:r>
        <w:rPr>
          <w:rFonts w:ascii="Arial" w:eastAsia="Arial" w:hAnsi="Arial" w:cs="Arial"/>
          <w:sz w:val="18"/>
          <w:szCs w:val="18"/>
        </w:rPr>
        <w:t xml:space="preserve"> low population to the lower FSC/SSC region (R8). To further refine the populations to the most representati</w:t>
      </w:r>
      <w:r>
        <w:rPr>
          <w:rFonts w:ascii="Arial" w:eastAsia="Arial" w:hAnsi="Arial" w:cs="Arial"/>
          <w:sz w:val="18"/>
          <w:szCs w:val="18"/>
        </w:rPr>
        <w:t xml:space="preserve">ve stages of adipocytic differentiation, the </w:t>
      </w:r>
      <w:proofErr w:type="spellStart"/>
      <w:r>
        <w:rPr>
          <w:rFonts w:ascii="Arial" w:eastAsia="Arial" w:hAnsi="Arial" w:cs="Arial"/>
          <w:sz w:val="18"/>
          <w:szCs w:val="18"/>
        </w:rPr>
        <w:t>Lipidox</w:t>
      </w:r>
      <w:proofErr w:type="spellEnd"/>
      <w:r>
        <w:rPr>
          <w:rFonts w:ascii="Arial" w:eastAsia="Arial" w:hAnsi="Arial" w:cs="Arial"/>
          <w:sz w:val="18"/>
          <w:szCs w:val="18"/>
        </w:rPr>
        <w:t xml:space="preserve"> high population was further restricted to the highest FSC/SSC region (R5), and the </w:t>
      </w:r>
      <w:proofErr w:type="spellStart"/>
      <w:r>
        <w:rPr>
          <w:rFonts w:ascii="Arial" w:eastAsia="Arial" w:hAnsi="Arial" w:cs="Arial"/>
          <w:sz w:val="18"/>
          <w:szCs w:val="18"/>
        </w:rPr>
        <w:t>Lipidox</w:t>
      </w:r>
      <w:proofErr w:type="spellEnd"/>
      <w:r>
        <w:rPr>
          <w:rFonts w:ascii="Arial" w:eastAsia="Arial" w:hAnsi="Arial" w:cs="Arial"/>
          <w:sz w:val="18"/>
          <w:szCs w:val="18"/>
        </w:rPr>
        <w:t xml:space="preserve"> intermediate population was selected to be in-between the other two based on their FSC/SSC profile. The obtained</w:t>
      </w:r>
      <w:r>
        <w:rPr>
          <w:rFonts w:ascii="Arial" w:eastAsia="Arial" w:hAnsi="Arial" w:cs="Arial"/>
          <w:sz w:val="18"/>
          <w:szCs w:val="18"/>
        </w:rPr>
        <w:t xml:space="preserve"> three fractions (namely “Low-</w:t>
      </w:r>
      <w:proofErr w:type="spellStart"/>
      <w:r>
        <w:rPr>
          <w:rFonts w:ascii="Arial" w:eastAsia="Arial" w:hAnsi="Arial" w:cs="Arial"/>
          <w:sz w:val="18"/>
          <w:szCs w:val="18"/>
        </w:rPr>
        <w:t>LipidTOX</w:t>
      </w:r>
      <w:proofErr w:type="spellEnd"/>
      <w:r>
        <w:rPr>
          <w:rFonts w:ascii="Arial" w:eastAsia="Arial" w:hAnsi="Arial" w:cs="Arial"/>
          <w:sz w:val="18"/>
          <w:szCs w:val="18"/>
        </w:rPr>
        <w:t xml:space="preserve">”, “Medium </w:t>
      </w:r>
      <w:proofErr w:type="spellStart"/>
      <w:r>
        <w:rPr>
          <w:rFonts w:ascii="Arial" w:eastAsia="Arial" w:hAnsi="Arial" w:cs="Arial"/>
          <w:sz w:val="18"/>
          <w:szCs w:val="18"/>
        </w:rPr>
        <w:t>LipidTOX</w:t>
      </w:r>
      <w:proofErr w:type="spellEnd"/>
      <w:r>
        <w:rPr>
          <w:rFonts w:ascii="Arial" w:eastAsia="Arial" w:hAnsi="Arial" w:cs="Arial"/>
          <w:sz w:val="18"/>
          <w:szCs w:val="18"/>
        </w:rPr>
        <w:t xml:space="preserve">”, and “High </w:t>
      </w:r>
      <w:proofErr w:type="spellStart"/>
      <w:r>
        <w:rPr>
          <w:rFonts w:ascii="Arial" w:eastAsia="Arial" w:hAnsi="Arial" w:cs="Arial"/>
          <w:sz w:val="18"/>
          <w:szCs w:val="18"/>
        </w:rPr>
        <w:t>LipidTOX</w:t>
      </w:r>
      <w:proofErr w:type="spellEnd"/>
      <w:r>
        <w:rPr>
          <w:rFonts w:ascii="Arial" w:eastAsia="Arial" w:hAnsi="Arial" w:cs="Arial"/>
          <w:sz w:val="18"/>
          <w:szCs w:val="18"/>
        </w:rPr>
        <w:t xml:space="preserve">” factions) have been collected after </w:t>
      </w:r>
      <w:proofErr w:type="spellStart"/>
      <w:r>
        <w:rPr>
          <w:rFonts w:ascii="Arial" w:eastAsia="Arial" w:hAnsi="Arial" w:cs="Arial"/>
          <w:sz w:val="18"/>
          <w:szCs w:val="18"/>
        </w:rPr>
        <w:t>MoFlo</w:t>
      </w:r>
      <w:proofErr w:type="spellEnd"/>
      <w:r>
        <w:rPr>
          <w:rFonts w:ascii="Arial" w:eastAsia="Arial" w:hAnsi="Arial" w:cs="Arial"/>
          <w:sz w:val="18"/>
          <w:szCs w:val="18"/>
        </w:rPr>
        <w:t xml:space="preserve"> </w:t>
      </w:r>
      <w:proofErr w:type="spellStart"/>
      <w:r>
        <w:rPr>
          <w:rFonts w:ascii="Arial" w:eastAsia="Arial" w:hAnsi="Arial" w:cs="Arial"/>
          <w:sz w:val="18"/>
          <w:szCs w:val="18"/>
        </w:rPr>
        <w:t>Astrios</w:t>
      </w:r>
      <w:proofErr w:type="spellEnd"/>
      <w:r>
        <w:rPr>
          <w:rFonts w:ascii="Arial" w:eastAsia="Arial" w:hAnsi="Arial" w:cs="Arial"/>
          <w:sz w:val="18"/>
          <w:szCs w:val="18"/>
        </w:rPr>
        <w:t xml:space="preserve"> FACS sorting and analyzed by </w:t>
      </w:r>
      <w:proofErr w:type="spellStart"/>
      <w:r>
        <w:rPr>
          <w:rFonts w:ascii="Arial" w:eastAsia="Arial" w:hAnsi="Arial" w:cs="Arial"/>
          <w:sz w:val="18"/>
          <w:szCs w:val="18"/>
        </w:rPr>
        <w:t>Imagestream</w:t>
      </w:r>
      <w:proofErr w:type="spellEnd"/>
      <w:r>
        <w:rPr>
          <w:rFonts w:ascii="Arial" w:eastAsia="Arial" w:hAnsi="Arial" w:cs="Arial"/>
          <w:sz w:val="18"/>
          <w:szCs w:val="18"/>
        </w:rPr>
        <w:t xml:space="preserve">, as displayed in Figure 5.C in the main text. </w:t>
      </w:r>
      <w:r>
        <w:rPr>
          <w:rFonts w:ascii="Arial" w:eastAsia="Arial" w:hAnsi="Arial" w:cs="Arial"/>
          <w:b/>
          <w:sz w:val="18"/>
          <w:szCs w:val="18"/>
        </w:rPr>
        <w:t xml:space="preserve">(C) </w:t>
      </w:r>
      <w:proofErr w:type="spellStart"/>
      <w:r>
        <w:rPr>
          <w:rFonts w:ascii="Arial" w:eastAsia="Arial" w:hAnsi="Arial" w:cs="Arial"/>
          <w:sz w:val="18"/>
          <w:szCs w:val="18"/>
        </w:rPr>
        <w:t>ImageStream</w:t>
      </w:r>
      <w:proofErr w:type="spellEnd"/>
      <w:r>
        <w:rPr>
          <w:rFonts w:ascii="Arial" w:eastAsia="Arial" w:hAnsi="Arial" w:cs="Arial"/>
          <w:sz w:val="18"/>
          <w:szCs w:val="18"/>
        </w:rPr>
        <w:t xml:space="preserve"> gating approach to sele</w:t>
      </w:r>
      <w:r>
        <w:rPr>
          <w:rFonts w:ascii="Arial" w:eastAsia="Arial" w:hAnsi="Arial" w:cs="Arial"/>
          <w:sz w:val="18"/>
          <w:szCs w:val="18"/>
        </w:rPr>
        <w:t xml:space="preserve">ct single viable cells from FACS-sorted or </w:t>
      </w:r>
      <w:proofErr w:type="spellStart"/>
      <w:r>
        <w:rPr>
          <w:rFonts w:ascii="Arial" w:eastAsia="Arial" w:hAnsi="Arial" w:cs="Arial"/>
          <w:sz w:val="18"/>
          <w:szCs w:val="18"/>
        </w:rPr>
        <w:t>MarrowCellDLD</w:t>
      </w:r>
      <w:proofErr w:type="spellEnd"/>
      <w:r>
        <w:rPr>
          <w:rFonts w:ascii="Arial" w:eastAsia="Arial" w:hAnsi="Arial" w:cs="Arial"/>
          <w:sz w:val="18"/>
          <w:szCs w:val="18"/>
        </w:rPr>
        <w:t xml:space="preserve">-sorted samples. Here a “Large cells” fraction collected after </w:t>
      </w:r>
      <w:proofErr w:type="spellStart"/>
      <w:r>
        <w:rPr>
          <w:rFonts w:ascii="Arial" w:eastAsia="Arial" w:hAnsi="Arial" w:cs="Arial"/>
          <w:sz w:val="18"/>
          <w:szCs w:val="18"/>
        </w:rPr>
        <w:t>MarrowCellDLD</w:t>
      </w:r>
      <w:proofErr w:type="spellEnd"/>
      <w:r>
        <w:rPr>
          <w:rFonts w:ascii="Arial" w:eastAsia="Arial" w:hAnsi="Arial" w:cs="Arial"/>
          <w:sz w:val="18"/>
          <w:szCs w:val="18"/>
        </w:rPr>
        <w:t xml:space="preserve"> sorting of OP9-induced samples is shown to illustrate the strategy. First, singlets were selected by plotting the brightfie</w:t>
      </w:r>
      <w:r>
        <w:rPr>
          <w:rFonts w:ascii="Arial" w:eastAsia="Arial" w:hAnsi="Arial" w:cs="Arial"/>
          <w:sz w:val="18"/>
          <w:szCs w:val="18"/>
        </w:rPr>
        <w:t>ld (BF) area vs. the BF aspect ratio, and GFP-positive cells were selected to better exclude debris and ruptured cells. Subsequently, DAPI intensity vs. BF area is plotted to select viable (DAPI-negative) cells. With this approach, we identify single intac</w:t>
      </w:r>
      <w:r>
        <w:rPr>
          <w:rFonts w:ascii="Arial" w:eastAsia="Arial" w:hAnsi="Arial" w:cs="Arial"/>
          <w:sz w:val="18"/>
          <w:szCs w:val="18"/>
        </w:rPr>
        <w:t xml:space="preserve">t viable cells, of which we obtain the diameter size distribution. This method is applied to all the different populations characterized by </w:t>
      </w:r>
      <w:proofErr w:type="spellStart"/>
      <w:r>
        <w:rPr>
          <w:rFonts w:ascii="Arial" w:eastAsia="Arial" w:hAnsi="Arial" w:cs="Arial"/>
          <w:sz w:val="18"/>
          <w:szCs w:val="18"/>
        </w:rPr>
        <w:t>Imagestream</w:t>
      </w:r>
      <w:proofErr w:type="spellEnd"/>
      <w:r>
        <w:rPr>
          <w:rFonts w:ascii="Arial" w:eastAsia="Arial" w:hAnsi="Arial" w:cs="Arial"/>
          <w:sz w:val="18"/>
          <w:szCs w:val="18"/>
        </w:rPr>
        <w:t xml:space="preserve"> analysis for extracting the diameter size distribution, namely the data shown in Figures 5A and 5C, as w</w:t>
      </w:r>
      <w:r>
        <w:rPr>
          <w:rFonts w:ascii="Arial" w:eastAsia="Arial" w:hAnsi="Arial" w:cs="Arial"/>
          <w:sz w:val="18"/>
          <w:szCs w:val="18"/>
        </w:rPr>
        <w:t xml:space="preserve">ell as Figures 5A and 5C in the main text.  </w:t>
      </w:r>
    </w:p>
    <w:p w14:paraId="778ED32F" w14:textId="77777777" w:rsidR="00EB6DDB" w:rsidRDefault="00EB6DDB">
      <w:pPr>
        <w:spacing w:line="360" w:lineRule="auto"/>
        <w:jc w:val="both"/>
        <w:rPr>
          <w:rFonts w:ascii="Arial" w:eastAsia="Arial" w:hAnsi="Arial" w:cs="Arial"/>
          <w:sz w:val="18"/>
          <w:szCs w:val="18"/>
        </w:rPr>
      </w:pPr>
    </w:p>
    <w:p w14:paraId="3D48B7AC" w14:textId="77777777" w:rsidR="00EB6DDB" w:rsidRDefault="0022331B">
      <w:pPr>
        <w:spacing w:line="360" w:lineRule="auto"/>
        <w:jc w:val="both"/>
        <w:rPr>
          <w:rFonts w:ascii="Arial" w:eastAsia="Arial" w:hAnsi="Arial" w:cs="Arial"/>
          <w:sz w:val="18"/>
          <w:szCs w:val="18"/>
        </w:rPr>
      </w:pPr>
      <w:r>
        <w:rPr>
          <w:rFonts w:ascii="Arial" w:eastAsia="Arial" w:hAnsi="Arial" w:cs="Arial"/>
          <w:noProof/>
          <w:sz w:val="18"/>
          <w:szCs w:val="18"/>
        </w:rPr>
        <w:drawing>
          <wp:inline distT="0" distB="0" distL="0" distR="0" wp14:anchorId="6F9E143F" wp14:editId="1E7BB89D">
            <wp:extent cx="5727700" cy="24003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27700" cy="2400300"/>
                    </a:xfrm>
                    <a:prstGeom prst="rect">
                      <a:avLst/>
                    </a:prstGeom>
                    <a:ln/>
                  </pic:spPr>
                </pic:pic>
              </a:graphicData>
            </a:graphic>
          </wp:inline>
        </w:drawing>
      </w:r>
    </w:p>
    <w:p w14:paraId="29BB163B" w14:textId="77777777" w:rsidR="00EB6DDB" w:rsidRDefault="0022331B">
      <w:pPr>
        <w:spacing w:line="360" w:lineRule="auto"/>
        <w:jc w:val="both"/>
        <w:rPr>
          <w:rFonts w:ascii="Arial" w:eastAsia="Arial" w:hAnsi="Arial" w:cs="Arial"/>
          <w:b/>
          <w:sz w:val="18"/>
          <w:szCs w:val="18"/>
        </w:rPr>
      </w:pPr>
      <w:r>
        <w:rPr>
          <w:rFonts w:ascii="Arial" w:eastAsia="Arial" w:hAnsi="Arial" w:cs="Arial"/>
          <w:b/>
          <w:sz w:val="18"/>
          <w:szCs w:val="18"/>
        </w:rPr>
        <w:t>Figure S</w:t>
      </w:r>
      <w:r>
        <w:rPr>
          <w:rFonts w:ascii="Arial" w:eastAsia="Arial" w:hAnsi="Arial" w:cs="Arial"/>
          <w:b/>
          <w:color w:val="1155CC"/>
          <w:sz w:val="18"/>
          <w:szCs w:val="18"/>
        </w:rPr>
        <w:t>5</w:t>
      </w:r>
      <w:r>
        <w:rPr>
          <w:rFonts w:ascii="Arial" w:eastAsia="Arial" w:hAnsi="Arial" w:cs="Arial"/>
          <w:b/>
          <w:sz w:val="18"/>
          <w:szCs w:val="18"/>
        </w:rPr>
        <w:t xml:space="preserve">: Separation by floatation of Induced-OP9. </w:t>
      </w:r>
      <w:r>
        <w:rPr>
          <w:rFonts w:ascii="Arial" w:eastAsia="Arial" w:hAnsi="Arial" w:cs="Arial"/>
          <w:sz w:val="18"/>
          <w:szCs w:val="18"/>
        </w:rPr>
        <w:t xml:space="preserve">A sample of induced-OP9 cells was subjected to the floatation protocol described by </w:t>
      </w:r>
      <w:proofErr w:type="spellStart"/>
      <w:r>
        <w:rPr>
          <w:rFonts w:ascii="Arial" w:eastAsia="Arial" w:hAnsi="Arial" w:cs="Arial"/>
          <w:i/>
          <w:sz w:val="18"/>
          <w:szCs w:val="18"/>
        </w:rPr>
        <w:t>Attane</w:t>
      </w:r>
      <w:proofErr w:type="spellEnd"/>
      <w:r>
        <w:rPr>
          <w:rFonts w:ascii="Arial" w:eastAsia="Arial" w:hAnsi="Arial" w:cs="Arial"/>
          <w:i/>
          <w:sz w:val="18"/>
          <w:szCs w:val="18"/>
        </w:rPr>
        <w:t xml:space="preserve">’ et. al. </w:t>
      </w:r>
      <w:r>
        <w:rPr>
          <w:rFonts w:ascii="Arial" w:eastAsia="Arial" w:hAnsi="Arial" w:cs="Arial"/>
          <w:sz w:val="18"/>
          <w:szCs w:val="18"/>
        </w:rPr>
        <w:t>Three fractions were collected, namely the bottom layer (pellet), the middle supernatant layer (intermediate layer), and the top supernatant (floating layer</w:t>
      </w:r>
      <w:r>
        <w:rPr>
          <w:rFonts w:ascii="Arial" w:eastAsia="Arial" w:hAnsi="Arial" w:cs="Arial"/>
          <w:sz w:val="18"/>
          <w:szCs w:val="18"/>
        </w:rPr>
        <w:t xml:space="preserve">), subsequently analyzed by </w:t>
      </w:r>
      <w:proofErr w:type="spellStart"/>
      <w:r>
        <w:rPr>
          <w:rFonts w:ascii="Arial" w:eastAsia="Arial" w:hAnsi="Arial" w:cs="Arial"/>
          <w:sz w:val="18"/>
          <w:szCs w:val="18"/>
        </w:rPr>
        <w:t>ImageStream</w:t>
      </w:r>
      <w:proofErr w:type="spellEnd"/>
      <w:r>
        <w:rPr>
          <w:rFonts w:ascii="Arial" w:eastAsia="Arial" w:hAnsi="Arial" w:cs="Arial"/>
          <w:sz w:val="18"/>
          <w:szCs w:val="18"/>
        </w:rPr>
        <w:t xml:space="preserve"> flow cytometry imaging. Here we display frequency distributions of cell diameters for the three fractions, as well as the amount of viable (DAPI-) cells collected at each fraction. Cells in the intermediate and float</w:t>
      </w:r>
      <w:r>
        <w:rPr>
          <w:rFonts w:ascii="Arial" w:eastAsia="Arial" w:hAnsi="Arial" w:cs="Arial"/>
          <w:sz w:val="18"/>
          <w:szCs w:val="18"/>
        </w:rPr>
        <w:t xml:space="preserve">ing layers are in negligible number compared to the pellet, indicating that mature </w:t>
      </w:r>
      <w:proofErr w:type="spellStart"/>
      <w:r>
        <w:rPr>
          <w:rFonts w:ascii="Arial" w:eastAsia="Arial" w:hAnsi="Arial" w:cs="Arial"/>
          <w:sz w:val="18"/>
          <w:szCs w:val="18"/>
        </w:rPr>
        <w:t>BMAds</w:t>
      </w:r>
      <w:proofErr w:type="spellEnd"/>
      <w:r>
        <w:rPr>
          <w:rFonts w:ascii="Arial" w:eastAsia="Arial" w:hAnsi="Arial" w:cs="Arial"/>
          <w:sz w:val="18"/>
          <w:szCs w:val="18"/>
        </w:rPr>
        <w:t xml:space="preserve"> are not separated by floatation and all the different cell types in the mixture are collected in the pellet after centrifugation.  </w:t>
      </w:r>
    </w:p>
    <w:p w14:paraId="0950999F" w14:textId="77777777" w:rsidR="00EB6DDB" w:rsidRDefault="00EB6DDB">
      <w:pPr>
        <w:spacing w:line="360" w:lineRule="auto"/>
      </w:pPr>
    </w:p>
    <w:p w14:paraId="74222779" w14:textId="77777777" w:rsidR="00EB6DDB" w:rsidRDefault="00EB6DDB">
      <w:pPr>
        <w:spacing w:line="360" w:lineRule="auto"/>
      </w:pPr>
    </w:p>
    <w:p w14:paraId="5D514E6F" w14:textId="77777777" w:rsidR="00EB6DDB" w:rsidRDefault="0022331B">
      <w:pPr>
        <w:spacing w:line="360" w:lineRule="auto"/>
        <w:jc w:val="center"/>
      </w:pPr>
      <w:r>
        <w:rPr>
          <w:noProof/>
          <w:color w:val="1155CC"/>
        </w:rPr>
        <w:lastRenderedPageBreak/>
        <w:drawing>
          <wp:inline distT="0" distB="0" distL="0" distR="0" wp14:anchorId="0B661F1A" wp14:editId="67C3E788">
            <wp:extent cx="5731510" cy="427482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510" cy="4274820"/>
                    </a:xfrm>
                    <a:prstGeom prst="rect">
                      <a:avLst/>
                    </a:prstGeom>
                    <a:ln/>
                  </pic:spPr>
                </pic:pic>
              </a:graphicData>
            </a:graphic>
          </wp:inline>
        </w:drawing>
      </w:r>
    </w:p>
    <w:p w14:paraId="133ACD5F" w14:textId="77777777" w:rsidR="00EB6DDB" w:rsidRDefault="0022331B">
      <w:pPr>
        <w:spacing w:line="360" w:lineRule="auto"/>
        <w:jc w:val="both"/>
        <w:rPr>
          <w:rFonts w:ascii="Arial" w:eastAsia="Arial" w:hAnsi="Arial" w:cs="Arial"/>
          <w:color w:val="4472C4"/>
          <w:sz w:val="18"/>
          <w:szCs w:val="18"/>
          <w:highlight w:val="yellow"/>
        </w:rPr>
      </w:pPr>
      <w:r>
        <w:rPr>
          <w:rFonts w:ascii="Arial" w:eastAsia="Arial" w:hAnsi="Arial" w:cs="Arial"/>
          <w:b/>
          <w:sz w:val="18"/>
          <w:szCs w:val="18"/>
        </w:rPr>
        <w:t>Figure S</w:t>
      </w:r>
      <w:r>
        <w:rPr>
          <w:rFonts w:ascii="Arial" w:eastAsia="Arial" w:hAnsi="Arial" w:cs="Arial"/>
          <w:b/>
          <w:color w:val="1155CC"/>
          <w:sz w:val="18"/>
          <w:szCs w:val="18"/>
        </w:rPr>
        <w:t>6</w:t>
      </w:r>
      <w:r>
        <w:rPr>
          <w:rFonts w:ascii="Arial" w:eastAsia="Arial" w:hAnsi="Arial" w:cs="Arial"/>
          <w:b/>
          <w:sz w:val="18"/>
          <w:szCs w:val="18"/>
        </w:rPr>
        <w:t>: CD41+CD42b+ megakary</w:t>
      </w:r>
      <w:r>
        <w:rPr>
          <w:rFonts w:ascii="Arial" w:eastAsia="Arial" w:hAnsi="Arial" w:cs="Arial"/>
          <w:b/>
          <w:sz w:val="18"/>
          <w:szCs w:val="18"/>
        </w:rPr>
        <w:t xml:space="preserve">ocyte lineage cells are enriched in the “large cells” fraction in CD34+ </w:t>
      </w:r>
      <w:r w:rsidRPr="0022331B">
        <w:rPr>
          <w:rFonts w:ascii="Arial" w:eastAsia="Arial" w:hAnsi="Arial" w:cs="Arial"/>
          <w:b/>
          <w:sz w:val="18"/>
          <w:szCs w:val="18"/>
        </w:rPr>
        <w:t xml:space="preserve">progenitor cultures. </w:t>
      </w:r>
      <w:r w:rsidRPr="0022331B">
        <w:rPr>
          <w:rFonts w:ascii="Arial" w:eastAsia="Arial" w:hAnsi="Arial" w:cs="Arial"/>
          <w:sz w:val="18"/>
          <w:szCs w:val="18"/>
        </w:rPr>
        <w:t>CD34+ cells isolated from peripheral blood underwent a 14-day differentiation process toward megakaryocytes. The resulting cell population was subsequently labeled</w:t>
      </w:r>
      <w:r w:rsidRPr="0022331B">
        <w:rPr>
          <w:rFonts w:ascii="Arial" w:eastAsia="Arial" w:hAnsi="Arial" w:cs="Arial"/>
          <w:sz w:val="18"/>
          <w:szCs w:val="18"/>
        </w:rPr>
        <w:t xml:space="preserve"> with surface markers CD41 and CD42b. </w:t>
      </w:r>
      <w:r w:rsidRPr="0022331B">
        <w:rPr>
          <w:rFonts w:ascii="Arial" w:eastAsia="Arial" w:hAnsi="Arial" w:cs="Arial"/>
          <w:color w:val="4472C4"/>
          <w:sz w:val="18"/>
          <w:szCs w:val="18"/>
        </w:rPr>
        <w:t xml:space="preserve">The cell populations were analyzed in two separate experiments, one utilizing flow cytometry (A, B) and the other employing </w:t>
      </w:r>
      <w:proofErr w:type="spellStart"/>
      <w:r w:rsidRPr="0022331B">
        <w:rPr>
          <w:rFonts w:ascii="Arial" w:eastAsia="Arial" w:hAnsi="Arial" w:cs="Arial"/>
          <w:color w:val="4472C4"/>
          <w:sz w:val="18"/>
          <w:szCs w:val="18"/>
        </w:rPr>
        <w:t>ImageStream</w:t>
      </w:r>
      <w:proofErr w:type="spellEnd"/>
      <w:r w:rsidRPr="0022331B">
        <w:rPr>
          <w:rFonts w:ascii="Arial" w:eastAsia="Arial" w:hAnsi="Arial" w:cs="Arial"/>
          <w:color w:val="4472C4"/>
          <w:sz w:val="18"/>
          <w:szCs w:val="18"/>
        </w:rPr>
        <w:t xml:space="preserve"> analysis (C, D). </w:t>
      </w:r>
      <w:r w:rsidRPr="0022331B">
        <w:rPr>
          <w:rFonts w:ascii="Arial" w:eastAsia="Arial" w:hAnsi="Arial" w:cs="Arial"/>
          <w:sz w:val="18"/>
          <w:szCs w:val="18"/>
        </w:rPr>
        <w:t>(A) Cells were classified into two categories based on forward sc</w:t>
      </w:r>
      <w:r w:rsidRPr="0022331B">
        <w:rPr>
          <w:rFonts w:ascii="Arial" w:eastAsia="Arial" w:hAnsi="Arial" w:cs="Arial"/>
          <w:sz w:val="18"/>
          <w:szCs w:val="18"/>
        </w:rPr>
        <w:t xml:space="preserve">atter (FSC): </w:t>
      </w:r>
      <w:r w:rsidRPr="0022331B">
        <w:rPr>
          <w:rFonts w:ascii="Arial" w:eastAsia="Arial" w:hAnsi="Arial" w:cs="Arial"/>
          <w:color w:val="4472C4"/>
          <w:sz w:val="18"/>
          <w:szCs w:val="18"/>
        </w:rPr>
        <w:t xml:space="preserve">“FSC low” and “FSC high”. </w:t>
      </w:r>
      <w:r w:rsidRPr="0022331B">
        <w:rPr>
          <w:rFonts w:ascii="Arial" w:eastAsia="Arial" w:hAnsi="Arial" w:cs="Arial"/>
          <w:sz w:val="18"/>
          <w:szCs w:val="18"/>
        </w:rPr>
        <w:t>(B) The “</w:t>
      </w:r>
      <w:r w:rsidRPr="0022331B">
        <w:rPr>
          <w:rFonts w:ascii="Arial" w:eastAsia="Arial" w:hAnsi="Arial" w:cs="Arial"/>
          <w:color w:val="4472C4"/>
          <w:sz w:val="18"/>
          <w:szCs w:val="18"/>
        </w:rPr>
        <w:t>FSC high</w:t>
      </w:r>
      <w:r w:rsidRPr="0022331B">
        <w:rPr>
          <w:rFonts w:ascii="Arial" w:eastAsia="Arial" w:hAnsi="Arial" w:cs="Arial"/>
          <w:sz w:val="18"/>
          <w:szCs w:val="18"/>
        </w:rPr>
        <w:t>” fraction is enriched in CD41+CD42b+ megakaryocyte (right panel) compared with the “</w:t>
      </w:r>
      <w:r w:rsidRPr="0022331B">
        <w:rPr>
          <w:rFonts w:ascii="Arial" w:eastAsia="Arial" w:hAnsi="Arial" w:cs="Arial"/>
          <w:color w:val="4472C4"/>
          <w:sz w:val="18"/>
          <w:szCs w:val="18"/>
        </w:rPr>
        <w:t>FSC low</w:t>
      </w:r>
      <w:r w:rsidRPr="0022331B">
        <w:rPr>
          <w:rFonts w:ascii="Arial" w:eastAsia="Arial" w:hAnsi="Arial" w:cs="Arial"/>
          <w:sz w:val="18"/>
          <w:szCs w:val="18"/>
        </w:rPr>
        <w:t xml:space="preserve">” fraction (left panel). </w:t>
      </w:r>
      <w:r w:rsidRPr="0022331B">
        <w:rPr>
          <w:rFonts w:ascii="Arial" w:eastAsia="Arial" w:hAnsi="Arial" w:cs="Arial"/>
          <w:color w:val="4472C4"/>
          <w:sz w:val="18"/>
          <w:szCs w:val="18"/>
        </w:rPr>
        <w:t>(C) Cell populations were gated by their diameter size, with cells below 19 µm desi</w:t>
      </w:r>
      <w:r w:rsidRPr="0022331B">
        <w:rPr>
          <w:rFonts w:ascii="Arial" w:eastAsia="Arial" w:hAnsi="Arial" w:cs="Arial"/>
          <w:color w:val="4472C4"/>
          <w:sz w:val="18"/>
          <w:szCs w:val="18"/>
        </w:rPr>
        <w:t>gnated as "small" and those above 19 µm as "large." (D) Following CD41+CD42b+ (double-positive) gating, the "large" cell population exhibited a significant enrichment in double-positive megakaryocytes (95.6%) when contrasted with the "small" cell populatio</w:t>
      </w:r>
      <w:r w:rsidRPr="0022331B">
        <w:rPr>
          <w:rFonts w:ascii="Arial" w:eastAsia="Arial" w:hAnsi="Arial" w:cs="Arial"/>
          <w:color w:val="4472C4"/>
          <w:sz w:val="18"/>
          <w:szCs w:val="18"/>
        </w:rPr>
        <w:t>n (39.3%).</w:t>
      </w:r>
    </w:p>
    <w:p w14:paraId="51E56F35" w14:textId="77777777" w:rsidR="00EB6DDB" w:rsidRDefault="0022331B">
      <w:pPr>
        <w:spacing w:after="240" w:line="240"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61964A5C" wp14:editId="5DAF9239">
            <wp:extent cx="2742650" cy="3614738"/>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742650" cy="3614738"/>
                    </a:xfrm>
                    <a:prstGeom prst="rect">
                      <a:avLst/>
                    </a:prstGeom>
                    <a:ln/>
                  </pic:spPr>
                </pic:pic>
              </a:graphicData>
            </a:graphic>
          </wp:inline>
        </w:drawing>
      </w:r>
    </w:p>
    <w:p w14:paraId="69E818D9" w14:textId="77777777" w:rsidR="00EB6DDB" w:rsidRDefault="00EB6DDB">
      <w:pPr>
        <w:spacing w:before="240" w:after="0" w:line="360" w:lineRule="auto"/>
        <w:jc w:val="both"/>
        <w:rPr>
          <w:rFonts w:ascii="Arial" w:eastAsia="Arial" w:hAnsi="Arial" w:cs="Arial"/>
          <w:color w:val="4472C4"/>
          <w:sz w:val="18"/>
          <w:szCs w:val="18"/>
        </w:rPr>
      </w:pPr>
    </w:p>
    <w:p w14:paraId="080E1972" w14:textId="77777777" w:rsidR="00EB6DDB" w:rsidRPr="0022331B" w:rsidRDefault="0022331B">
      <w:pPr>
        <w:spacing w:before="240" w:after="0" w:line="360" w:lineRule="auto"/>
        <w:jc w:val="both"/>
        <w:rPr>
          <w:rFonts w:ascii="Arial" w:eastAsia="Arial" w:hAnsi="Arial" w:cs="Arial"/>
          <w:color w:val="4472C4"/>
          <w:sz w:val="18"/>
          <w:szCs w:val="18"/>
        </w:rPr>
      </w:pPr>
      <w:r w:rsidRPr="0022331B">
        <w:rPr>
          <w:rFonts w:ascii="Arial" w:eastAsia="Arial" w:hAnsi="Arial" w:cs="Arial"/>
          <w:b/>
          <w:color w:val="1155CC"/>
          <w:sz w:val="18"/>
          <w:szCs w:val="18"/>
        </w:rPr>
        <w:t xml:space="preserve">Figure S7: Cell viability megakaryocytic cultures subjected to the </w:t>
      </w:r>
      <w:proofErr w:type="spellStart"/>
      <w:r w:rsidRPr="0022331B">
        <w:rPr>
          <w:rFonts w:ascii="Arial" w:eastAsia="Arial" w:hAnsi="Arial" w:cs="Arial"/>
          <w:b/>
          <w:color w:val="1155CC"/>
          <w:sz w:val="18"/>
          <w:szCs w:val="18"/>
        </w:rPr>
        <w:t>MarrowCellDLD</w:t>
      </w:r>
      <w:proofErr w:type="spellEnd"/>
      <w:r w:rsidRPr="0022331B">
        <w:rPr>
          <w:rFonts w:ascii="Arial" w:eastAsia="Arial" w:hAnsi="Arial" w:cs="Arial"/>
          <w:b/>
          <w:color w:val="1155CC"/>
          <w:sz w:val="18"/>
          <w:szCs w:val="18"/>
        </w:rPr>
        <w:t xml:space="preserve"> sorting protocol. </w:t>
      </w:r>
      <w:r w:rsidRPr="0022331B">
        <w:rPr>
          <w:rFonts w:ascii="Arial" w:eastAsia="Arial" w:hAnsi="Arial" w:cs="Arial"/>
          <w:color w:val="1155CC"/>
          <w:sz w:val="18"/>
          <w:szCs w:val="18"/>
        </w:rPr>
        <w:t>(A) Cell Viability measurements: (</w:t>
      </w:r>
      <w:proofErr w:type="spellStart"/>
      <w:r w:rsidRPr="0022331B">
        <w:rPr>
          <w:rFonts w:ascii="Arial" w:eastAsia="Arial" w:hAnsi="Arial" w:cs="Arial"/>
          <w:color w:val="1155CC"/>
          <w:sz w:val="18"/>
          <w:szCs w:val="18"/>
        </w:rPr>
        <w:t>i</w:t>
      </w:r>
      <w:proofErr w:type="spellEnd"/>
      <w:r w:rsidRPr="0022331B">
        <w:rPr>
          <w:rFonts w:ascii="Arial" w:eastAsia="Arial" w:hAnsi="Arial" w:cs="Arial"/>
          <w:color w:val="1155CC"/>
          <w:sz w:val="18"/>
          <w:szCs w:val="18"/>
        </w:rPr>
        <w:t xml:space="preserve">) pre-sorting, (ii) unsorted leftover, and post-sorting on cells from (iii) “small” and (iv) “large cells” fractions. Statistical significance was evaluated by the </w:t>
      </w:r>
      <w:proofErr w:type="gramStart"/>
      <w:r w:rsidRPr="0022331B">
        <w:rPr>
          <w:rFonts w:ascii="Arial" w:eastAsia="Arial" w:hAnsi="Arial" w:cs="Arial"/>
          <w:color w:val="1155CC"/>
          <w:sz w:val="18"/>
          <w:szCs w:val="18"/>
        </w:rPr>
        <w:t>Student's</w:t>
      </w:r>
      <w:proofErr w:type="gramEnd"/>
      <w:r w:rsidRPr="0022331B">
        <w:rPr>
          <w:rFonts w:ascii="Arial" w:eastAsia="Arial" w:hAnsi="Arial" w:cs="Arial"/>
          <w:color w:val="1155CC"/>
          <w:sz w:val="18"/>
          <w:szCs w:val="18"/>
        </w:rPr>
        <w:t xml:space="preserve"> t-test for independent samples (n=3). </w:t>
      </w:r>
      <w:proofErr w:type="spellStart"/>
      <w:r w:rsidRPr="0022331B">
        <w:rPr>
          <w:rFonts w:ascii="Arial" w:eastAsia="Arial" w:hAnsi="Arial" w:cs="Arial"/>
          <w:color w:val="1155CC"/>
          <w:sz w:val="18"/>
          <w:szCs w:val="18"/>
        </w:rPr>
        <w:t>MarrowCel</w:t>
      </w:r>
      <w:r w:rsidRPr="0022331B">
        <w:rPr>
          <w:rFonts w:ascii="Arial" w:eastAsia="Arial" w:hAnsi="Arial" w:cs="Arial"/>
          <w:color w:val="1155CC"/>
          <w:sz w:val="18"/>
          <w:szCs w:val="18"/>
        </w:rPr>
        <w:t>lDLD</w:t>
      </w:r>
      <w:proofErr w:type="spellEnd"/>
      <w:r w:rsidRPr="0022331B">
        <w:rPr>
          <w:rFonts w:ascii="Arial" w:eastAsia="Arial" w:hAnsi="Arial" w:cs="Arial"/>
          <w:color w:val="1155CC"/>
          <w:sz w:val="18"/>
          <w:szCs w:val="18"/>
        </w:rPr>
        <w:t xml:space="preserve"> </w:t>
      </w:r>
      <w:proofErr w:type="spellStart"/>
      <w:r w:rsidRPr="0022331B">
        <w:rPr>
          <w:rFonts w:ascii="Arial" w:eastAsia="Arial" w:hAnsi="Arial" w:cs="Arial"/>
          <w:color w:val="1155CC"/>
          <w:sz w:val="18"/>
          <w:szCs w:val="18"/>
        </w:rPr>
        <w:t>sortings</w:t>
      </w:r>
      <w:proofErr w:type="spellEnd"/>
      <w:r w:rsidRPr="0022331B">
        <w:rPr>
          <w:rFonts w:ascii="Arial" w:eastAsia="Arial" w:hAnsi="Arial" w:cs="Arial"/>
          <w:color w:val="1155CC"/>
          <w:sz w:val="18"/>
          <w:szCs w:val="18"/>
        </w:rPr>
        <w:t xml:space="preserve"> were performed with a 19 µm separation cutoff and applied pressure of 20 mbar. </w:t>
      </w:r>
    </w:p>
    <w:sectPr w:rsidR="00EB6DDB" w:rsidRPr="0022331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DDB"/>
    <w:rsid w:val="0022331B"/>
    <w:rsid w:val="00EB6DDB"/>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993491"/>
  <w15:docId w15:val="{8001A819-F319-4FBC-9600-155F6486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46A1A"/>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2Ub3bUJYW61OTBoksiCg+EU0zQ==">CgMxLjA4AHIhMXUtTkhoUko5WW5NUHRNX0ItSGJLWHgxWVNSdzcxNk8t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1105</Words>
  <Characters>6381</Characters>
  <Application>Microsoft Office Word</Application>
  <DocSecurity>0</DocSecurity>
  <Lines>83</Lines>
  <Paragraphs>8</Paragraphs>
  <ScaleCrop>false</ScaleCrop>
  <Company>EPFL - Ecole Polytechnique Federale de Lausanne</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Porro Gloria</dc:creator>
  <cp:lastModifiedBy>Gloria Porro</cp:lastModifiedBy>
  <cp:revision>2</cp:revision>
  <dcterms:created xsi:type="dcterms:W3CDTF">2023-08-11T14:03:00Z</dcterms:created>
  <dcterms:modified xsi:type="dcterms:W3CDTF">2023-11-06T18:33:00Z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137aa2bc08fe155e4e3c8514f54dc365c974d71af505d967babdfaac64162a0f</vt:lpwstr>
  </property>
  <property fmtid="{D5CDD505-2E9C-101B-9397-08002B2CF9AE}" pid="3" name="ZOTERO_PREF_1">
    <vt:lpwstr>&lt;data data-version="3" zotero-version="6.0.26"&gt;&lt;session id="0B6rMSVO"/&gt;&lt;style id="http://www.zotero.org/styles/nature" hasBibliography="1" bibliographyStyleHasBeenSet="0"/&gt;&lt;prefs&gt;&lt;pref name="fieldType" value="Field"/&gt;&lt;pref name="automaticJournalAbbreviati</vt:lpwstr>
  </property>
  <property fmtid="{D5CDD505-2E9C-101B-9397-08002B2CF9AE}" pid="4" name="ZOTERO_PREF_2">
    <vt:lpwstr>ons" value="true"/&gt;&lt;/prefs&gt;&lt;/data&gt;</vt:lpwstr>
  </property>
</Properties>
</file>