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77C7B" w:rsidRPr="003C0F23" w:rsidRDefault="00877C7B" w:rsidP="00877C7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D3F62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t>Supplemental Digital Content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2. </w:t>
      </w:r>
      <w:r w:rsidRPr="003C0F23">
        <w:rPr>
          <w:rFonts w:ascii="Times New Roman" w:hAnsi="Times New Roman" w:cs="Times New Roman"/>
          <w:sz w:val="24"/>
          <w:szCs w:val="24"/>
          <w:lang w:val="en-US"/>
        </w:rPr>
        <w:t xml:space="preserve"> White blood cell count (WBC) values at admission by diagnosis classification for pyomyositis, bacterial myositis, or associated pyomyositis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77C7B" w:rsidRDefault="00877C7B">
      <w:pPr>
        <w:spacing w:after="160"/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308610</wp:posOffset>
            </wp:positionV>
            <wp:extent cx="4800600" cy="3981450"/>
            <wp:effectExtent l="0" t="0" r="0" b="0"/>
            <wp:wrapNone/>
            <wp:docPr id="1786793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br w:type="page"/>
      </w:r>
    </w:p>
    <w:p w:rsidR="00877C7B" w:rsidRPr="003C0F23" w:rsidRDefault="00877C7B" w:rsidP="00877C7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D3F62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lastRenderedPageBreak/>
        <w:t>Supplemental Digital Content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3. </w:t>
      </w:r>
      <w:r w:rsidRPr="003C0F23">
        <w:rPr>
          <w:rFonts w:ascii="Times New Roman" w:hAnsi="Times New Roman" w:cs="Times New Roman"/>
          <w:sz w:val="24"/>
          <w:szCs w:val="24"/>
          <w:lang w:val="en-US"/>
        </w:rPr>
        <w:t>C-reactive protein (CRP) values at admission by diagnosis classification for pyomyositis, bacterial myositis, or associated pyomyositis.</w:t>
      </w:r>
      <w:r w:rsidRPr="006976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77C7B" w:rsidRDefault="00877C7B">
      <w:pPr>
        <w:spacing w:after="160"/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270510</wp:posOffset>
            </wp:positionV>
            <wp:extent cx="4800600" cy="3981450"/>
            <wp:effectExtent l="0" t="0" r="0" b="0"/>
            <wp:wrapNone/>
            <wp:docPr id="14173114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br w:type="page"/>
      </w:r>
    </w:p>
    <w:p w:rsidR="00877C7B" w:rsidRPr="003C0F23" w:rsidRDefault="00877C7B" w:rsidP="00877C7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D3F62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lastRenderedPageBreak/>
        <w:t>Supplemental Digital Content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4. </w:t>
      </w:r>
      <w:r w:rsidRPr="003C0F23">
        <w:rPr>
          <w:rFonts w:ascii="Times New Roman" w:hAnsi="Times New Roman" w:cs="Times New Roman"/>
          <w:sz w:val="24"/>
          <w:szCs w:val="24"/>
          <w:lang w:val="en-US"/>
        </w:rPr>
        <w:t xml:space="preserve">Erythrocyte sedimentation rate (ESR) values at admission by diagnosis classification for pyomyositis, bacterial myositis, or associated pyomyositis.  </w:t>
      </w:r>
    </w:p>
    <w:p w:rsidR="00877C7B" w:rsidRPr="00877C7B" w:rsidRDefault="00877C7B" w:rsidP="00877C7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299085</wp:posOffset>
            </wp:positionV>
            <wp:extent cx="4800600" cy="3981450"/>
            <wp:effectExtent l="0" t="0" r="0" b="0"/>
            <wp:wrapNone/>
            <wp:docPr id="15897680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C7B" w:rsidRPr="00877C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C7B"/>
    <w:rsid w:val="0087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04A9F"/>
  <w15:chartTrackingRefBased/>
  <w15:docId w15:val="{0C180242-5A85-4615-A951-771AE3087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C7B"/>
    <w:pPr>
      <w:spacing w:after="0"/>
    </w:pPr>
    <w:rPr>
      <w:kern w:val="0"/>
      <w:lang w:val="de-D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Sue Manley</dc:creator>
  <cp:keywords/>
  <dc:description/>
  <cp:lastModifiedBy>Amy Sue Manley</cp:lastModifiedBy>
  <cp:revision>1</cp:revision>
  <dcterms:created xsi:type="dcterms:W3CDTF">2024-04-15T20:40:00Z</dcterms:created>
  <dcterms:modified xsi:type="dcterms:W3CDTF">2024-04-15T20:45:00Z</dcterms:modified>
</cp:coreProperties>
</file>