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925" w:rsidRPr="00841925" w:rsidRDefault="00841925" w:rsidP="00841925">
      <w:pPr>
        <w:spacing w:line="360" w:lineRule="auto"/>
        <w:jc w:val="center"/>
        <w:rPr>
          <w:b/>
          <w:sz w:val="36"/>
          <w:lang w:val="en-GB"/>
        </w:rPr>
      </w:pPr>
      <w:r w:rsidRPr="00841925">
        <w:rPr>
          <w:b/>
          <w:sz w:val="36"/>
          <w:lang w:val="en-GB"/>
        </w:rPr>
        <w:t>Timing malaria transmission with mosquito fluctuations</w:t>
      </w:r>
    </w:p>
    <w:p w:rsidR="000859D9" w:rsidRPr="00A27395" w:rsidRDefault="000859D9" w:rsidP="000859D9">
      <w:pPr>
        <w:jc w:val="center"/>
        <w:outlineLvl w:val="0"/>
        <w:rPr>
          <w:rStyle w:val="hps"/>
        </w:rPr>
      </w:pPr>
      <w:r w:rsidRPr="00A27395">
        <w:rPr>
          <w:rStyle w:val="hps"/>
        </w:rPr>
        <w:t>R</w:t>
      </w:r>
      <w:bookmarkStart w:id="0" w:name="_GoBack"/>
      <w:bookmarkEnd w:id="0"/>
      <w:r>
        <w:rPr>
          <w:rStyle w:val="hps"/>
        </w:rPr>
        <w:t>omain</w:t>
      </w:r>
      <w:r w:rsidRPr="00A27395">
        <w:rPr>
          <w:rStyle w:val="hps"/>
        </w:rPr>
        <w:t xml:space="preserve"> Pigeault </w:t>
      </w:r>
      <w:r w:rsidRPr="00A27395">
        <w:rPr>
          <w:rStyle w:val="hps"/>
          <w:vertAlign w:val="superscript"/>
        </w:rPr>
        <w:t>1</w:t>
      </w:r>
      <w:proofErr w:type="gramStart"/>
      <w:r w:rsidRPr="00A27395">
        <w:rPr>
          <w:rStyle w:val="hps"/>
          <w:vertAlign w:val="superscript"/>
        </w:rPr>
        <w:t>,2</w:t>
      </w:r>
      <w:proofErr w:type="gramEnd"/>
      <w:r w:rsidRPr="00A27395">
        <w:rPr>
          <w:rStyle w:val="hps"/>
        </w:rPr>
        <w:t>, Q</w:t>
      </w:r>
      <w:r>
        <w:rPr>
          <w:rStyle w:val="hps"/>
        </w:rPr>
        <w:t>uentin</w:t>
      </w:r>
      <w:r w:rsidRPr="00A27395">
        <w:rPr>
          <w:rStyle w:val="hps"/>
        </w:rPr>
        <w:t xml:space="preserve"> Caudron</w:t>
      </w:r>
      <w:r w:rsidRPr="00A27395">
        <w:rPr>
          <w:rStyle w:val="hps"/>
          <w:vertAlign w:val="superscript"/>
        </w:rPr>
        <w:t>3</w:t>
      </w:r>
      <w:r w:rsidRPr="00A27395">
        <w:rPr>
          <w:rStyle w:val="hps"/>
        </w:rPr>
        <w:t>, A</w:t>
      </w:r>
      <w:r>
        <w:rPr>
          <w:rStyle w:val="hps"/>
        </w:rPr>
        <w:t>ntoine</w:t>
      </w:r>
      <w:r w:rsidRPr="00A27395">
        <w:rPr>
          <w:rStyle w:val="hps"/>
        </w:rPr>
        <w:t xml:space="preserve"> Nicot</w:t>
      </w:r>
      <w:r w:rsidRPr="00A27395">
        <w:rPr>
          <w:rStyle w:val="hps"/>
          <w:vertAlign w:val="superscript"/>
        </w:rPr>
        <w:t>4</w:t>
      </w:r>
      <w:r>
        <w:rPr>
          <w:rStyle w:val="hps"/>
        </w:rPr>
        <w:t>, Ana Rivero</w:t>
      </w:r>
      <w:r w:rsidRPr="00A27395">
        <w:rPr>
          <w:rStyle w:val="hps"/>
          <w:vertAlign w:val="superscript"/>
        </w:rPr>
        <w:t>1</w:t>
      </w:r>
      <w:r w:rsidRPr="00A27395">
        <w:rPr>
          <w:rStyle w:val="hps"/>
        </w:rPr>
        <w:t xml:space="preserve">, </w:t>
      </w:r>
      <w:r>
        <w:rPr>
          <w:rStyle w:val="hps"/>
        </w:rPr>
        <w:t xml:space="preserve">Sylvain </w:t>
      </w:r>
      <w:r w:rsidRPr="00A27395">
        <w:rPr>
          <w:rStyle w:val="hps"/>
        </w:rPr>
        <w:t>Gandon</w:t>
      </w:r>
      <w:r w:rsidRPr="00A27395">
        <w:rPr>
          <w:rStyle w:val="hps"/>
          <w:vertAlign w:val="superscript"/>
        </w:rPr>
        <w:t>4</w:t>
      </w:r>
    </w:p>
    <w:p w:rsidR="00841925" w:rsidRDefault="00841925" w:rsidP="00841925">
      <w:pPr>
        <w:spacing w:line="360" w:lineRule="auto"/>
        <w:jc w:val="both"/>
        <w:rPr>
          <w:rFonts w:asciiTheme="majorHAnsi" w:hAnsiTheme="majorHAnsi"/>
          <w:b/>
          <w:sz w:val="32"/>
          <w:szCs w:val="32"/>
        </w:rPr>
      </w:pPr>
    </w:p>
    <w:p w:rsidR="00841925" w:rsidRDefault="00841925" w:rsidP="00841925">
      <w:pPr>
        <w:spacing w:line="360" w:lineRule="auto"/>
        <w:jc w:val="both"/>
        <w:rPr>
          <w:rFonts w:asciiTheme="majorHAnsi" w:hAnsiTheme="majorHAnsi"/>
          <w:b/>
          <w:sz w:val="32"/>
          <w:szCs w:val="32"/>
        </w:rPr>
      </w:pPr>
    </w:p>
    <w:p w:rsidR="00841925" w:rsidRDefault="00841925" w:rsidP="00841925">
      <w:pPr>
        <w:spacing w:line="360" w:lineRule="auto"/>
        <w:jc w:val="both"/>
        <w:rPr>
          <w:rFonts w:asciiTheme="majorHAnsi" w:hAnsiTheme="majorHAnsi"/>
          <w:b/>
          <w:sz w:val="32"/>
          <w:szCs w:val="32"/>
        </w:rPr>
      </w:pPr>
    </w:p>
    <w:p w:rsidR="00841925" w:rsidRPr="00841925" w:rsidRDefault="00841925" w:rsidP="00841925">
      <w:pPr>
        <w:spacing w:line="360" w:lineRule="auto"/>
        <w:jc w:val="both"/>
        <w:rPr>
          <w:rFonts w:asciiTheme="majorHAnsi" w:hAnsiTheme="majorHAnsi"/>
          <w:b/>
          <w:sz w:val="32"/>
          <w:szCs w:val="32"/>
        </w:rPr>
      </w:pPr>
    </w:p>
    <w:p w:rsidR="00841925" w:rsidRDefault="00841925" w:rsidP="00841925">
      <w:pPr>
        <w:spacing w:line="360" w:lineRule="auto"/>
        <w:jc w:val="center"/>
        <w:rPr>
          <w:b/>
          <w:sz w:val="32"/>
          <w:szCs w:val="32"/>
          <w:lang w:val="en-GB"/>
        </w:rPr>
      </w:pPr>
      <w:r w:rsidRPr="00841925">
        <w:rPr>
          <w:rFonts w:asciiTheme="majorHAnsi" w:hAnsiTheme="majorHAnsi"/>
          <w:b/>
          <w:sz w:val="32"/>
          <w:szCs w:val="32"/>
        </w:rPr>
        <w:t xml:space="preserve">S1 Text: </w:t>
      </w:r>
      <w:r w:rsidRPr="00841925">
        <w:rPr>
          <w:rFonts w:cs="Calibri"/>
          <w:b/>
          <w:bCs/>
          <w:iCs/>
          <w:sz w:val="32"/>
          <w:szCs w:val="32"/>
          <w:lang w:val="en-GB"/>
        </w:rPr>
        <w:t xml:space="preserve">Daily fluctuations of </w:t>
      </w:r>
      <w:proofErr w:type="spellStart"/>
      <w:r w:rsidRPr="00841925">
        <w:rPr>
          <w:rFonts w:cs="Calibri"/>
          <w:b/>
          <w:bCs/>
          <w:iCs/>
          <w:sz w:val="32"/>
          <w:szCs w:val="32"/>
          <w:lang w:val="en-GB"/>
        </w:rPr>
        <w:t>parasitaemia</w:t>
      </w:r>
      <w:proofErr w:type="spellEnd"/>
      <w:r w:rsidRPr="00841925">
        <w:rPr>
          <w:rFonts w:cs="Calibri"/>
          <w:b/>
          <w:bCs/>
          <w:iCs/>
          <w:sz w:val="32"/>
          <w:szCs w:val="32"/>
          <w:lang w:val="en-GB"/>
        </w:rPr>
        <w:t xml:space="preserve">: </w:t>
      </w:r>
      <w:r w:rsidRPr="00841925">
        <w:rPr>
          <w:b/>
          <w:sz w:val="32"/>
          <w:szCs w:val="32"/>
          <w:lang w:val="en-GB"/>
        </w:rPr>
        <w:t>a new methodology</w:t>
      </w:r>
    </w:p>
    <w:p w:rsidR="00841925" w:rsidRDefault="00841925" w:rsidP="00841925">
      <w:pPr>
        <w:spacing w:line="360" w:lineRule="auto"/>
        <w:jc w:val="both"/>
      </w:pPr>
    </w:p>
    <w:p w:rsidR="00841925" w:rsidRDefault="00841925" w:rsidP="00841925">
      <w:pPr>
        <w:spacing w:line="360" w:lineRule="auto"/>
        <w:jc w:val="both"/>
        <w:rPr>
          <w:b/>
          <w:sz w:val="28"/>
        </w:rPr>
      </w:pPr>
    </w:p>
    <w:p w:rsidR="00974470" w:rsidRDefault="006C2473" w:rsidP="006C2473">
      <w:pPr>
        <w:spacing w:line="360" w:lineRule="auto"/>
        <w:jc w:val="both"/>
      </w:pPr>
      <w:r w:rsidRPr="006C2473">
        <w:t xml:space="preserve">We propose a new methodology allowing to correct for non-stationarities in the host </w:t>
      </w:r>
      <w:proofErr w:type="spellStart"/>
      <w:r w:rsidRPr="006C2473">
        <w:t>parasitaemia</w:t>
      </w:r>
      <w:proofErr w:type="spellEnd"/>
      <w:r w:rsidRPr="006C2473">
        <w:t xml:space="preserve">. </w:t>
      </w:r>
      <w:r w:rsidR="001E63C3">
        <w:t>W</w:t>
      </w:r>
      <w:r w:rsidR="00974470">
        <w:rPr>
          <w:lang w:val="en-GB"/>
        </w:rPr>
        <w:t xml:space="preserve">e provide a link to a </w:t>
      </w:r>
      <w:proofErr w:type="spellStart"/>
      <w:r w:rsidR="00974470">
        <w:rPr>
          <w:lang w:val="en-GB"/>
        </w:rPr>
        <w:t>github</w:t>
      </w:r>
      <w:proofErr w:type="spellEnd"/>
      <w:r w:rsidR="00974470">
        <w:rPr>
          <w:lang w:val="en-GB"/>
        </w:rPr>
        <w:t xml:space="preserve"> notebook with a step-by-step description of th</w:t>
      </w:r>
      <w:r w:rsidR="001E63C3">
        <w:rPr>
          <w:lang w:val="en-GB"/>
        </w:rPr>
        <w:t>e</w:t>
      </w:r>
      <w:r w:rsidR="00974470">
        <w:rPr>
          <w:lang w:val="en-GB"/>
        </w:rPr>
        <w:t xml:space="preserve"> </w:t>
      </w:r>
      <w:r w:rsidR="001E63C3">
        <w:rPr>
          <w:lang w:val="en-GB"/>
        </w:rPr>
        <w:t xml:space="preserve">procedure </w:t>
      </w:r>
      <w:r w:rsidR="001E63C3" w:rsidRPr="006C2473">
        <w:t>presented in th</w:t>
      </w:r>
      <w:r w:rsidR="001E63C3">
        <w:t>e supplement</w:t>
      </w:r>
      <w:r w:rsidR="001E63C3" w:rsidRPr="006C2473">
        <w:t xml:space="preserve"> </w:t>
      </w:r>
      <w:r w:rsidR="00974470">
        <w:rPr>
          <w:lang w:val="en-GB"/>
        </w:rPr>
        <w:t>and a code that may be used to analyse other within-host time series (</w:t>
      </w:r>
      <w:hyperlink r:id="rId5" w:tgtFrame="_blank" w:history="1">
        <w:r w:rsidR="00974470">
          <w:rPr>
            <w:rStyle w:val="Lienhypertexte"/>
          </w:rPr>
          <w:t>https://github.com/QCaudron/timing_malaria_transmission</w:t>
        </w:r>
      </w:hyperlink>
      <w:r w:rsidR="00974470">
        <w:t>)</w:t>
      </w:r>
      <w:r w:rsidR="00974470">
        <w:rPr>
          <w:lang w:val="en-GB"/>
        </w:rPr>
        <w:t>.</w:t>
      </w:r>
    </w:p>
    <w:p w:rsidR="00974470" w:rsidRDefault="00974470" w:rsidP="006C2473">
      <w:pPr>
        <w:spacing w:line="360" w:lineRule="auto"/>
        <w:jc w:val="both"/>
      </w:pPr>
    </w:p>
    <w:p w:rsidR="00841925" w:rsidRPr="00841925" w:rsidRDefault="00841925" w:rsidP="00841925">
      <w:pPr>
        <w:spacing w:line="360" w:lineRule="auto"/>
        <w:jc w:val="both"/>
        <w:rPr>
          <w:b/>
          <w:sz w:val="28"/>
        </w:rPr>
      </w:pPr>
      <w:r w:rsidRPr="00841925">
        <w:rPr>
          <w:b/>
          <w:sz w:val="28"/>
        </w:rPr>
        <w:t>Overview</w:t>
      </w:r>
    </w:p>
    <w:p w:rsidR="00841925" w:rsidRPr="00841925" w:rsidRDefault="008658A1" w:rsidP="00841925">
      <w:pPr>
        <w:spacing w:line="360" w:lineRule="auto"/>
        <w:ind w:firstLine="708"/>
        <w:jc w:val="both"/>
      </w:pPr>
      <w:r>
        <w:t xml:space="preserve">The goal of this analysis is to explore periodicity </w:t>
      </w:r>
      <w:r w:rsidR="00841925" w:rsidRPr="00841925">
        <w:t xml:space="preserve">in the host </w:t>
      </w:r>
      <w:proofErr w:type="spellStart"/>
      <w:r w:rsidR="00841925" w:rsidRPr="00841925">
        <w:t>parasitaemia</w:t>
      </w:r>
      <w:proofErr w:type="spellEnd"/>
      <w:r w:rsidR="00841925" w:rsidRPr="00841925">
        <w:t xml:space="preserve">, specifically to search for circadian frequencies. First, we correct for non-stationarities in the host </w:t>
      </w:r>
      <w:proofErr w:type="spellStart"/>
      <w:r w:rsidR="00841925" w:rsidRPr="00841925">
        <w:t>parasitaemia</w:t>
      </w:r>
      <w:proofErr w:type="spellEnd"/>
      <w:r w:rsidR="00841925" w:rsidRPr="00841925">
        <w:t xml:space="preserve"> caused by the large-scale changes in within-host dynamics during the acute phase of the infection. Then, we estimate the frequency content of the </w:t>
      </w:r>
      <w:proofErr w:type="spellStart"/>
      <w:r w:rsidR="00841925" w:rsidRPr="00841925">
        <w:t>parasitaemia</w:t>
      </w:r>
      <w:proofErr w:type="spellEnd"/>
      <w:r w:rsidR="00841925" w:rsidRPr="00841925">
        <w:t xml:space="preserve"> signals and assess the statistical significance of the frequency distribution. Results show some evidence of possible circadian or </w:t>
      </w:r>
      <w:proofErr w:type="spellStart"/>
      <w:r w:rsidR="00841925" w:rsidRPr="00841925">
        <w:t>quasicircadian</w:t>
      </w:r>
      <w:proofErr w:type="spellEnd"/>
      <w:r w:rsidR="00841925" w:rsidRPr="00841925">
        <w:t xml:space="preserve"> frequencies in </w:t>
      </w:r>
      <w:proofErr w:type="spellStart"/>
      <w:r w:rsidR="00841925" w:rsidRPr="00841925">
        <w:t>parasitaemia</w:t>
      </w:r>
      <w:proofErr w:type="spellEnd"/>
      <w:r w:rsidR="00841925" w:rsidRPr="00841925">
        <w:t>.</w:t>
      </w:r>
    </w:p>
    <w:p w:rsidR="00841925" w:rsidRPr="00841925" w:rsidRDefault="00841925" w:rsidP="00841925">
      <w:pPr>
        <w:spacing w:line="360" w:lineRule="auto"/>
        <w:jc w:val="both"/>
      </w:pPr>
    </w:p>
    <w:p w:rsidR="00841925" w:rsidRPr="00841925" w:rsidRDefault="00841925" w:rsidP="00841925">
      <w:pPr>
        <w:spacing w:line="360" w:lineRule="auto"/>
        <w:jc w:val="both"/>
        <w:rPr>
          <w:b/>
          <w:sz w:val="28"/>
        </w:rPr>
      </w:pPr>
      <w:r w:rsidRPr="00841925">
        <w:rPr>
          <w:b/>
          <w:sz w:val="28"/>
        </w:rPr>
        <w:t>The dataset</w:t>
      </w:r>
    </w:p>
    <w:p w:rsidR="00841925" w:rsidRDefault="00841925" w:rsidP="00841925">
      <w:pPr>
        <w:spacing w:line="360" w:lineRule="auto"/>
        <w:ind w:firstLine="708"/>
        <w:jc w:val="both"/>
      </w:pPr>
      <w:r w:rsidRPr="00841925">
        <w:t xml:space="preserve">The time-series for host </w:t>
      </w:r>
      <w:proofErr w:type="spellStart"/>
      <w:r w:rsidRPr="00841925">
        <w:t>parasitaemia</w:t>
      </w:r>
      <w:proofErr w:type="spellEnd"/>
      <w:r w:rsidRPr="00841925">
        <w:t xml:space="preserve"> are short, being composed of only twelve </w:t>
      </w:r>
      <w:proofErr w:type="spellStart"/>
      <w:r w:rsidRPr="00841925">
        <w:t>datapoints</w:t>
      </w:r>
      <w:proofErr w:type="spellEnd"/>
      <w:r w:rsidRPr="00841925">
        <w:t xml:space="preserve"> captured at six-hour intervals over three days. In addition, measureme</w:t>
      </w:r>
      <w:r>
        <w:t>nts are noisy</w:t>
      </w:r>
      <w:r w:rsidRPr="00841925">
        <w:t xml:space="preserve">: with three samples per point in time, mean coefficients of variation range from 0.057 to 0.324 per bird. We begin by taking the mean of these samples for each host in order to reduce noise. On certain hosts, we note a strong </w:t>
      </w:r>
      <w:proofErr w:type="spellStart"/>
      <w:r w:rsidRPr="00841925">
        <w:t>nonstationarity</w:t>
      </w:r>
      <w:proofErr w:type="spellEnd"/>
      <w:r w:rsidRPr="00841925">
        <w:t>, driven by the within-host infection dynamics (</w:t>
      </w:r>
      <w:r w:rsidRPr="0065361F">
        <w:rPr>
          <w:b/>
        </w:rPr>
        <w:t xml:space="preserve">Fig. </w:t>
      </w:r>
      <w:r w:rsidR="0065361F">
        <w:rPr>
          <w:b/>
        </w:rPr>
        <w:t>S</w:t>
      </w:r>
      <w:r w:rsidRPr="0065361F">
        <w:rPr>
          <w:b/>
        </w:rPr>
        <w:t>1</w:t>
      </w:r>
      <w:r w:rsidRPr="00841925">
        <w:t>).</w:t>
      </w:r>
    </w:p>
    <w:p w:rsidR="00841925" w:rsidRPr="00841925" w:rsidRDefault="00841925" w:rsidP="00841925">
      <w:pPr>
        <w:spacing w:line="360" w:lineRule="auto"/>
        <w:jc w:val="both"/>
      </w:pPr>
      <w:r w:rsidRPr="00841925">
        <w:rPr>
          <w:noProof/>
          <w:lang w:val="fr-CH" w:eastAsia="fr-CH"/>
        </w:rPr>
        <w:lastRenderedPageBreak/>
        <w:drawing>
          <wp:anchor distT="0" distB="0" distL="114300" distR="114300" simplePos="0" relativeHeight="251659264" behindDoc="0" locked="0" layoutInCell="1" allowOverlap="1" wp14:anchorId="5D94CCB8" wp14:editId="307E97AB">
            <wp:simplePos x="0" y="0"/>
            <wp:positionH relativeFrom="margin">
              <wp:align>left</wp:align>
            </wp:positionH>
            <wp:positionV relativeFrom="paragraph">
              <wp:posOffset>105521</wp:posOffset>
            </wp:positionV>
            <wp:extent cx="5476240" cy="3068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Users:qcaudron:Apps:bird-malaria:fig1.pd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476240" cy="3068955"/>
                    </a:xfrm>
                    <a:prstGeom prst="rect">
                      <a:avLst/>
                    </a:prstGeom>
                    <a:noFill/>
                    <a:ln>
                      <a:noFill/>
                    </a:ln>
                  </pic:spPr>
                </pic:pic>
              </a:graphicData>
            </a:graphic>
          </wp:anchor>
        </w:drawing>
      </w:r>
    </w:p>
    <w:p w:rsidR="00841925" w:rsidRPr="00841925" w:rsidRDefault="00841925" w:rsidP="00841925">
      <w:pPr>
        <w:pStyle w:val="Lgende"/>
        <w:spacing w:line="360" w:lineRule="auto"/>
        <w:jc w:val="both"/>
        <w:rPr>
          <w:color w:val="auto"/>
        </w:rPr>
      </w:pPr>
      <w:r w:rsidRPr="00841925">
        <w:rPr>
          <w:color w:val="auto"/>
        </w:rPr>
        <w:t>Figure S</w:t>
      </w:r>
      <w:r w:rsidRPr="00841925">
        <w:rPr>
          <w:color w:val="auto"/>
        </w:rPr>
        <w:fldChar w:fldCharType="begin"/>
      </w:r>
      <w:r w:rsidRPr="00841925">
        <w:rPr>
          <w:color w:val="auto"/>
        </w:rPr>
        <w:instrText xml:space="preserve"> SEQ Figure \* ARABIC </w:instrText>
      </w:r>
      <w:r w:rsidRPr="00841925">
        <w:rPr>
          <w:color w:val="auto"/>
        </w:rPr>
        <w:fldChar w:fldCharType="separate"/>
      </w:r>
      <w:r w:rsidR="007C5EF1">
        <w:rPr>
          <w:noProof/>
          <w:color w:val="auto"/>
        </w:rPr>
        <w:t>1</w:t>
      </w:r>
      <w:r w:rsidRPr="00841925">
        <w:rPr>
          <w:noProof/>
          <w:color w:val="auto"/>
        </w:rPr>
        <w:fldChar w:fldCharType="end"/>
      </w:r>
      <w:r w:rsidRPr="00841925">
        <w:rPr>
          <w:color w:val="auto"/>
        </w:rPr>
        <w:t xml:space="preserve">. </w:t>
      </w:r>
      <w:proofErr w:type="spellStart"/>
      <w:r w:rsidRPr="00841925">
        <w:rPr>
          <w:color w:val="auto"/>
        </w:rPr>
        <w:t>Parasitaemia</w:t>
      </w:r>
      <w:proofErr w:type="spellEnd"/>
      <w:r w:rsidRPr="00841925">
        <w:rPr>
          <w:color w:val="auto"/>
        </w:rPr>
        <w:t xml:space="preserve"> values (scatter), with mean (line) and standard error (fill) for the control hosts. Grey shadows represent night (18:00 to 06:00).</w:t>
      </w:r>
    </w:p>
    <w:p w:rsidR="00841925" w:rsidRPr="00841925" w:rsidRDefault="00841925" w:rsidP="00841925">
      <w:pPr>
        <w:spacing w:line="360" w:lineRule="auto"/>
        <w:jc w:val="both"/>
      </w:pPr>
    </w:p>
    <w:p w:rsidR="00841925" w:rsidRPr="00841925" w:rsidRDefault="00841925" w:rsidP="00841925">
      <w:pPr>
        <w:spacing w:line="360" w:lineRule="auto"/>
        <w:jc w:val="both"/>
        <w:rPr>
          <w:b/>
          <w:sz w:val="28"/>
        </w:rPr>
      </w:pPr>
      <w:proofErr w:type="spellStart"/>
      <w:r w:rsidRPr="00841925">
        <w:rPr>
          <w:b/>
          <w:sz w:val="28"/>
        </w:rPr>
        <w:t>Detrending</w:t>
      </w:r>
      <w:proofErr w:type="spellEnd"/>
    </w:p>
    <w:p w:rsidR="00841925" w:rsidRPr="00841925" w:rsidRDefault="00841925" w:rsidP="00841925">
      <w:pPr>
        <w:spacing w:line="360" w:lineRule="auto"/>
        <w:ind w:firstLine="708"/>
        <w:jc w:val="both"/>
      </w:pPr>
      <w:r w:rsidRPr="00841925">
        <w:t xml:space="preserve">In the acute phase of the infection, significant trends in </w:t>
      </w:r>
      <w:proofErr w:type="spellStart"/>
      <w:r w:rsidRPr="00841925">
        <w:t>parasitaemia</w:t>
      </w:r>
      <w:proofErr w:type="spellEnd"/>
      <w:r w:rsidRPr="00841925">
        <w:t xml:space="preserve"> may be present in the signals, although at slower timescales than the circadian rhythms </w:t>
      </w:r>
      <w:r>
        <w:t xml:space="preserve">(see </w:t>
      </w:r>
      <w:r w:rsidRPr="00841925">
        <w:rPr>
          <w:b/>
        </w:rPr>
        <w:t>Fig. 1</w:t>
      </w:r>
      <w:r>
        <w:t xml:space="preserve"> in the main text) </w:t>
      </w:r>
      <w:r w:rsidRPr="00841925">
        <w:t>that would be present,</w:t>
      </w:r>
      <w:r>
        <w:t xml:space="preserve"> </w:t>
      </w:r>
      <w:r w:rsidRPr="00841925">
        <w:t xml:space="preserve">should the parasite be able to invest in transmission synchronously with the daily cycles of its vector’s activity. We </w:t>
      </w:r>
      <w:proofErr w:type="spellStart"/>
      <w:r w:rsidRPr="00841925">
        <w:t>detrend</w:t>
      </w:r>
      <w:proofErr w:type="spellEnd"/>
      <w:r w:rsidRPr="00841925">
        <w:t xml:space="preserve"> the time-series by subtracting an estimate of the slow-timescale dynamics of the </w:t>
      </w:r>
      <w:proofErr w:type="spellStart"/>
      <w:r w:rsidRPr="00841925">
        <w:t>parasitaemia</w:t>
      </w:r>
      <w:proofErr w:type="spellEnd"/>
      <w:r w:rsidRPr="00841925">
        <w:t xml:space="preserve"> signals, leaving behind a zero-mean, stationary signal that can then undergo spectral analysis. These dynamics are estimated using Gaussian process</w:t>
      </w:r>
      <w:r>
        <w:t xml:space="preserve"> [1] </w:t>
      </w:r>
      <w:r w:rsidRPr="00841925">
        <w:t xml:space="preserve">regression using a radial basis function covariance kernel. The result can be seen in </w:t>
      </w:r>
      <w:r w:rsidRPr="0065361F">
        <w:rPr>
          <w:b/>
        </w:rPr>
        <w:t xml:space="preserve">Fig. </w:t>
      </w:r>
      <w:r w:rsidR="0065361F">
        <w:rPr>
          <w:b/>
        </w:rPr>
        <w:t>S</w:t>
      </w:r>
      <w:r w:rsidRPr="0065361F">
        <w:rPr>
          <w:b/>
        </w:rPr>
        <w:t>2</w:t>
      </w:r>
      <w:r w:rsidRPr="00841925">
        <w:t xml:space="preserve">, which shows a smooth, continuous function estimated from the </w:t>
      </w:r>
      <w:proofErr w:type="spellStart"/>
      <w:r w:rsidRPr="00841925">
        <w:t>parasitaemia</w:t>
      </w:r>
      <w:proofErr w:type="spellEnd"/>
      <w:r w:rsidRPr="00841925">
        <w:t xml:space="preserve"> of each host. The mean of the </w:t>
      </w:r>
      <w:proofErr w:type="spellStart"/>
      <w:r w:rsidRPr="00841925">
        <w:t>detrended</w:t>
      </w:r>
      <w:proofErr w:type="spellEnd"/>
      <w:r w:rsidRPr="00841925">
        <w:t xml:space="preserve"> signal no longer varies with time; this is an assumption underlying the subsequent spectral analysis. Gaussian process regression was performed in Python with the </w:t>
      </w:r>
      <w:proofErr w:type="spellStart"/>
      <w:r w:rsidRPr="00841925">
        <w:t>scikit</w:t>
      </w:r>
      <w:proofErr w:type="spellEnd"/>
      <w:r w:rsidRPr="00841925">
        <w:t>-learn package</w:t>
      </w:r>
      <w:r>
        <w:t xml:space="preserve"> [2]</w:t>
      </w:r>
      <w:r w:rsidRPr="00841925">
        <w:t>.</w:t>
      </w:r>
    </w:p>
    <w:p w:rsidR="00841925" w:rsidRPr="00841925" w:rsidRDefault="00841925" w:rsidP="00841925">
      <w:pPr>
        <w:spacing w:line="360" w:lineRule="auto"/>
        <w:jc w:val="both"/>
      </w:pPr>
    </w:p>
    <w:p w:rsidR="00841925" w:rsidRPr="00841925" w:rsidRDefault="00841925" w:rsidP="00841925">
      <w:pPr>
        <w:keepNext/>
        <w:spacing w:line="360" w:lineRule="auto"/>
        <w:jc w:val="both"/>
      </w:pPr>
      <w:r w:rsidRPr="00841925">
        <w:rPr>
          <w:b/>
          <w:noProof/>
          <w:lang w:val="fr-CH" w:eastAsia="fr-CH"/>
        </w:rPr>
        <w:lastRenderedPageBreak/>
        <w:drawing>
          <wp:inline distT="0" distB="0" distL="0" distR="0" wp14:anchorId="7B2D051C" wp14:editId="0929F059">
            <wp:extent cx="5505678" cy="3652509"/>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Users:qcaudron:Apps:bird-malaria:fig2.pdf"/>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05678" cy="3652509"/>
                    </a:xfrm>
                    <a:prstGeom prst="rect">
                      <a:avLst/>
                    </a:prstGeom>
                    <a:noFill/>
                    <a:ln>
                      <a:noFill/>
                    </a:ln>
                  </pic:spPr>
                </pic:pic>
              </a:graphicData>
            </a:graphic>
          </wp:inline>
        </w:drawing>
      </w:r>
    </w:p>
    <w:p w:rsidR="00841925" w:rsidRPr="00841925" w:rsidRDefault="00841925" w:rsidP="00841925">
      <w:pPr>
        <w:pStyle w:val="Lgende"/>
        <w:spacing w:line="360" w:lineRule="auto"/>
        <w:jc w:val="both"/>
        <w:rPr>
          <w:b w:val="0"/>
          <w:color w:val="auto"/>
        </w:rPr>
      </w:pPr>
      <w:r w:rsidRPr="00841925">
        <w:rPr>
          <w:color w:val="auto"/>
        </w:rPr>
        <w:t>Figure S</w:t>
      </w:r>
      <w:r w:rsidRPr="00841925">
        <w:rPr>
          <w:color w:val="auto"/>
        </w:rPr>
        <w:fldChar w:fldCharType="begin"/>
      </w:r>
      <w:r w:rsidRPr="00841925">
        <w:rPr>
          <w:color w:val="auto"/>
        </w:rPr>
        <w:instrText xml:space="preserve"> SEQ Figure \* ARABIC </w:instrText>
      </w:r>
      <w:r w:rsidRPr="00841925">
        <w:rPr>
          <w:color w:val="auto"/>
        </w:rPr>
        <w:fldChar w:fldCharType="separate"/>
      </w:r>
      <w:r w:rsidR="007C5EF1">
        <w:rPr>
          <w:noProof/>
          <w:color w:val="auto"/>
        </w:rPr>
        <w:t>2</w:t>
      </w:r>
      <w:r w:rsidRPr="00841925">
        <w:rPr>
          <w:noProof/>
          <w:color w:val="auto"/>
        </w:rPr>
        <w:fldChar w:fldCharType="end"/>
      </w:r>
      <w:r w:rsidRPr="00841925">
        <w:rPr>
          <w:color w:val="auto"/>
        </w:rPr>
        <w:t xml:space="preserve">. Left: mean </w:t>
      </w:r>
      <w:proofErr w:type="spellStart"/>
      <w:r w:rsidRPr="00841925">
        <w:rPr>
          <w:color w:val="auto"/>
        </w:rPr>
        <w:t>parasitaemia</w:t>
      </w:r>
      <w:proofErr w:type="spellEnd"/>
      <w:r w:rsidRPr="00841925">
        <w:rPr>
          <w:color w:val="auto"/>
        </w:rPr>
        <w:t xml:space="preserve"> (blue); estimated slow-changing acute infection dynamics, as found by Gaussian process regression (red). Right: the </w:t>
      </w:r>
      <w:proofErr w:type="spellStart"/>
      <w:r w:rsidRPr="00841925">
        <w:rPr>
          <w:color w:val="auto"/>
        </w:rPr>
        <w:t>detrended</w:t>
      </w:r>
      <w:proofErr w:type="spellEnd"/>
      <w:r w:rsidRPr="00841925">
        <w:rPr>
          <w:color w:val="auto"/>
        </w:rPr>
        <w:t xml:space="preserve"> </w:t>
      </w:r>
      <w:proofErr w:type="spellStart"/>
      <w:r w:rsidRPr="00841925">
        <w:rPr>
          <w:color w:val="auto"/>
        </w:rPr>
        <w:t>parasitaemia</w:t>
      </w:r>
      <w:proofErr w:type="spellEnd"/>
      <w:r w:rsidRPr="00841925">
        <w:rPr>
          <w:color w:val="auto"/>
        </w:rPr>
        <w:t xml:space="preserve">, found by subtracting the estimated slow-timescale dynamics from the mean </w:t>
      </w:r>
      <w:proofErr w:type="spellStart"/>
      <w:r w:rsidRPr="00841925">
        <w:rPr>
          <w:color w:val="auto"/>
        </w:rPr>
        <w:t>parasitaemia</w:t>
      </w:r>
      <w:proofErr w:type="spellEnd"/>
      <w:r w:rsidRPr="00841925">
        <w:rPr>
          <w:color w:val="auto"/>
        </w:rPr>
        <w:t>. Grey shadows represent night (18:00 to 06:00).</w:t>
      </w:r>
    </w:p>
    <w:p w:rsidR="00841925" w:rsidRPr="00841925" w:rsidRDefault="00841925" w:rsidP="00841925">
      <w:pPr>
        <w:spacing w:line="360" w:lineRule="auto"/>
        <w:jc w:val="both"/>
        <w:rPr>
          <w:b/>
        </w:rPr>
      </w:pPr>
    </w:p>
    <w:p w:rsidR="00841925" w:rsidRPr="00841925" w:rsidRDefault="00841925" w:rsidP="00841925">
      <w:pPr>
        <w:spacing w:line="360" w:lineRule="auto"/>
        <w:jc w:val="both"/>
        <w:rPr>
          <w:b/>
        </w:rPr>
      </w:pPr>
      <w:r w:rsidRPr="00841925">
        <w:rPr>
          <w:b/>
        </w:rPr>
        <w:t>Frequency analysis</w:t>
      </w:r>
    </w:p>
    <w:p w:rsidR="00841925" w:rsidRPr="00841925" w:rsidRDefault="00841925" w:rsidP="00841925">
      <w:pPr>
        <w:spacing w:line="360" w:lineRule="auto"/>
        <w:ind w:firstLine="708"/>
        <w:jc w:val="both"/>
        <w:rPr>
          <w:rFonts w:ascii="Cambria" w:eastAsia="Times New Roman" w:hAnsi="Cambria" w:cs="Times New Roman"/>
        </w:rPr>
      </w:pPr>
      <w:r w:rsidRPr="00841925">
        <w:rPr>
          <w:rFonts w:ascii="Cambria" w:eastAsia="Times New Roman" w:hAnsi="Cambria" w:cs="Times New Roman"/>
          <w:shd w:val="clear" w:color="auto" w:fill="FFFFFF"/>
        </w:rPr>
        <w:t xml:space="preserve">The goal of spectral analysis is to break down a signal into its component frequencies. All signals </w:t>
      </w:r>
      <w:r>
        <w:rPr>
          <w:rFonts w:ascii="Cambria" w:eastAsia="Times New Roman" w:hAnsi="Cambria" w:cs="Times New Roman"/>
          <w:shd w:val="clear" w:color="auto" w:fill="FFFFFF"/>
        </w:rPr>
        <w:t>can be represented as a (</w:t>
      </w:r>
      <w:r w:rsidRPr="00841925">
        <w:rPr>
          <w:rFonts w:ascii="Cambria" w:eastAsia="Times New Roman" w:hAnsi="Cambria" w:cs="Times New Roman"/>
          <w:shd w:val="clear" w:color="auto" w:fill="FFFFFF"/>
        </w:rPr>
        <w:t xml:space="preserve">potentially infinite, potentially time-dependent) sum of sinusoids with varying frequencies, phases, and amplitudes. When looking for repeating patterns in a signal, such as circadian dynamics, considering the signal in its frequency space can provide evidence of its presence or absence. The </w:t>
      </w:r>
      <w:proofErr w:type="spellStart"/>
      <w:r w:rsidRPr="00841925">
        <w:rPr>
          <w:rFonts w:ascii="Cambria" w:eastAsia="Times New Roman" w:hAnsi="Cambria" w:cs="Times New Roman"/>
          <w:shd w:val="clear" w:color="auto" w:fill="FFFFFF"/>
        </w:rPr>
        <w:t>periodogram</w:t>
      </w:r>
      <w:proofErr w:type="spellEnd"/>
      <w:r w:rsidRPr="00841925">
        <w:rPr>
          <w:rFonts w:ascii="Cambria" w:eastAsia="Times New Roman" w:hAnsi="Cambria" w:cs="Times New Roman"/>
          <w:shd w:val="clear" w:color="auto" w:fill="FFFFFF"/>
        </w:rPr>
        <w:t>, an estimate of a signal's spectral density, describes the power of the frequency components that make up the signal.</w:t>
      </w:r>
      <w:r w:rsidRPr="00841925">
        <w:rPr>
          <w:rFonts w:ascii="Cambria" w:eastAsia="Times New Roman" w:hAnsi="Cambria" w:cs="Times New Roman"/>
        </w:rPr>
        <w:t xml:space="preserve"> </w:t>
      </w:r>
    </w:p>
    <w:p w:rsidR="00841925" w:rsidRPr="00841925" w:rsidRDefault="00841925" w:rsidP="00841925">
      <w:pPr>
        <w:spacing w:line="360" w:lineRule="auto"/>
        <w:jc w:val="both"/>
        <w:rPr>
          <w:rFonts w:ascii="Cambria" w:eastAsia="Times New Roman" w:hAnsi="Cambria" w:cs="Times New Roman"/>
        </w:rPr>
      </w:pPr>
    </w:p>
    <w:p w:rsidR="00841925" w:rsidRPr="00841925" w:rsidRDefault="00841925" w:rsidP="00841925">
      <w:pPr>
        <w:spacing w:line="360" w:lineRule="auto"/>
        <w:ind w:firstLine="708"/>
        <w:jc w:val="both"/>
      </w:pPr>
      <w:r w:rsidRPr="00841925">
        <w:rPr>
          <w:rFonts w:ascii="Cambria" w:hAnsi="Cambria"/>
        </w:rPr>
        <w:t>The Lomb-</w:t>
      </w:r>
      <w:proofErr w:type="spellStart"/>
      <w:r w:rsidRPr="00841925">
        <w:rPr>
          <w:rFonts w:ascii="Cambria" w:hAnsi="Cambria"/>
        </w:rPr>
        <w:t>Scargle</w:t>
      </w:r>
      <w:proofErr w:type="spellEnd"/>
      <w:r w:rsidRPr="00841925">
        <w:rPr>
          <w:rFonts w:ascii="Cambria" w:hAnsi="Cambria"/>
        </w:rPr>
        <w:t xml:space="preserve"> method</w:t>
      </w:r>
      <w:r>
        <w:rPr>
          <w:rFonts w:ascii="Cambria" w:hAnsi="Cambria"/>
        </w:rPr>
        <w:t xml:space="preserve"> [3],</w:t>
      </w:r>
      <w:r w:rsidRPr="00841925">
        <w:rPr>
          <w:rFonts w:ascii="Cambria" w:hAnsi="Cambria"/>
        </w:rPr>
        <w:t xml:space="preserve"> also known as least-squares spectral analysis, can estimate the </w:t>
      </w:r>
      <w:proofErr w:type="spellStart"/>
      <w:r w:rsidRPr="00841925">
        <w:rPr>
          <w:rFonts w:ascii="Cambria" w:hAnsi="Cambria"/>
        </w:rPr>
        <w:t>periodogram</w:t>
      </w:r>
      <w:proofErr w:type="spellEnd"/>
      <w:r w:rsidRPr="00841925">
        <w:rPr>
          <w:rFonts w:ascii="Cambria" w:hAnsi="Cambria"/>
        </w:rPr>
        <w:t xml:space="preserve"> of signals with heteroscedastic errors. Due</w:t>
      </w:r>
      <w:r w:rsidRPr="00841925">
        <w:t xml:space="preserve"> to the nonstationary nature of the original signals, where acute phase dynamics may have resulted in significant variation of the mean over time, errors cannot be assumed to be homoscedastic in the </w:t>
      </w:r>
      <w:proofErr w:type="spellStart"/>
      <w:r w:rsidRPr="00841925">
        <w:t>detrended</w:t>
      </w:r>
      <w:proofErr w:type="spellEnd"/>
      <w:r w:rsidRPr="00841925">
        <w:t xml:space="preserve"> signals. Furthermore, the Lomb-</w:t>
      </w:r>
      <w:proofErr w:type="spellStart"/>
      <w:r w:rsidRPr="00841925">
        <w:t>Scargle</w:t>
      </w:r>
      <w:proofErr w:type="spellEnd"/>
      <w:r w:rsidRPr="00841925">
        <w:t xml:space="preserve"> method naturally enables a significance threshold</w:t>
      </w:r>
      <w:r>
        <w:t xml:space="preserve"> [4] </w:t>
      </w:r>
      <w:r w:rsidRPr="00841925">
        <w:t xml:space="preserve">to be found beyond which any peaks in the frequency spectrum can be said to </w:t>
      </w:r>
      <w:r w:rsidRPr="00841925">
        <w:lastRenderedPageBreak/>
        <w:t>be statistically significant. Lomb-</w:t>
      </w:r>
      <w:proofErr w:type="spellStart"/>
      <w:r w:rsidRPr="00841925">
        <w:t>Scargle</w:t>
      </w:r>
      <w:proofErr w:type="spellEnd"/>
      <w:r w:rsidRPr="00841925">
        <w:t xml:space="preserve"> </w:t>
      </w:r>
      <w:proofErr w:type="spellStart"/>
      <w:r w:rsidRPr="00841925">
        <w:t>periodogram</w:t>
      </w:r>
      <w:proofErr w:type="spellEnd"/>
      <w:r w:rsidRPr="00841925">
        <w:t xml:space="preserve"> estimation and significance bootstrapping were performed in Python using the </w:t>
      </w:r>
      <w:proofErr w:type="spellStart"/>
      <w:r w:rsidRPr="00841925">
        <w:t>astroML</w:t>
      </w:r>
      <w:proofErr w:type="spellEnd"/>
      <w:r w:rsidRPr="00841925">
        <w:t xml:space="preserve"> package</w:t>
      </w:r>
      <w:r>
        <w:t xml:space="preserve"> [5]</w:t>
      </w:r>
      <w:r w:rsidRPr="00841925">
        <w:t>.</w:t>
      </w:r>
    </w:p>
    <w:p w:rsidR="00841925" w:rsidRPr="00841925" w:rsidRDefault="00841925" w:rsidP="00841925">
      <w:pPr>
        <w:spacing w:line="360" w:lineRule="auto"/>
        <w:jc w:val="both"/>
        <w:rPr>
          <w:rFonts w:ascii="Times" w:eastAsia="Times New Roman" w:hAnsi="Times" w:cs="Times New Roman"/>
          <w:sz w:val="20"/>
          <w:szCs w:val="20"/>
        </w:rPr>
      </w:pPr>
    </w:p>
    <w:p w:rsidR="00841925" w:rsidRPr="00841925" w:rsidRDefault="00841925" w:rsidP="00841925">
      <w:pPr>
        <w:keepNext/>
        <w:spacing w:line="360" w:lineRule="auto"/>
        <w:jc w:val="both"/>
      </w:pPr>
      <w:r w:rsidRPr="00841925">
        <w:rPr>
          <w:noProof/>
          <w:lang w:val="fr-CH" w:eastAsia="fr-CH"/>
        </w:rPr>
        <w:drawing>
          <wp:inline distT="0" distB="0" distL="0" distR="0" wp14:anchorId="28F62C79" wp14:editId="0714E2E5">
            <wp:extent cx="5476079" cy="4014766"/>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qcaudron:Apps:bird-malaria:fig3.pd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76079" cy="4014766"/>
                    </a:xfrm>
                    <a:prstGeom prst="rect">
                      <a:avLst/>
                    </a:prstGeom>
                    <a:noFill/>
                    <a:ln>
                      <a:noFill/>
                    </a:ln>
                  </pic:spPr>
                </pic:pic>
              </a:graphicData>
            </a:graphic>
          </wp:inline>
        </w:drawing>
      </w:r>
    </w:p>
    <w:p w:rsidR="00841925" w:rsidRPr="00841925" w:rsidRDefault="00841925" w:rsidP="00841925">
      <w:pPr>
        <w:pStyle w:val="Lgende"/>
        <w:spacing w:line="360" w:lineRule="auto"/>
        <w:jc w:val="both"/>
        <w:rPr>
          <w:color w:val="auto"/>
        </w:rPr>
      </w:pPr>
      <w:r w:rsidRPr="00841925">
        <w:rPr>
          <w:color w:val="auto"/>
        </w:rPr>
        <w:t>Figure S</w:t>
      </w:r>
      <w:r w:rsidRPr="00841925">
        <w:rPr>
          <w:color w:val="auto"/>
        </w:rPr>
        <w:fldChar w:fldCharType="begin"/>
      </w:r>
      <w:r w:rsidRPr="00841925">
        <w:rPr>
          <w:color w:val="auto"/>
        </w:rPr>
        <w:instrText xml:space="preserve"> SEQ Figure \* ARABIC </w:instrText>
      </w:r>
      <w:r w:rsidRPr="00841925">
        <w:rPr>
          <w:color w:val="auto"/>
        </w:rPr>
        <w:fldChar w:fldCharType="separate"/>
      </w:r>
      <w:r w:rsidR="007C5EF1">
        <w:rPr>
          <w:noProof/>
          <w:color w:val="auto"/>
        </w:rPr>
        <w:t>3</w:t>
      </w:r>
      <w:r w:rsidRPr="00841925">
        <w:rPr>
          <w:noProof/>
          <w:color w:val="auto"/>
        </w:rPr>
        <w:fldChar w:fldCharType="end"/>
      </w:r>
      <w:r w:rsidRPr="00841925">
        <w:rPr>
          <w:color w:val="auto"/>
        </w:rPr>
        <w:t xml:space="preserve">. Left: the distribution of the frequency content in the </w:t>
      </w:r>
      <w:proofErr w:type="spellStart"/>
      <w:r w:rsidRPr="00841925">
        <w:rPr>
          <w:color w:val="auto"/>
        </w:rPr>
        <w:t>detrended</w:t>
      </w:r>
      <w:proofErr w:type="spellEnd"/>
      <w:r w:rsidRPr="00841925">
        <w:rPr>
          <w:color w:val="auto"/>
        </w:rPr>
        <w:t xml:space="preserve"> </w:t>
      </w:r>
      <w:proofErr w:type="spellStart"/>
      <w:r w:rsidRPr="00841925">
        <w:rPr>
          <w:color w:val="auto"/>
        </w:rPr>
        <w:t>parasitaemia</w:t>
      </w:r>
      <w:proofErr w:type="spellEnd"/>
      <w:r w:rsidRPr="00841925">
        <w:rPr>
          <w:color w:val="auto"/>
        </w:rPr>
        <w:t xml:space="preserve">; the black line shows the 95% confidence limit as found by bootstrapping. Right: the </w:t>
      </w:r>
      <w:proofErr w:type="spellStart"/>
      <w:r w:rsidRPr="00841925">
        <w:rPr>
          <w:color w:val="auto"/>
        </w:rPr>
        <w:t>detrended</w:t>
      </w:r>
      <w:proofErr w:type="spellEnd"/>
      <w:r w:rsidRPr="00841925">
        <w:rPr>
          <w:color w:val="auto"/>
        </w:rPr>
        <w:t xml:space="preserve"> signal (blue), overlaid with the circadian sinusoid that best fits it (red).</w:t>
      </w:r>
    </w:p>
    <w:p w:rsidR="00841925" w:rsidRPr="00841925" w:rsidRDefault="00841925" w:rsidP="00841925">
      <w:pPr>
        <w:spacing w:line="360" w:lineRule="auto"/>
        <w:jc w:val="both"/>
        <w:rPr>
          <w:b/>
          <w:sz w:val="28"/>
        </w:rPr>
      </w:pPr>
      <w:r w:rsidRPr="00841925">
        <w:rPr>
          <w:b/>
          <w:sz w:val="28"/>
        </w:rPr>
        <w:t>The phase of the circadian frequency</w:t>
      </w:r>
    </w:p>
    <w:p w:rsidR="00841925" w:rsidRPr="00841925" w:rsidRDefault="0065361F" w:rsidP="00841925">
      <w:pPr>
        <w:spacing w:line="360" w:lineRule="auto"/>
        <w:ind w:firstLine="708"/>
        <w:jc w:val="both"/>
        <w:rPr>
          <w:rFonts w:eastAsia="Times New Roman" w:cs="Times New Roman"/>
          <w:sz w:val="20"/>
          <w:szCs w:val="20"/>
        </w:rPr>
      </w:pPr>
      <w:r>
        <w:rPr>
          <w:rFonts w:eastAsia="Times New Roman" w:cs="Times New Roman"/>
          <w:shd w:val="clear" w:color="auto" w:fill="FFFFFF"/>
        </w:rPr>
        <w:t xml:space="preserve">The analysis presented in </w:t>
      </w:r>
      <w:r w:rsidRPr="0065361F">
        <w:rPr>
          <w:rFonts w:eastAsia="Times New Roman" w:cs="Times New Roman"/>
          <w:b/>
          <w:shd w:val="clear" w:color="auto" w:fill="FFFFFF"/>
        </w:rPr>
        <w:t>Fig.</w:t>
      </w:r>
      <w:r w:rsidR="00841925" w:rsidRPr="0065361F">
        <w:rPr>
          <w:rFonts w:eastAsia="Times New Roman" w:cs="Times New Roman"/>
          <w:b/>
          <w:shd w:val="clear" w:color="auto" w:fill="FFFFFF"/>
        </w:rPr>
        <w:t xml:space="preserve"> </w:t>
      </w:r>
      <w:r w:rsidRPr="0065361F">
        <w:rPr>
          <w:rFonts w:eastAsia="Times New Roman" w:cs="Times New Roman"/>
          <w:b/>
          <w:shd w:val="clear" w:color="auto" w:fill="FFFFFF"/>
        </w:rPr>
        <w:t>S</w:t>
      </w:r>
      <w:r w:rsidR="00841925" w:rsidRPr="0065361F">
        <w:rPr>
          <w:rFonts w:eastAsia="Times New Roman" w:cs="Times New Roman"/>
          <w:b/>
          <w:shd w:val="clear" w:color="auto" w:fill="FFFFFF"/>
        </w:rPr>
        <w:t>3</w:t>
      </w:r>
      <w:r w:rsidR="00841925" w:rsidRPr="00841925">
        <w:rPr>
          <w:rFonts w:eastAsia="Times New Roman" w:cs="Times New Roman"/>
          <w:shd w:val="clear" w:color="auto" w:fill="FFFFFF"/>
        </w:rPr>
        <w:t xml:space="preserve"> shows some evidence for a peak in the </w:t>
      </w:r>
      <w:proofErr w:type="spellStart"/>
      <w:r w:rsidR="00841925" w:rsidRPr="00841925">
        <w:rPr>
          <w:rFonts w:eastAsia="Times New Roman" w:cs="Times New Roman"/>
          <w:shd w:val="clear" w:color="auto" w:fill="FFFFFF"/>
        </w:rPr>
        <w:t>periodogram</w:t>
      </w:r>
      <w:proofErr w:type="spellEnd"/>
      <w:r w:rsidR="00841925" w:rsidRPr="00841925">
        <w:rPr>
          <w:rFonts w:eastAsia="Times New Roman" w:cs="Times New Roman"/>
          <w:shd w:val="clear" w:color="auto" w:fill="FFFFFF"/>
        </w:rPr>
        <w:t xml:space="preserve"> around the daily frequency (that is, a circadian rhythm). By considering the </w:t>
      </w:r>
      <w:proofErr w:type="spellStart"/>
      <w:r w:rsidR="00841925" w:rsidRPr="00841925">
        <w:rPr>
          <w:rFonts w:eastAsia="Times New Roman" w:cs="Times New Roman"/>
          <w:shd w:val="clear" w:color="auto" w:fill="FFFFFF"/>
        </w:rPr>
        <w:t>detrended</w:t>
      </w:r>
      <w:proofErr w:type="spellEnd"/>
      <w:r w:rsidR="00841925" w:rsidRPr="00841925">
        <w:rPr>
          <w:rFonts w:eastAsia="Times New Roman" w:cs="Times New Roman"/>
          <w:shd w:val="clear" w:color="auto" w:fill="FFFFFF"/>
        </w:rPr>
        <w:t xml:space="preserve"> </w:t>
      </w:r>
      <w:proofErr w:type="spellStart"/>
      <w:r w:rsidR="00841925" w:rsidRPr="00841925">
        <w:rPr>
          <w:rFonts w:eastAsia="Times New Roman" w:cs="Times New Roman"/>
          <w:shd w:val="clear" w:color="auto" w:fill="FFFFFF"/>
        </w:rPr>
        <w:t>parasitaemia</w:t>
      </w:r>
      <w:proofErr w:type="spellEnd"/>
      <w:r w:rsidR="00841925" w:rsidRPr="00841925">
        <w:rPr>
          <w:rFonts w:eastAsia="Times New Roman" w:cs="Times New Roman"/>
          <w:shd w:val="clear" w:color="auto" w:fill="FFFFFF"/>
        </w:rPr>
        <w:t xml:space="preserve"> of Unexposed Host #2 (in which the circadian dynamic was found statistically significant), and performing a least-squares fit of a sinusoid with a daily frequency (as shown in </w:t>
      </w:r>
      <w:r w:rsidR="00841925" w:rsidRPr="00841925">
        <w:rPr>
          <w:rFonts w:eastAsia="Times New Roman" w:cs="Times New Roman"/>
          <w:b/>
          <w:bCs/>
          <w:shd w:val="clear" w:color="auto" w:fill="FFFFFF"/>
        </w:rPr>
        <w:t>Fig. S3</w:t>
      </w:r>
      <w:r w:rsidR="00841925" w:rsidRPr="00841925">
        <w:rPr>
          <w:rFonts w:eastAsia="Times New Roman" w:cs="Times New Roman"/>
          <w:shd w:val="clear" w:color="auto" w:fill="FFFFFF"/>
        </w:rPr>
        <w:t xml:space="preserve">), we find that the phase of this daily dynamic occurs in the </w:t>
      </w:r>
      <w:r w:rsidR="006339EF">
        <w:rPr>
          <w:rFonts w:eastAsia="Times New Roman" w:cs="Times New Roman"/>
          <w:shd w:val="clear" w:color="auto" w:fill="FFFFFF"/>
        </w:rPr>
        <w:t xml:space="preserve">late </w:t>
      </w:r>
      <w:r w:rsidR="00841925" w:rsidRPr="00841925">
        <w:rPr>
          <w:rFonts w:eastAsia="Times New Roman" w:cs="Times New Roman"/>
          <w:shd w:val="clear" w:color="auto" w:fill="FFFFFF"/>
        </w:rPr>
        <w:t>afternoons (16:03), which coincides with periods of high mosquito activity (see also </w:t>
      </w:r>
      <w:r w:rsidR="00841925" w:rsidRPr="00841925">
        <w:rPr>
          <w:rFonts w:eastAsia="Times New Roman" w:cs="Times New Roman"/>
          <w:b/>
          <w:bCs/>
          <w:shd w:val="clear" w:color="auto" w:fill="FFFFFF"/>
        </w:rPr>
        <w:t>Fig</w:t>
      </w:r>
      <w:r>
        <w:rPr>
          <w:rFonts w:eastAsia="Times New Roman" w:cs="Times New Roman"/>
          <w:b/>
          <w:bCs/>
          <w:shd w:val="clear" w:color="auto" w:fill="FFFFFF"/>
        </w:rPr>
        <w:t>.</w:t>
      </w:r>
      <w:r w:rsidR="00841925" w:rsidRPr="00841925">
        <w:rPr>
          <w:rFonts w:eastAsia="Times New Roman" w:cs="Times New Roman"/>
          <w:b/>
          <w:bCs/>
          <w:shd w:val="clear" w:color="auto" w:fill="FFFFFF"/>
        </w:rPr>
        <w:t xml:space="preserve"> 3</w:t>
      </w:r>
      <w:r w:rsidR="00841925" w:rsidRPr="00841925">
        <w:rPr>
          <w:rFonts w:eastAsia="Times New Roman" w:cs="Times New Roman"/>
          <w:shd w:val="clear" w:color="auto" w:fill="FFFFFF"/>
        </w:rPr>
        <w:t> in the main text).</w:t>
      </w:r>
    </w:p>
    <w:sdt>
      <w:sdtPr>
        <w:rPr>
          <w:rFonts w:asciiTheme="minorHAnsi" w:eastAsiaTheme="minorEastAsia" w:hAnsiTheme="minorHAnsi" w:cstheme="minorBidi"/>
          <w:b w:val="0"/>
          <w:bCs w:val="0"/>
          <w:color w:val="auto"/>
          <w:sz w:val="24"/>
          <w:szCs w:val="24"/>
          <w:lang w:bidi="ar-SA"/>
        </w:rPr>
        <w:id w:val="1687860670"/>
        <w:docPartObj>
          <w:docPartGallery w:val="Bibliographies"/>
          <w:docPartUnique/>
        </w:docPartObj>
      </w:sdtPr>
      <w:sdtEndPr/>
      <w:sdtContent>
        <w:p w:rsidR="00841925" w:rsidRPr="00841925" w:rsidRDefault="00841925" w:rsidP="00841925">
          <w:pPr>
            <w:pStyle w:val="Titre1"/>
            <w:spacing w:line="360" w:lineRule="auto"/>
            <w:jc w:val="both"/>
            <w:rPr>
              <w:rFonts w:asciiTheme="minorHAnsi" w:eastAsiaTheme="minorEastAsia" w:hAnsiTheme="minorHAnsi" w:cstheme="minorBidi"/>
              <w:bCs w:val="0"/>
              <w:color w:val="auto"/>
              <w:szCs w:val="24"/>
              <w:lang w:bidi="ar-SA"/>
            </w:rPr>
          </w:pPr>
          <w:r w:rsidRPr="00841925">
            <w:rPr>
              <w:rFonts w:asciiTheme="minorHAnsi" w:eastAsiaTheme="minorEastAsia" w:hAnsiTheme="minorHAnsi" w:cstheme="minorBidi"/>
              <w:bCs w:val="0"/>
              <w:color w:val="auto"/>
              <w:szCs w:val="24"/>
              <w:lang w:bidi="ar-SA"/>
            </w:rPr>
            <w:t>Bibliography</w:t>
          </w:r>
        </w:p>
        <w:p w:rsidR="00841925" w:rsidRPr="00841925" w:rsidRDefault="00841925" w:rsidP="00841925">
          <w:pPr>
            <w:pStyle w:val="Bibliographie"/>
            <w:spacing w:line="360" w:lineRule="auto"/>
            <w:jc w:val="both"/>
            <w:rPr>
              <w:rFonts w:cs="Times New Roman"/>
              <w:noProof/>
            </w:rPr>
          </w:pPr>
          <w:r w:rsidRPr="00841925">
            <w:rPr>
              <w:rFonts w:cs="Times New Roman"/>
              <w:noProof/>
            </w:rPr>
            <w:t>1. Williams CE.</w:t>
          </w:r>
          <w:r w:rsidR="004E2E44">
            <w:rPr>
              <w:rFonts w:cs="Times New Roman"/>
              <w:noProof/>
            </w:rPr>
            <w:t xml:space="preserve"> 2006</w:t>
          </w:r>
          <w:r w:rsidRPr="00841925">
            <w:rPr>
              <w:rFonts w:cs="Times New Roman"/>
              <w:noProof/>
            </w:rPr>
            <w:t xml:space="preserve"> </w:t>
          </w:r>
          <w:r w:rsidRPr="004E2E44">
            <w:rPr>
              <w:rFonts w:cs="Times New Roman"/>
              <w:i/>
              <w:iCs/>
              <w:noProof/>
            </w:rPr>
            <w:t>Gaussian Processes for Machine Learning</w:t>
          </w:r>
          <w:r w:rsidRPr="00841925">
            <w:rPr>
              <w:rFonts w:cs="Times New Roman"/>
              <w:i/>
              <w:iCs/>
              <w:noProof/>
            </w:rPr>
            <w:t>.</w:t>
          </w:r>
          <w:r w:rsidR="004E2E44">
            <w:rPr>
              <w:rFonts w:cs="Times New Roman"/>
              <w:noProof/>
            </w:rPr>
            <w:t xml:space="preserve"> MIT Press</w:t>
          </w:r>
        </w:p>
        <w:sdt>
          <w:sdtPr>
            <w:id w:val="1839420344"/>
            <w:bibliography/>
          </w:sdtPr>
          <w:sdtEndPr>
            <w:rPr>
              <w:rFonts w:asciiTheme="majorHAnsi" w:hAnsiTheme="majorHAnsi"/>
            </w:rPr>
          </w:sdtEndPr>
          <w:sdtContent>
            <w:p w:rsidR="00841925" w:rsidRPr="00841925" w:rsidRDefault="00841925" w:rsidP="00841925">
              <w:pPr>
                <w:pStyle w:val="Bibliographie"/>
                <w:spacing w:line="360" w:lineRule="auto"/>
                <w:jc w:val="both"/>
                <w:rPr>
                  <w:rFonts w:cs="Times New Roman"/>
                  <w:noProof/>
                </w:rPr>
              </w:pPr>
              <w:r w:rsidRPr="00841925">
                <w:t xml:space="preserve">2. </w:t>
              </w:r>
              <w:r w:rsidRPr="00841925">
                <w:fldChar w:fldCharType="begin"/>
              </w:r>
              <w:r w:rsidRPr="00841925">
                <w:instrText xml:space="preserve"> BIBLIOGRAPHY </w:instrText>
              </w:r>
              <w:r w:rsidRPr="00841925">
                <w:fldChar w:fldCharType="separate"/>
              </w:r>
              <w:r w:rsidRPr="00841925">
                <w:rPr>
                  <w:rFonts w:cs="Times New Roman"/>
                  <w:noProof/>
                </w:rPr>
                <w:t>Pedregosa F, Varoquaux G, Gramfort A, Michel V, Thirion B, Grisel O, et al.</w:t>
              </w:r>
              <w:r w:rsidR="004E2E44">
                <w:rPr>
                  <w:rFonts w:cs="Times New Roman"/>
                  <w:noProof/>
                </w:rPr>
                <w:t xml:space="preserve"> 2012</w:t>
              </w:r>
              <w:r w:rsidRPr="00841925">
                <w:rPr>
                  <w:rFonts w:cs="Times New Roman"/>
                  <w:noProof/>
                </w:rPr>
                <w:t xml:space="preserve"> Scikit-learn: machine learning in python. </w:t>
              </w:r>
              <w:r w:rsidRPr="00841925">
                <w:rPr>
                  <w:rFonts w:cs="Times New Roman"/>
                  <w:i/>
                  <w:iCs/>
                  <w:noProof/>
                </w:rPr>
                <w:t>JMLR</w:t>
              </w:r>
              <w:r w:rsidRPr="00841925">
                <w:rPr>
                  <w:rFonts w:cs="Times New Roman"/>
                  <w:noProof/>
                </w:rPr>
                <w:t xml:space="preserve">. </w:t>
              </w:r>
              <w:r w:rsidRPr="004E2E44">
                <w:rPr>
                  <w:rFonts w:cs="Times New Roman"/>
                  <w:b/>
                  <w:iCs/>
                  <w:noProof/>
                </w:rPr>
                <w:t>12</w:t>
              </w:r>
              <w:r w:rsidR="004E2E44">
                <w:rPr>
                  <w:rFonts w:cs="Times New Roman"/>
                  <w:b/>
                  <w:iCs/>
                  <w:noProof/>
                </w:rPr>
                <w:t>,</w:t>
              </w:r>
              <w:r w:rsidRPr="00841925">
                <w:rPr>
                  <w:rFonts w:cs="Times New Roman"/>
                  <w:noProof/>
                </w:rPr>
                <w:t xml:space="preserve"> 2825-2830. </w:t>
              </w:r>
              <w:r w:rsidR="004E2E44">
                <w:rPr>
                  <w:rFonts w:cs="Times New Roman"/>
                  <w:noProof/>
                </w:rPr>
                <w:t>(</w:t>
              </w:r>
              <w:r w:rsidRPr="00841925">
                <w:rPr>
                  <w:rFonts w:cs="Times New Roman"/>
                  <w:noProof/>
                </w:rPr>
                <w:t>doi:</w:t>
              </w:r>
              <w:r w:rsidRPr="00841925">
                <w:t xml:space="preserve"> </w:t>
              </w:r>
              <w:r w:rsidRPr="00841925">
                <w:rPr>
                  <w:rFonts w:cs="Times New Roman"/>
                  <w:noProof/>
                </w:rPr>
                <w:t>10.1145/1961189.1961199</w:t>
              </w:r>
              <w:r w:rsidR="004E2E44">
                <w:rPr>
                  <w:rFonts w:cs="Times New Roman"/>
                  <w:noProof/>
                </w:rPr>
                <w:t>)</w:t>
              </w:r>
            </w:p>
            <w:p w:rsidR="00841925" w:rsidRPr="00841925" w:rsidRDefault="00841925" w:rsidP="00841925">
              <w:pPr>
                <w:pStyle w:val="Bibliographie"/>
                <w:spacing w:line="360" w:lineRule="auto"/>
                <w:jc w:val="both"/>
                <w:rPr>
                  <w:rFonts w:cs="Times New Roman"/>
                  <w:noProof/>
                </w:rPr>
              </w:pPr>
              <w:r w:rsidRPr="00841925">
                <w:rPr>
                  <w:rFonts w:cs="Times New Roman"/>
                  <w:noProof/>
                </w:rPr>
                <w:t>3. Zechmeister M, &amp; Kürster M.</w:t>
              </w:r>
              <w:r w:rsidR="004E2E44">
                <w:rPr>
                  <w:rFonts w:cs="Times New Roman"/>
                  <w:noProof/>
                </w:rPr>
                <w:t xml:space="preserve"> 2009</w:t>
              </w:r>
              <w:r w:rsidRPr="00841925">
                <w:rPr>
                  <w:rFonts w:cs="Times New Roman"/>
                  <w:noProof/>
                </w:rPr>
                <w:t xml:space="preserve"> The generalised lomb-scargle periodogram. </w:t>
              </w:r>
              <w:r w:rsidR="004E2E44">
                <w:rPr>
                  <w:rFonts w:cs="Times New Roman"/>
                  <w:i/>
                  <w:iCs/>
                  <w:noProof/>
                </w:rPr>
                <w:t xml:space="preserve">A &amp; A. </w:t>
              </w:r>
              <w:r w:rsidRPr="004E2E44">
                <w:rPr>
                  <w:rFonts w:cs="Times New Roman"/>
                  <w:b/>
                  <w:iCs/>
                  <w:noProof/>
                </w:rPr>
                <w:t>496</w:t>
              </w:r>
              <w:r w:rsidR="004E2E44">
                <w:rPr>
                  <w:rFonts w:cs="Times New Roman"/>
                  <w:noProof/>
                </w:rPr>
                <w:t>,</w:t>
              </w:r>
              <w:r w:rsidRPr="00841925">
                <w:rPr>
                  <w:rFonts w:cs="Times New Roman"/>
                  <w:noProof/>
                </w:rPr>
                <w:t xml:space="preserve"> 577–584. </w:t>
              </w:r>
              <w:r w:rsidR="004E2E44">
                <w:rPr>
                  <w:rFonts w:cs="Times New Roman"/>
                  <w:noProof/>
                </w:rPr>
                <w:t>(</w:t>
              </w:r>
              <w:r w:rsidRPr="00841925">
                <w:rPr>
                  <w:rFonts w:cs="Times New Roman"/>
                  <w:noProof/>
                </w:rPr>
                <w:t>doi: 10.1051/0004-6361:200811296</w:t>
              </w:r>
              <w:r w:rsidR="004E2E44">
                <w:rPr>
                  <w:rFonts w:cs="Times New Roman"/>
                  <w:noProof/>
                </w:rPr>
                <w:t>)</w:t>
              </w:r>
            </w:p>
            <w:p w:rsidR="00841925" w:rsidRPr="00841925" w:rsidRDefault="00841925" w:rsidP="00841925">
              <w:pPr>
                <w:pStyle w:val="Bibliographie"/>
                <w:spacing w:line="360" w:lineRule="auto"/>
                <w:jc w:val="both"/>
                <w:rPr>
                  <w:rFonts w:cs="Times New Roman"/>
                  <w:noProof/>
                </w:rPr>
              </w:pPr>
              <w:r w:rsidRPr="00841925">
                <w:rPr>
                  <w:rFonts w:cs="Times New Roman"/>
                  <w:noProof/>
                </w:rPr>
                <w:t>4. Scargle J.</w:t>
              </w:r>
              <w:r w:rsidR="004E2E44">
                <w:rPr>
                  <w:rFonts w:cs="Times New Roman"/>
                  <w:noProof/>
                </w:rPr>
                <w:t xml:space="preserve"> 1982</w:t>
              </w:r>
              <w:r w:rsidRPr="00841925">
                <w:rPr>
                  <w:rFonts w:cs="Times New Roman"/>
                  <w:noProof/>
                </w:rPr>
                <w:t xml:space="preserve"> Studies in astronomical time series analysis. II. Statistical aspects of spectral analysis of unevenly spaced data. </w:t>
              </w:r>
              <w:r w:rsidRPr="00841925">
                <w:rPr>
                  <w:rFonts w:cs="Times New Roman"/>
                  <w:i/>
                  <w:iCs/>
                  <w:noProof/>
                </w:rPr>
                <w:t xml:space="preserve">Astrophys Journ. </w:t>
              </w:r>
              <w:r w:rsidRPr="004E2E44">
                <w:rPr>
                  <w:rFonts w:cs="Times New Roman"/>
                  <w:b/>
                  <w:iCs/>
                  <w:noProof/>
                </w:rPr>
                <w:t>293</w:t>
              </w:r>
              <w:r w:rsidR="004E2E44">
                <w:rPr>
                  <w:rFonts w:cs="Times New Roman"/>
                  <w:b/>
                  <w:iCs/>
                  <w:noProof/>
                </w:rPr>
                <w:t>,</w:t>
              </w:r>
              <w:r w:rsidRPr="00841925">
                <w:rPr>
                  <w:rFonts w:cs="Times New Roman"/>
                  <w:noProof/>
                </w:rPr>
                <w:t xml:space="preserve"> 835-853. </w:t>
              </w:r>
              <w:r w:rsidR="004E2E44">
                <w:rPr>
                  <w:rFonts w:cs="Times New Roman"/>
                  <w:noProof/>
                </w:rPr>
                <w:t>(</w:t>
              </w:r>
              <w:r w:rsidRPr="00841925">
                <w:rPr>
                  <w:rFonts w:cs="Times New Roman"/>
                  <w:noProof/>
                </w:rPr>
                <w:t>doi:</w:t>
              </w:r>
              <w:r w:rsidRPr="00841925">
                <w:t xml:space="preserve"> 1</w:t>
              </w:r>
              <w:r w:rsidRPr="00841925">
                <w:rPr>
                  <w:rFonts w:cs="Times New Roman"/>
                  <w:noProof/>
                </w:rPr>
                <w:t>0.1086/160554</w:t>
              </w:r>
              <w:r w:rsidR="004E2E44">
                <w:rPr>
                  <w:rFonts w:cs="Times New Roman"/>
                  <w:noProof/>
                </w:rPr>
                <w:t>)</w:t>
              </w:r>
            </w:p>
            <w:p w:rsidR="00841925" w:rsidRPr="00841925" w:rsidRDefault="00841925" w:rsidP="00841925">
              <w:pPr>
                <w:pStyle w:val="Bibliographie"/>
                <w:spacing w:line="360" w:lineRule="auto"/>
                <w:jc w:val="both"/>
                <w:rPr>
                  <w:rFonts w:cs="Times New Roman"/>
                  <w:noProof/>
                </w:rPr>
              </w:pPr>
              <w:r w:rsidRPr="00841925">
                <w:rPr>
                  <w:rFonts w:cs="Times New Roman"/>
                  <w:noProof/>
                </w:rPr>
                <w:t xml:space="preserve">5. VanderPlas J, Connolly A, Ivezić Ž, Gray A. </w:t>
              </w:r>
              <w:r w:rsidR="004E2E44">
                <w:rPr>
                  <w:rFonts w:cs="Times New Roman"/>
                  <w:noProof/>
                </w:rPr>
                <w:t>2012</w:t>
              </w:r>
              <w:r w:rsidRPr="00841925">
                <w:rPr>
                  <w:rFonts w:cs="Times New Roman"/>
                  <w:noProof/>
                </w:rPr>
                <w:t xml:space="preserve"> Introduction to astroML: Machine learning   for astrophysics. </w:t>
              </w:r>
              <w:r w:rsidRPr="00841925">
                <w:rPr>
                  <w:rFonts w:cs="Times New Roman"/>
                  <w:i/>
                  <w:iCs/>
                  <w:noProof/>
                </w:rPr>
                <w:t>Proceedings of the Conference on Intelligent Data Understanding (CIDU)</w:t>
              </w:r>
              <w:r w:rsidR="004E2E44">
                <w:rPr>
                  <w:rFonts w:cs="Times New Roman"/>
                  <w:noProof/>
                </w:rPr>
                <w:t>.</w:t>
              </w:r>
              <w:r w:rsidRPr="00841925">
                <w:rPr>
                  <w:rFonts w:cs="Times New Roman"/>
                  <w:noProof/>
                </w:rPr>
                <w:t xml:space="preserve"> 47-54. </w:t>
              </w:r>
              <w:r w:rsidR="004E2E44">
                <w:rPr>
                  <w:rFonts w:cs="Times New Roman"/>
                  <w:noProof/>
                </w:rPr>
                <w:t>(</w:t>
              </w:r>
              <w:r w:rsidRPr="00841925">
                <w:rPr>
                  <w:rFonts w:cs="Times New Roman"/>
                  <w:noProof/>
                </w:rPr>
                <w:t>doi:10.1109/CIDU.2012.6382200</w:t>
              </w:r>
              <w:r w:rsidR="004E2E44">
                <w:rPr>
                  <w:rFonts w:cs="Times New Roman"/>
                  <w:noProof/>
                </w:rPr>
                <w:t>)</w:t>
              </w:r>
            </w:p>
            <w:p w:rsidR="00841925" w:rsidRPr="00841925" w:rsidRDefault="00841925" w:rsidP="00841925">
              <w:pPr>
                <w:spacing w:line="360" w:lineRule="auto"/>
                <w:jc w:val="both"/>
                <w:rPr>
                  <w:rFonts w:asciiTheme="majorHAnsi" w:hAnsiTheme="majorHAnsi"/>
                </w:rPr>
              </w:pPr>
              <w:r w:rsidRPr="00841925">
                <w:rPr>
                  <w:b/>
                  <w:bCs/>
                  <w:noProof/>
                </w:rPr>
                <w:fldChar w:fldCharType="end"/>
              </w:r>
            </w:p>
          </w:sdtContent>
        </w:sdt>
      </w:sdtContent>
    </w:sdt>
    <w:p w:rsidR="000920D2" w:rsidRPr="00841925" w:rsidRDefault="000920D2" w:rsidP="00841925">
      <w:pPr>
        <w:spacing w:line="360" w:lineRule="auto"/>
        <w:jc w:val="both"/>
      </w:pPr>
    </w:p>
    <w:sectPr w:rsidR="000920D2" w:rsidRPr="00841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25"/>
    <w:rsid w:val="00005743"/>
    <w:rsid w:val="000859D9"/>
    <w:rsid w:val="000920D2"/>
    <w:rsid w:val="00187E83"/>
    <w:rsid w:val="001E63C3"/>
    <w:rsid w:val="00252087"/>
    <w:rsid w:val="004E2E44"/>
    <w:rsid w:val="006339EF"/>
    <w:rsid w:val="0065361F"/>
    <w:rsid w:val="006C2473"/>
    <w:rsid w:val="007531B4"/>
    <w:rsid w:val="007A7AC3"/>
    <w:rsid w:val="007C5EF1"/>
    <w:rsid w:val="00841925"/>
    <w:rsid w:val="008658A1"/>
    <w:rsid w:val="00974470"/>
    <w:rsid w:val="00AB7AAF"/>
    <w:rsid w:val="00C25CA0"/>
    <w:rsid w:val="00D01C7F"/>
    <w:rsid w:val="00E960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0C313-4FF4-4822-A37B-B67BCBBA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925"/>
    <w:pPr>
      <w:spacing w:after="0" w:line="240" w:lineRule="auto"/>
    </w:pPr>
    <w:rPr>
      <w:rFonts w:eastAsiaTheme="minorEastAsia"/>
      <w:sz w:val="24"/>
      <w:szCs w:val="24"/>
      <w:lang w:val="en-US"/>
    </w:rPr>
  </w:style>
  <w:style w:type="paragraph" w:styleId="Titre1">
    <w:name w:val="heading 1"/>
    <w:basedOn w:val="Normal"/>
    <w:next w:val="Normal"/>
    <w:link w:val="Titre1Car"/>
    <w:uiPriority w:val="9"/>
    <w:qFormat/>
    <w:rsid w:val="00841925"/>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1925"/>
    <w:rPr>
      <w:rFonts w:asciiTheme="majorHAnsi" w:eastAsiaTheme="majorEastAsia" w:hAnsiTheme="majorHAnsi" w:cstheme="majorBidi"/>
      <w:b/>
      <w:bCs/>
      <w:color w:val="2E74B5" w:themeColor="accent1" w:themeShade="BF"/>
      <w:sz w:val="28"/>
      <w:szCs w:val="28"/>
      <w:lang w:val="en-US" w:bidi="en-US"/>
    </w:rPr>
  </w:style>
  <w:style w:type="character" w:styleId="Marquedecommentaire">
    <w:name w:val="annotation reference"/>
    <w:basedOn w:val="Policepardfaut"/>
    <w:uiPriority w:val="99"/>
    <w:semiHidden/>
    <w:unhideWhenUsed/>
    <w:rsid w:val="00841925"/>
    <w:rPr>
      <w:sz w:val="18"/>
      <w:szCs w:val="18"/>
    </w:rPr>
  </w:style>
  <w:style w:type="paragraph" w:styleId="Commentaire">
    <w:name w:val="annotation text"/>
    <w:basedOn w:val="Normal"/>
    <w:link w:val="CommentaireCar"/>
    <w:uiPriority w:val="99"/>
    <w:semiHidden/>
    <w:unhideWhenUsed/>
    <w:rsid w:val="00841925"/>
  </w:style>
  <w:style w:type="character" w:customStyle="1" w:styleId="CommentaireCar">
    <w:name w:val="Commentaire Car"/>
    <w:basedOn w:val="Policepardfaut"/>
    <w:link w:val="Commentaire"/>
    <w:uiPriority w:val="99"/>
    <w:semiHidden/>
    <w:rsid w:val="00841925"/>
    <w:rPr>
      <w:rFonts w:eastAsiaTheme="minorEastAsia"/>
      <w:sz w:val="24"/>
      <w:szCs w:val="24"/>
      <w:lang w:val="en-US"/>
    </w:rPr>
  </w:style>
  <w:style w:type="paragraph" w:styleId="Bibliographie">
    <w:name w:val="Bibliography"/>
    <w:basedOn w:val="Normal"/>
    <w:next w:val="Normal"/>
    <w:uiPriority w:val="37"/>
    <w:unhideWhenUsed/>
    <w:rsid w:val="00841925"/>
  </w:style>
  <w:style w:type="paragraph" w:styleId="Lgende">
    <w:name w:val="caption"/>
    <w:basedOn w:val="Normal"/>
    <w:next w:val="Normal"/>
    <w:uiPriority w:val="35"/>
    <w:unhideWhenUsed/>
    <w:qFormat/>
    <w:rsid w:val="00841925"/>
    <w:pPr>
      <w:spacing w:after="200"/>
    </w:pPr>
    <w:rPr>
      <w:b/>
      <w:bCs/>
      <w:color w:val="5B9BD5" w:themeColor="accent1"/>
      <w:sz w:val="18"/>
      <w:szCs w:val="18"/>
    </w:rPr>
  </w:style>
  <w:style w:type="paragraph" w:styleId="Textedebulles">
    <w:name w:val="Balloon Text"/>
    <w:basedOn w:val="Normal"/>
    <w:link w:val="TextedebullesCar"/>
    <w:uiPriority w:val="99"/>
    <w:semiHidden/>
    <w:unhideWhenUsed/>
    <w:rsid w:val="0084192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1925"/>
    <w:rPr>
      <w:rFonts w:ascii="Segoe UI" w:eastAsiaTheme="minorEastAsia" w:hAnsi="Segoe UI" w:cs="Segoe UI"/>
      <w:sz w:val="18"/>
      <w:szCs w:val="18"/>
      <w:lang w:val="en-US"/>
    </w:rPr>
  </w:style>
  <w:style w:type="character" w:styleId="Lienhypertexte">
    <w:name w:val="Hyperlink"/>
    <w:basedOn w:val="Policepardfaut"/>
    <w:uiPriority w:val="99"/>
    <w:semiHidden/>
    <w:unhideWhenUsed/>
    <w:rsid w:val="00974470"/>
    <w:rPr>
      <w:color w:val="0563C1" w:themeColor="hyperlink"/>
      <w:u w:val="single"/>
    </w:rPr>
  </w:style>
  <w:style w:type="character" w:customStyle="1" w:styleId="hps">
    <w:name w:val="hps"/>
    <w:basedOn w:val="Policepardfaut"/>
    <w:rsid w:val="0008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hyperlink" Target="https://github.com/QCaudron/timing_malaria_transmiss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Car06</b:Tag>
    <b:SourceType>Book</b:SourceType>
    <b:Guid>{42E44DA0-5C3D-C74A-B6CD-0F9F9C974C24}</b:Guid>
    <b:Title>Gaussian Processes for Machine Learning</b:Title>
    <b:Publisher>MIT Press</b:Publisher>
    <b:Year>2006</b:Year>
    <b:Comments>http://www.gaussianprocess.org/gpml/chapters/RW.pdf</b:Comments>
    <b:Author>
      <b:Author>
        <b:NameList>
          <b:Person>
            <b:Last>Williams</b:Last>
            <b:First>Carl</b:First>
            <b:Middle>Eduard Rasmussen and Christopher K.I.</b:Middle>
          </b:Person>
        </b:NameList>
      </b:Author>
    </b:Author>
    <b:RefOrder>1</b:RefOrder>
  </b:Source>
  <b:Source>
    <b:Tag>Ped11</b:Tag>
    <b:SourceType>JournalArticle</b:SourceType>
    <b:Guid>{D9A49C11-5A26-D64A-B443-D44A46513A3B}</b:Guid>
    <b:Author>
      <b:Author>
        <b:NameList>
          <b:Person>
            <b:Last>Pedregosa</b:Last>
            <b:First>F</b:First>
          </b:Person>
          <b:Person>
            <b:Last>Varoquaux</b:Last>
            <b:First>G</b:First>
          </b:Person>
          <b:Person>
            <b:Last>Gramfort</b:Last>
            <b:First>A</b:First>
          </b:Person>
          <b:Person>
            <b:Last>Michel</b:Last>
            <b:First>V</b:First>
          </b:Person>
          <b:Person>
            <b:Last>Thirion</b:Last>
            <b:First>B</b:First>
          </b:Person>
          <b:Person>
            <b:Last>Grisel</b:Last>
            <b:First>O</b:First>
          </b:Person>
          <b:Person>
            <b:Last>Blondel</b:Last>
            <b:First>M</b:First>
          </b:Person>
          <b:Person>
            <b:Last>Prettenhofer</b:Last>
            <b:First>P</b:First>
          </b:Person>
          <b:Person>
            <b:Last>Weiss</b:Last>
            <b:First>R</b:First>
          </b:Person>
          <b:Person>
            <b:Last>Dubourg</b:Last>
            <b:First>V</b:First>
          </b:Person>
          <b:Person>
            <b:Last>VanderPlas</b:Last>
            <b:First>JT</b:First>
          </b:Person>
          <b:Person>
            <b:Last>Passos</b:Last>
            <b:First>A</b:First>
          </b:Person>
          <b:Person>
            <b:Last>Cournapeau</b:Last>
            <b:First>D</b:First>
          </b:Person>
          <b:Person>
            <b:Last>Brucher</b:Last>
            <b:First>M</b:First>
          </b:Person>
          <b:Person>
            <b:Last>Perrot</b:Last>
            <b:First>M</b:First>
          </b:Person>
          <b:Person>
            <b:Last>Duchesnay</b:Last>
            <b:First>E</b:First>
          </b:Person>
        </b:NameList>
      </b:Author>
    </b:Author>
    <b:Title>Scikit-learn: Machine Learning in Python</b:Title>
    <b:JournalName>Journal of Machine Learning Research</b:JournalName>
    <b:Year>2011</b:Year>
    <b:Volume>12</b:Volume>
    <b:Pages>2825-2830</b:Pages>
    <b:RefOrder>2</b:RefOrder>
  </b:Source>
  <b:Source>
    <b:Tag>Zec09</b:Tag>
    <b:SourceType>JournalArticle</b:SourceType>
    <b:Guid>{89E7589C-7183-2F49-B5CB-45545237212E}</b:Guid>
    <b:Title>The Generalised Lomb-Scargle Periodogram</b:Title>
    <b:Year>2009</b:Year>
    <b:Volume>496</b:Volume>
    <b:Pages>577–584</b:Pages>
    <b:Author>
      <b:Author>
        <b:NameList>
          <b:Person>
            <b:Last>Zechmeister</b:Last>
            <b:First>M</b:First>
          </b:Person>
          <b:Person>
            <b:Last>Kürster</b:Last>
            <b:First>M</b:First>
          </b:Person>
        </b:NameList>
      </b:Author>
    </b:Author>
    <b:JournalName>Astronomy and Astrophysics</b:JournalName>
    <b:RefOrder>3</b:RefOrder>
  </b:Source>
  <b:Source>
    <b:Tag>Sca82</b:Tag>
    <b:SourceType>JournalArticle</b:SourceType>
    <b:Guid>{6BBB46C5-85EB-6847-89E2-8C7C3EF96772}</b:Guid>
    <b:Author>
      <b:Author>
        <b:NameList>
          <b:Person>
            <b:Last>Scargle</b:Last>
            <b:First>JD</b:First>
          </b:Person>
        </b:NameList>
      </b:Author>
    </b:Author>
    <b:Title>Studies in Astronomical Time Series Analysis. II. Statistical Aspects of Spectral Analysis of Unevenly Spaced Data.</b:Title>
    <b:Year>1982</b:Year>
    <b:Volume>293</b:Volume>
    <b:Pages>835-853</b:Pages>
    <b:JournalName>The Astrophysical Journal</b:JournalName>
    <b:Month>December</b:Month>
    <b:RefOrder>4</b:RefOrder>
  </b:Source>
  <b:Source>
    <b:Tag>Van12</b:Tag>
    <b:SourceType>ConferenceProceedings</b:SourceType>
    <b:Guid>{E5D15B0A-AFCD-DC48-AA5D-7CB7D1A89738}</b:Guid>
    <b:Author>
      <b:Author>
        <b:NameList>
          <b:Person>
            <b:Last>VanderPlas</b:Last>
            <b:First>JT</b:First>
          </b:Person>
          <b:Person>
            <b:Last>Connolly</b:Last>
            <b:First>AJ</b:First>
          </b:Person>
          <b:Person>
            <b:Last>Ivezić</b:Last>
            <b:First>Ž</b:First>
          </b:Person>
          <b:Person>
            <b:Last>Gray</b:Last>
            <b:First>A</b:First>
          </b:Person>
        </b:NameList>
      </b:Author>
    </b:Author>
    <b:Title>Introduction to astroML: Machine learning for astrophysics</b:Title>
    <b:JournalName>Proceedings of the Conference on Intelligent Data Understanding (CIDU)</b:JournalName>
    <b:Year>2012</b:Year>
    <b:Pages>47-54</b:Pages>
    <b:ConferenceName>Proceedings of the Conference on Intelligent Data Understanding (CIDU)</b:ConferenceName>
    <b:RefOrder>5</b:RefOrder>
  </b:Source>
</b:Sources>
</file>

<file path=customXml/itemProps1.xml><?xml version="1.0" encoding="utf-8"?>
<ds:datastoreItem xmlns:ds="http://schemas.openxmlformats.org/officeDocument/2006/customXml" ds:itemID="{7EFD3398-E870-4F01-A791-3D8F3B79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5184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Pigeault</dc:creator>
  <cp:keywords/>
  <dc:description/>
  <cp:lastModifiedBy>Romain Pigeault</cp:lastModifiedBy>
  <cp:revision>7</cp:revision>
  <cp:lastPrinted>2018-01-22T14:23:00Z</cp:lastPrinted>
  <dcterms:created xsi:type="dcterms:W3CDTF">2018-01-22T07:49:00Z</dcterms:created>
  <dcterms:modified xsi:type="dcterms:W3CDTF">2018-05-24T06:49:00Z</dcterms:modified>
</cp:coreProperties>
</file>