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7827DD" w14:textId="423A6810" w:rsidR="00874399" w:rsidRPr="00945ACC" w:rsidRDefault="00DB6D05" w:rsidP="005C2127">
      <w:pPr>
        <w:jc w:val="center"/>
        <w:rPr>
          <w:color w:val="000000" w:themeColor="text1"/>
        </w:rPr>
      </w:pPr>
      <w:r w:rsidRPr="00945ACC">
        <w:rPr>
          <w:b/>
          <w:color w:val="000000" w:themeColor="text1"/>
        </w:rPr>
        <w:t xml:space="preserve">Increased emotional eating during COVID-19 associated with lockdown, psychological </w:t>
      </w:r>
      <w:r w:rsidR="000B10C2" w:rsidRPr="00945ACC">
        <w:rPr>
          <w:b/>
          <w:color w:val="000000" w:themeColor="text1"/>
        </w:rPr>
        <w:t xml:space="preserve">and social </w:t>
      </w:r>
      <w:r w:rsidRPr="00945ACC">
        <w:rPr>
          <w:b/>
          <w:color w:val="000000" w:themeColor="text1"/>
        </w:rPr>
        <w:t>distress</w:t>
      </w:r>
      <w:r w:rsidR="00CF2710" w:rsidRPr="00945ACC" w:rsidDel="00FB09B3">
        <w:rPr>
          <w:b/>
          <w:color w:val="000000" w:themeColor="text1"/>
        </w:rPr>
        <w:t xml:space="preserve"> </w:t>
      </w:r>
    </w:p>
    <w:p w14:paraId="4D9E3F99" w14:textId="77777777" w:rsidR="00874399" w:rsidRPr="00945ACC" w:rsidRDefault="00B16B40">
      <w:pPr>
        <w:rPr>
          <w:color w:val="000000" w:themeColor="text1"/>
          <w:lang w:val="it-IT"/>
        </w:rPr>
      </w:pPr>
      <w:r w:rsidRPr="00945ACC">
        <w:rPr>
          <w:color w:val="000000" w:themeColor="text1"/>
          <w:lang w:val="it-IT"/>
        </w:rPr>
        <w:t>Cinzia Cecchetto</w:t>
      </w:r>
      <w:r w:rsidRPr="00945ACC">
        <w:rPr>
          <w:color w:val="000000" w:themeColor="text1"/>
          <w:vertAlign w:val="superscript"/>
          <w:lang w:val="it-IT"/>
        </w:rPr>
        <w:t>1</w:t>
      </w:r>
      <w:r w:rsidRPr="00945ACC">
        <w:rPr>
          <w:color w:val="000000" w:themeColor="text1"/>
          <w:lang w:val="it-IT"/>
        </w:rPr>
        <w:t>, Marilena Aiello</w:t>
      </w:r>
      <w:r w:rsidRPr="00945ACC">
        <w:rPr>
          <w:color w:val="000000" w:themeColor="text1"/>
          <w:vertAlign w:val="superscript"/>
          <w:lang w:val="it-IT"/>
        </w:rPr>
        <w:t>2</w:t>
      </w:r>
      <w:r w:rsidRPr="00945ACC">
        <w:rPr>
          <w:color w:val="000000" w:themeColor="text1"/>
          <w:lang w:val="it-IT"/>
        </w:rPr>
        <w:t>, Claudio Gentili</w:t>
      </w:r>
      <w:r w:rsidRPr="00945ACC">
        <w:rPr>
          <w:color w:val="000000" w:themeColor="text1"/>
          <w:vertAlign w:val="superscript"/>
          <w:lang w:val="it-IT"/>
        </w:rPr>
        <w:t>1,3</w:t>
      </w:r>
      <w:r w:rsidRPr="00945ACC">
        <w:rPr>
          <w:color w:val="000000" w:themeColor="text1"/>
          <w:lang w:val="it-IT"/>
        </w:rPr>
        <w:t>, Silvio Ionta</w:t>
      </w:r>
      <w:r w:rsidRPr="00945ACC">
        <w:rPr>
          <w:color w:val="000000" w:themeColor="text1"/>
          <w:vertAlign w:val="superscript"/>
          <w:lang w:val="it-IT"/>
        </w:rPr>
        <w:t>4</w:t>
      </w:r>
      <w:r w:rsidRPr="00945ACC">
        <w:rPr>
          <w:color w:val="000000" w:themeColor="text1"/>
          <w:lang w:val="it-IT"/>
        </w:rPr>
        <w:t>, Sofia Adelaide Osimo</w:t>
      </w:r>
      <w:r w:rsidRPr="00945ACC">
        <w:rPr>
          <w:color w:val="000000" w:themeColor="text1"/>
          <w:vertAlign w:val="superscript"/>
          <w:lang w:val="it-IT"/>
        </w:rPr>
        <w:t>4</w:t>
      </w:r>
      <w:r w:rsidRPr="00945ACC">
        <w:rPr>
          <w:color w:val="000000" w:themeColor="text1"/>
          <w:lang w:val="it-IT"/>
        </w:rPr>
        <w:t>*</w:t>
      </w:r>
    </w:p>
    <w:p w14:paraId="4AFAA327" w14:textId="573EB4C8" w:rsidR="00874399" w:rsidRPr="00945ACC" w:rsidRDefault="00B16B40">
      <w:pPr>
        <w:rPr>
          <w:color w:val="000000" w:themeColor="text1"/>
        </w:rPr>
      </w:pPr>
      <w:r w:rsidRPr="00945ACC">
        <w:rPr>
          <w:color w:val="000000" w:themeColor="text1"/>
        </w:rPr>
        <w:t xml:space="preserve">1 - Department of General Psychology, University of </w:t>
      </w:r>
      <w:r w:rsidR="00F831E9" w:rsidRPr="00945ACC">
        <w:rPr>
          <w:color w:val="000000" w:themeColor="text1"/>
        </w:rPr>
        <w:t>Padova</w:t>
      </w:r>
      <w:r w:rsidRPr="00945ACC">
        <w:rPr>
          <w:color w:val="000000" w:themeColor="text1"/>
        </w:rPr>
        <w:t>, Via Venezia 8 - 35131, Padua, Italy</w:t>
      </w:r>
    </w:p>
    <w:p w14:paraId="0C51EF74" w14:textId="77777777" w:rsidR="00874399" w:rsidRPr="00945ACC" w:rsidRDefault="00B16B40">
      <w:pPr>
        <w:rPr>
          <w:color w:val="000000" w:themeColor="text1"/>
          <w:lang w:val="it-IT"/>
        </w:rPr>
      </w:pPr>
      <w:r w:rsidRPr="00945ACC">
        <w:rPr>
          <w:color w:val="000000" w:themeColor="text1"/>
          <w:lang w:val="it-IT"/>
        </w:rPr>
        <w:t>2 - Scuola Intern</w:t>
      </w:r>
      <w:r w:rsidR="00475CDB" w:rsidRPr="00945ACC">
        <w:rPr>
          <w:color w:val="000000" w:themeColor="text1"/>
          <w:lang w:val="it-IT"/>
        </w:rPr>
        <w:t>a</w:t>
      </w:r>
      <w:r w:rsidRPr="00945ACC">
        <w:rPr>
          <w:color w:val="000000" w:themeColor="text1"/>
          <w:lang w:val="it-IT"/>
        </w:rPr>
        <w:t xml:space="preserve">zionale Superiore di Studi Avanzati, Trieste, </w:t>
      </w:r>
      <w:proofErr w:type="spellStart"/>
      <w:r w:rsidRPr="00945ACC">
        <w:rPr>
          <w:color w:val="000000" w:themeColor="text1"/>
          <w:lang w:val="it-IT"/>
        </w:rPr>
        <w:t>Italy</w:t>
      </w:r>
      <w:proofErr w:type="spellEnd"/>
    </w:p>
    <w:p w14:paraId="3E5BF847" w14:textId="50822685" w:rsidR="00874399" w:rsidRPr="00945ACC" w:rsidRDefault="00B16B40">
      <w:pPr>
        <w:rPr>
          <w:color w:val="000000" w:themeColor="text1"/>
          <w:lang w:val="it-IT"/>
        </w:rPr>
      </w:pPr>
      <w:r w:rsidRPr="00945ACC">
        <w:rPr>
          <w:color w:val="000000" w:themeColor="text1"/>
          <w:lang w:val="it-IT"/>
        </w:rPr>
        <w:t xml:space="preserve">3 - Padova </w:t>
      </w:r>
      <w:proofErr w:type="spellStart"/>
      <w:r w:rsidRPr="00945ACC">
        <w:rPr>
          <w:color w:val="000000" w:themeColor="text1"/>
          <w:lang w:val="it-IT"/>
        </w:rPr>
        <w:t>Neuroscience</w:t>
      </w:r>
      <w:proofErr w:type="spellEnd"/>
      <w:r w:rsidRPr="00945ACC">
        <w:rPr>
          <w:color w:val="000000" w:themeColor="text1"/>
          <w:lang w:val="it-IT"/>
        </w:rPr>
        <w:t xml:space="preserve"> Center (PNC), </w:t>
      </w:r>
      <w:proofErr w:type="spellStart"/>
      <w:r w:rsidRPr="00945ACC">
        <w:rPr>
          <w:color w:val="000000" w:themeColor="text1"/>
          <w:lang w:val="it-IT"/>
        </w:rPr>
        <w:t>University</w:t>
      </w:r>
      <w:proofErr w:type="spellEnd"/>
      <w:r w:rsidRPr="00945ACC">
        <w:rPr>
          <w:color w:val="000000" w:themeColor="text1"/>
          <w:lang w:val="it-IT"/>
        </w:rPr>
        <w:t xml:space="preserve"> of </w:t>
      </w:r>
      <w:r w:rsidR="00F831E9" w:rsidRPr="00945ACC">
        <w:rPr>
          <w:color w:val="000000" w:themeColor="text1"/>
          <w:lang w:val="it-IT"/>
        </w:rPr>
        <w:t>Padova</w:t>
      </w:r>
      <w:r w:rsidRPr="00945ACC">
        <w:rPr>
          <w:color w:val="000000" w:themeColor="text1"/>
          <w:lang w:val="it-IT"/>
        </w:rPr>
        <w:t xml:space="preserve">, Via </w:t>
      </w:r>
      <w:proofErr w:type="spellStart"/>
      <w:r w:rsidRPr="00945ACC">
        <w:rPr>
          <w:color w:val="000000" w:themeColor="text1"/>
          <w:lang w:val="it-IT"/>
        </w:rPr>
        <w:t>Orus</w:t>
      </w:r>
      <w:proofErr w:type="spellEnd"/>
      <w:r w:rsidRPr="00945ACC">
        <w:rPr>
          <w:color w:val="000000" w:themeColor="text1"/>
          <w:lang w:val="it-IT"/>
        </w:rPr>
        <w:t xml:space="preserve"> 2/B - 35131, </w:t>
      </w:r>
      <w:proofErr w:type="spellStart"/>
      <w:r w:rsidRPr="00945ACC">
        <w:rPr>
          <w:color w:val="000000" w:themeColor="text1"/>
          <w:lang w:val="it-IT"/>
        </w:rPr>
        <w:t>Padua</w:t>
      </w:r>
      <w:proofErr w:type="spellEnd"/>
      <w:r w:rsidRPr="00945ACC">
        <w:rPr>
          <w:color w:val="000000" w:themeColor="text1"/>
          <w:lang w:val="it-IT"/>
        </w:rPr>
        <w:t xml:space="preserve">, </w:t>
      </w:r>
      <w:proofErr w:type="spellStart"/>
      <w:r w:rsidRPr="00945ACC">
        <w:rPr>
          <w:color w:val="000000" w:themeColor="text1"/>
          <w:lang w:val="it-IT"/>
        </w:rPr>
        <w:t>Italy</w:t>
      </w:r>
      <w:proofErr w:type="spellEnd"/>
    </w:p>
    <w:p w14:paraId="69508C0A" w14:textId="77777777" w:rsidR="00874399" w:rsidRPr="00945ACC" w:rsidRDefault="00B16B40">
      <w:pPr>
        <w:rPr>
          <w:color w:val="000000" w:themeColor="text1"/>
        </w:rPr>
      </w:pPr>
      <w:r w:rsidRPr="00945ACC">
        <w:rPr>
          <w:color w:val="000000" w:themeColor="text1"/>
        </w:rPr>
        <w:t>4 - Sensory-Motor Lab (</w:t>
      </w:r>
      <w:proofErr w:type="spellStart"/>
      <w:r w:rsidRPr="00945ACC">
        <w:rPr>
          <w:color w:val="000000" w:themeColor="text1"/>
        </w:rPr>
        <w:t>SeMoLa</w:t>
      </w:r>
      <w:proofErr w:type="spellEnd"/>
      <w:r w:rsidRPr="00945ACC">
        <w:rPr>
          <w:color w:val="000000" w:themeColor="text1"/>
        </w:rPr>
        <w:t xml:space="preserve">), Department of Ophthalmology, University of Lausanne, Jules </w:t>
      </w:r>
      <w:proofErr w:type="spellStart"/>
      <w:r w:rsidRPr="00945ACC">
        <w:rPr>
          <w:color w:val="000000" w:themeColor="text1"/>
        </w:rPr>
        <w:t>Gonin</w:t>
      </w:r>
      <w:proofErr w:type="spellEnd"/>
      <w:r w:rsidRPr="00945ACC">
        <w:rPr>
          <w:color w:val="000000" w:themeColor="text1"/>
        </w:rPr>
        <w:t xml:space="preserve"> Eye Hospital, </w:t>
      </w:r>
      <w:proofErr w:type="spellStart"/>
      <w:r w:rsidRPr="00945ACC">
        <w:rPr>
          <w:color w:val="000000" w:themeColor="text1"/>
        </w:rPr>
        <w:t>Fondation</w:t>
      </w:r>
      <w:proofErr w:type="spellEnd"/>
      <w:r w:rsidRPr="00945ACC">
        <w:rPr>
          <w:color w:val="000000" w:themeColor="text1"/>
        </w:rPr>
        <w:t xml:space="preserve"> </w:t>
      </w:r>
      <w:proofErr w:type="spellStart"/>
      <w:r w:rsidRPr="00945ACC">
        <w:rPr>
          <w:color w:val="000000" w:themeColor="text1"/>
        </w:rPr>
        <w:t>Asile</w:t>
      </w:r>
      <w:proofErr w:type="spellEnd"/>
      <w:r w:rsidRPr="00945ACC">
        <w:rPr>
          <w:color w:val="000000" w:themeColor="text1"/>
        </w:rPr>
        <w:t xml:space="preserve"> des </w:t>
      </w:r>
      <w:proofErr w:type="spellStart"/>
      <w:r w:rsidRPr="00945ACC">
        <w:rPr>
          <w:color w:val="000000" w:themeColor="text1"/>
        </w:rPr>
        <w:t>Aveugles</w:t>
      </w:r>
      <w:proofErr w:type="spellEnd"/>
      <w:r w:rsidRPr="00945ACC">
        <w:rPr>
          <w:color w:val="000000" w:themeColor="text1"/>
        </w:rPr>
        <w:t>, Lausanne, Switzerland.</w:t>
      </w:r>
    </w:p>
    <w:p w14:paraId="52194A14" w14:textId="77777777" w:rsidR="00874399" w:rsidRPr="00945ACC" w:rsidRDefault="00874399">
      <w:pPr>
        <w:rPr>
          <w:color w:val="000000" w:themeColor="text1"/>
        </w:rPr>
      </w:pPr>
    </w:p>
    <w:p w14:paraId="2F3BB111" w14:textId="77777777" w:rsidR="00874399" w:rsidRPr="00945ACC" w:rsidRDefault="00B16B40">
      <w:pPr>
        <w:rPr>
          <w:color w:val="000000" w:themeColor="text1"/>
        </w:rPr>
      </w:pPr>
      <w:r w:rsidRPr="00945ACC">
        <w:rPr>
          <w:color w:val="000000" w:themeColor="text1"/>
        </w:rPr>
        <w:t>*Corresponding author. Current address: avenue de France 15, 1002 Lausanne, Switzerland. sofia.osimo@gmail.com</w:t>
      </w:r>
    </w:p>
    <w:p w14:paraId="20049DD0" w14:textId="77777777" w:rsidR="00874399" w:rsidRPr="00945ACC" w:rsidRDefault="00874399">
      <w:pPr>
        <w:rPr>
          <w:color w:val="000000" w:themeColor="text1"/>
        </w:rPr>
      </w:pPr>
    </w:p>
    <w:p w14:paraId="6C26F6B9" w14:textId="77777777" w:rsidR="00874399" w:rsidRPr="00945ACC" w:rsidRDefault="00874399">
      <w:pPr>
        <w:rPr>
          <w:color w:val="000000" w:themeColor="text1"/>
        </w:rPr>
      </w:pPr>
    </w:p>
    <w:p w14:paraId="2DD3FFF5" w14:textId="77777777" w:rsidR="00874399" w:rsidRPr="00945ACC" w:rsidRDefault="00874399">
      <w:pPr>
        <w:rPr>
          <w:color w:val="000000" w:themeColor="text1"/>
        </w:rPr>
      </w:pPr>
    </w:p>
    <w:p w14:paraId="390F3172" w14:textId="77777777" w:rsidR="00874399" w:rsidRPr="00945ACC" w:rsidRDefault="00874399">
      <w:pPr>
        <w:rPr>
          <w:color w:val="000000" w:themeColor="text1"/>
        </w:rPr>
      </w:pPr>
    </w:p>
    <w:p w14:paraId="16E8BB48" w14:textId="77777777" w:rsidR="00874399" w:rsidRPr="00945ACC" w:rsidRDefault="00874399">
      <w:pPr>
        <w:rPr>
          <w:color w:val="000000" w:themeColor="text1"/>
        </w:rPr>
      </w:pPr>
    </w:p>
    <w:p w14:paraId="79657CF7" w14:textId="77777777" w:rsidR="00874399" w:rsidRPr="00945ACC" w:rsidRDefault="00874399">
      <w:pPr>
        <w:rPr>
          <w:color w:val="000000" w:themeColor="text1"/>
        </w:rPr>
      </w:pPr>
    </w:p>
    <w:p w14:paraId="4577F855" w14:textId="77777777" w:rsidR="00874399" w:rsidRPr="00945ACC" w:rsidRDefault="00874399">
      <w:pPr>
        <w:rPr>
          <w:color w:val="000000" w:themeColor="text1"/>
        </w:rPr>
      </w:pPr>
    </w:p>
    <w:p w14:paraId="267E9E3C" w14:textId="77777777" w:rsidR="00874399" w:rsidRPr="00945ACC" w:rsidRDefault="00874399">
      <w:pPr>
        <w:rPr>
          <w:color w:val="000000" w:themeColor="text1"/>
        </w:rPr>
      </w:pPr>
    </w:p>
    <w:p w14:paraId="628936F7" w14:textId="77777777" w:rsidR="00874399" w:rsidRPr="00945ACC" w:rsidRDefault="00874399">
      <w:pPr>
        <w:rPr>
          <w:color w:val="000000" w:themeColor="text1"/>
        </w:rPr>
      </w:pPr>
    </w:p>
    <w:p w14:paraId="450E9366" w14:textId="77777777" w:rsidR="00874399" w:rsidRPr="00945ACC" w:rsidRDefault="00874399">
      <w:pPr>
        <w:rPr>
          <w:color w:val="000000" w:themeColor="text1"/>
        </w:rPr>
      </w:pPr>
    </w:p>
    <w:p w14:paraId="5B397895" w14:textId="77777777" w:rsidR="00874399" w:rsidRPr="00945ACC" w:rsidRDefault="00874399">
      <w:pPr>
        <w:rPr>
          <w:color w:val="000000" w:themeColor="text1"/>
        </w:rPr>
      </w:pPr>
    </w:p>
    <w:p w14:paraId="46D3E5BD" w14:textId="77777777" w:rsidR="00874399" w:rsidRPr="00945ACC" w:rsidRDefault="00874399">
      <w:pPr>
        <w:rPr>
          <w:color w:val="000000" w:themeColor="text1"/>
        </w:rPr>
        <w:sectPr w:rsidR="00874399" w:rsidRPr="00945ACC" w:rsidSect="00143FB1">
          <w:footerReference w:type="even" r:id="rId9"/>
          <w:footerReference w:type="default" r:id="rId10"/>
          <w:pgSz w:w="11900" w:h="16840"/>
          <w:pgMar w:top="1417" w:right="1134" w:bottom="1134" w:left="1134" w:header="708" w:footer="708" w:gutter="0"/>
          <w:pgNumType w:start="1"/>
          <w:cols w:space="720" w:equalWidth="0">
            <w:col w:w="9972"/>
          </w:cols>
          <w:docGrid w:linePitch="326"/>
        </w:sectPr>
      </w:pPr>
    </w:p>
    <w:p w14:paraId="4A2155EE" w14:textId="77777777" w:rsidR="00874399" w:rsidRPr="00945ACC" w:rsidRDefault="00B16B40">
      <w:pPr>
        <w:pStyle w:val="Titolo1"/>
      </w:pPr>
      <w:r w:rsidRPr="00945ACC">
        <w:lastRenderedPageBreak/>
        <w:t>Abstract</w:t>
      </w:r>
    </w:p>
    <w:p w14:paraId="7BEA763B" w14:textId="58EAEF77" w:rsidR="00874399" w:rsidRPr="00945ACC" w:rsidRDefault="00B16B40" w:rsidP="00475CDB">
      <w:pPr>
        <w:rPr>
          <w:color w:val="000000" w:themeColor="text1"/>
        </w:rPr>
      </w:pPr>
      <w:r w:rsidRPr="00945ACC">
        <w:rPr>
          <w:color w:val="000000" w:themeColor="text1"/>
        </w:rPr>
        <w:t xml:space="preserve">Due to the spread of COVID 2019, the Italian government imposed a lockdown on the national territory. </w:t>
      </w:r>
      <w:r w:rsidR="00DB6D05" w:rsidRPr="00945ACC">
        <w:rPr>
          <w:color w:val="000000" w:themeColor="text1"/>
        </w:rPr>
        <w:t>Initially, citizens were required to stay at home and not to mix with others outside of their household</w:t>
      </w:r>
      <w:r w:rsidRPr="00945ACC">
        <w:rPr>
          <w:color w:val="000000" w:themeColor="text1"/>
        </w:rPr>
        <w:t xml:space="preserve"> (Phase 1); eventually, some of these restrictions were lifted (Phase 2). </w:t>
      </w:r>
      <w:r w:rsidR="00DB6D05" w:rsidRPr="00945ACC">
        <w:rPr>
          <w:color w:val="000000" w:themeColor="text1"/>
        </w:rPr>
        <w:t>To investigate the impact of lockdown on emotional and binge eating, an online survey was conducted to compare measures of self-reported physical (BMI), psychological (Alexithymia), affective (anxiety, stress, and depression) and social (income, workload) state during Phase 1 and Phase 2</w:t>
      </w:r>
      <w:r w:rsidRPr="00945ACC">
        <w:rPr>
          <w:color w:val="000000" w:themeColor="text1"/>
        </w:rPr>
        <w:t>. Data from 365 Italian residents</w:t>
      </w:r>
      <w:r w:rsidR="00E57470" w:rsidRPr="00945ACC">
        <w:rPr>
          <w:color w:val="000000" w:themeColor="text1"/>
        </w:rPr>
        <w:t xml:space="preserve"> showed</w:t>
      </w:r>
      <w:r w:rsidRPr="00945ACC">
        <w:rPr>
          <w:color w:val="000000" w:themeColor="text1"/>
        </w:rPr>
        <w:t xml:space="preserve"> that increased emotional eating was predicted by higher depression, anxiety, quality of personal relationships</w:t>
      </w:r>
      <w:r w:rsidR="001835A3" w:rsidRPr="00945ACC">
        <w:rPr>
          <w:color w:val="000000" w:themeColor="text1"/>
        </w:rPr>
        <w:t>,</w:t>
      </w:r>
      <w:r w:rsidRPr="00945ACC">
        <w:rPr>
          <w:color w:val="000000" w:themeColor="text1"/>
        </w:rPr>
        <w:t xml:space="preserve"> and quality of life, while the increase of bingeing was predicted by higher stress. </w:t>
      </w:r>
      <w:r w:rsidR="00E57470" w:rsidRPr="00945ACC">
        <w:rPr>
          <w:color w:val="000000" w:themeColor="text1"/>
        </w:rPr>
        <w:t xml:space="preserve">Moreover, we showed that higher alexithymia scores were associated by increased emotional eating and higher BMI scores were associated with both increased emotional eating and binge eating. Finally, we found that from Phase 1 to Phase 2 binge and emotional eating decreased. </w:t>
      </w:r>
      <w:r w:rsidRPr="00945ACC">
        <w:rPr>
          <w:color w:val="000000" w:themeColor="text1"/>
        </w:rPr>
        <w:t xml:space="preserve">These data provide evidence of the negative effects of isolation and </w:t>
      </w:r>
      <w:r w:rsidR="00844E65" w:rsidRPr="00945ACC">
        <w:rPr>
          <w:color w:val="000000" w:themeColor="text1"/>
        </w:rPr>
        <w:t>lockdown</w:t>
      </w:r>
      <w:r w:rsidRPr="00945ACC">
        <w:rPr>
          <w:color w:val="000000" w:themeColor="text1"/>
        </w:rPr>
        <w:t xml:space="preserve"> on emotional wellbeing, and, relatedly, on eating behaviour.</w:t>
      </w:r>
    </w:p>
    <w:p w14:paraId="6CC6AF6A" w14:textId="387A1DFF" w:rsidR="00874399" w:rsidRPr="00945ACC" w:rsidRDefault="00B16B40">
      <w:pPr>
        <w:pStyle w:val="Titolo1"/>
        <w:rPr>
          <w:b w:val="0"/>
        </w:rPr>
      </w:pPr>
      <w:bookmarkStart w:id="0" w:name="_heading=h.8h8e11f2c9lk" w:colFirst="0" w:colLast="0"/>
      <w:bookmarkEnd w:id="0"/>
      <w:r w:rsidRPr="00945ACC">
        <w:t xml:space="preserve">Keywords: </w:t>
      </w:r>
      <w:r w:rsidRPr="00945ACC">
        <w:rPr>
          <w:b w:val="0"/>
        </w:rPr>
        <w:t>COVID-19 pandemic; lockdown; binge eating; emotional eating; negative emotions; BMI</w:t>
      </w:r>
      <w:r w:rsidR="00B213A1" w:rsidRPr="00945ACC">
        <w:rPr>
          <w:b w:val="0"/>
        </w:rPr>
        <w:t>.</w:t>
      </w:r>
      <w:r w:rsidRPr="00945ACC">
        <w:rPr>
          <w:b w:val="0"/>
        </w:rPr>
        <w:t xml:space="preserve"> </w:t>
      </w:r>
    </w:p>
    <w:p w14:paraId="1D446AA0" w14:textId="1546125B" w:rsidR="005C2127" w:rsidRPr="00945ACC" w:rsidRDefault="005C2127" w:rsidP="005C2127">
      <w:pPr>
        <w:rPr>
          <w:color w:val="000000" w:themeColor="text1"/>
        </w:rPr>
        <w:sectPr w:rsidR="005C2127" w:rsidRPr="00945ACC" w:rsidSect="00143FB1">
          <w:pgSz w:w="11900" w:h="16840"/>
          <w:pgMar w:top="1417" w:right="1134" w:bottom="1134" w:left="1134" w:header="708" w:footer="708" w:gutter="0"/>
          <w:cols w:space="720" w:equalWidth="0">
            <w:col w:w="9972"/>
          </w:cols>
          <w:docGrid w:linePitch="326"/>
        </w:sectPr>
      </w:pPr>
    </w:p>
    <w:p w14:paraId="64BB2C01" w14:textId="77777777" w:rsidR="00874399" w:rsidRPr="00945ACC" w:rsidRDefault="00B16B40">
      <w:pPr>
        <w:pStyle w:val="Titolo1"/>
        <w:numPr>
          <w:ilvl w:val="0"/>
          <w:numId w:val="1"/>
        </w:numPr>
      </w:pPr>
      <w:r w:rsidRPr="00945ACC">
        <w:lastRenderedPageBreak/>
        <w:t>Introduction</w:t>
      </w:r>
    </w:p>
    <w:p w14:paraId="7B93FED2" w14:textId="7388A12B" w:rsidR="00874399" w:rsidRPr="00945ACC" w:rsidRDefault="00B16B40" w:rsidP="00F47DD2">
      <w:pPr>
        <w:ind w:firstLine="360"/>
        <w:rPr>
          <w:color w:val="000000" w:themeColor="text1"/>
        </w:rPr>
      </w:pPr>
      <w:r w:rsidRPr="00945ACC">
        <w:rPr>
          <w:color w:val="000000" w:themeColor="text1"/>
        </w:rPr>
        <w:t xml:space="preserve">After China, Italy was the first country in which the </w:t>
      </w:r>
      <w:proofErr w:type="spellStart"/>
      <w:r w:rsidRPr="00945ACC">
        <w:rPr>
          <w:color w:val="000000" w:themeColor="text1"/>
        </w:rPr>
        <w:t>COronaVIrus</w:t>
      </w:r>
      <w:proofErr w:type="spellEnd"/>
      <w:r w:rsidRPr="00945ACC">
        <w:rPr>
          <w:color w:val="000000" w:themeColor="text1"/>
        </w:rPr>
        <w:t xml:space="preserve"> Disease 2019 (COVID-19) pandemic rapidly spread. As a consequence, </w:t>
      </w:r>
      <w:r w:rsidR="00912DD3" w:rsidRPr="00945ACC">
        <w:rPr>
          <w:color w:val="000000" w:themeColor="text1"/>
        </w:rPr>
        <w:t xml:space="preserve">the </w:t>
      </w:r>
      <w:r w:rsidRPr="00945ACC">
        <w:rPr>
          <w:color w:val="000000" w:themeColor="text1"/>
        </w:rPr>
        <w:t>Italian government was the first country in Europe to impose a total lockdown in the entire national territory to reduce the spread of infections. From the 10</w:t>
      </w:r>
      <w:r w:rsidRPr="00945ACC">
        <w:rPr>
          <w:color w:val="000000" w:themeColor="text1"/>
          <w:vertAlign w:val="superscript"/>
        </w:rPr>
        <w:t>th</w:t>
      </w:r>
      <w:r w:rsidRPr="00945ACC">
        <w:rPr>
          <w:color w:val="000000" w:themeColor="text1"/>
        </w:rPr>
        <w:t xml:space="preserve"> of March 2020 citizens were required to socially isolate themselves and were not allowed to leave their homes except </w:t>
      </w:r>
      <w:r w:rsidR="00CC69C2" w:rsidRPr="00945ACC">
        <w:rPr>
          <w:color w:val="000000" w:themeColor="text1"/>
        </w:rPr>
        <w:t xml:space="preserve">for documented reasons (such as serious health reasons or to shop for necessities). </w:t>
      </w:r>
      <w:r w:rsidRPr="00945ACC">
        <w:rPr>
          <w:color w:val="000000" w:themeColor="text1"/>
        </w:rPr>
        <w:t xml:space="preserve"> Non-essential activities (e.g. schools, universities, gyms, restaurants, commercial activities, companies</w:t>
      </w:r>
      <w:r w:rsidR="00912DD3" w:rsidRPr="00945ACC">
        <w:rPr>
          <w:color w:val="000000" w:themeColor="text1"/>
        </w:rPr>
        <w:t>,</w:t>
      </w:r>
      <w:r w:rsidRPr="00945ACC">
        <w:rPr>
          <w:color w:val="000000" w:themeColor="text1"/>
        </w:rPr>
        <w:t xml:space="preserve"> and industries selling or producing non-essential goods) were moved on-line or closed, so most people either worked from home or stopped working</w:t>
      </w:r>
      <w:r w:rsidR="00393E07" w:rsidRPr="00945ACC">
        <w:rPr>
          <w:color w:val="000000" w:themeColor="text1"/>
        </w:rPr>
        <w:t xml:space="preserve"> </w:t>
      </w:r>
      <w:r w:rsidR="00393E07" w:rsidRPr="00945ACC">
        <w:rPr>
          <w:color w:val="000000" w:themeColor="text1"/>
        </w:rPr>
        <w:fldChar w:fldCharType="begin" w:fldLock="1"/>
      </w:r>
      <w:r w:rsidR="00393E07" w:rsidRPr="00945ACC">
        <w:rPr>
          <w:color w:val="000000" w:themeColor="text1"/>
        </w:rPr>
        <w:instrText>ADDIN CSL_CITATION {"citationItems":[{"id":"ITEM-1","itemData":{"URL":"https://edition.cnn.com/2020/03/10/europe/italy-coronavirus-quarantine-europe-intl/index.html","accessed":{"date-parts":[["2020","11","6"]]},"container-title":"CNN","id":"ITEM-1","issued":{"date-parts":[["2020"]]},"title":"Cities deserted, families separated and social life on hold in Italy's first day of lockdown","type":"webpage"},"uris":["http://www.mendeley.com/documents/?uuid=6e094d2b-5c26-4797-bf8b-4f558ec05bc8"]},{"id":"ITEM-2","itemData":{"URL":"https://www.ansa.it/sito/notizie/cronaca/2020/03/09/borrelli-salgono-a-7985-i-malati-1598-rispetto-a-ieri.-_dd169084-d4a9-4391-9d1c-2d9f42bace3f.html","accessed":{"date-parts":[["2020","11","6"]]},"id":"ITEM-2","issued":{"date-parts":[["2020"]]},"title":"Conte annuncia l'inasprimento delle misure: 'Italia zona protetta'","type":"webpage"},"uris":["http://www.mendeley.com/documents/?uuid=ca2f1d8b-c116-4f3c-8f90-2ea67723632a"]}],"mendeley":{"formattedCitation":"(“Cities deserted, families separated and social life on hold in Italy’s first day of lockdown,” 2020; “Conte annuncia l’inasprimento delle misure: ‘Italia zona protetta,’” 2020)","plainTextFormattedCitation":"(“Cities deserted, families separated and social life on hold in Italy’s first day of lockdown,” 2020; “Conte annuncia l’inasprimento delle misure: ‘Italia zona protetta,’” 2020)","previouslyFormattedCitation":"(“Cities deserted, families separated and social life on hold in Italy’s first day of lockdown,” 2020; “Conte annuncia l’inasprimento delle misure: ‘Italia zona protetta,’” 2020)"},"properties":{"noteIndex":0},"schema":"https://github.com/citation-style-language/schema/raw/master/csl-citation.json"}</w:instrText>
      </w:r>
      <w:r w:rsidR="00393E07" w:rsidRPr="00945ACC">
        <w:rPr>
          <w:color w:val="000000" w:themeColor="text1"/>
        </w:rPr>
        <w:fldChar w:fldCharType="separate"/>
      </w:r>
      <w:r w:rsidR="00393E07" w:rsidRPr="00945ACC">
        <w:rPr>
          <w:noProof/>
          <w:color w:val="000000" w:themeColor="text1"/>
        </w:rPr>
        <w:t>(“Cities deserted, families separated and social life on hold in Italy’s first day of lockdown,” 2020; “Conte annuncia l’inasprimento delle misure: ‘Italia zona protetta,’” 2020)</w:t>
      </w:r>
      <w:r w:rsidR="00393E07" w:rsidRPr="00945ACC">
        <w:rPr>
          <w:color w:val="000000" w:themeColor="text1"/>
        </w:rPr>
        <w:fldChar w:fldCharType="end"/>
      </w:r>
      <w:r w:rsidRPr="00945ACC">
        <w:rPr>
          <w:color w:val="000000" w:themeColor="text1"/>
        </w:rPr>
        <w:t>. This dramatic and extraordinary situation was extended until the 4</w:t>
      </w:r>
      <w:r w:rsidR="00CC69C2" w:rsidRPr="00945ACC">
        <w:rPr>
          <w:color w:val="000000" w:themeColor="text1"/>
          <w:vertAlign w:val="superscript"/>
        </w:rPr>
        <w:t>th</w:t>
      </w:r>
      <w:r w:rsidRPr="00945ACC">
        <w:rPr>
          <w:color w:val="000000" w:themeColor="text1"/>
        </w:rPr>
        <w:t xml:space="preserve"> of May. From that day on, some of the restrictions were lifted: people were allowed to leave their houses once more to visit families and to do physical activity, and some non-essential activities as well as </w:t>
      </w:r>
      <w:r w:rsidR="00CC69C2" w:rsidRPr="00945ACC">
        <w:rPr>
          <w:color w:val="000000" w:themeColor="text1"/>
        </w:rPr>
        <w:t xml:space="preserve">some </w:t>
      </w:r>
      <w:r w:rsidRPr="00945ACC">
        <w:rPr>
          <w:color w:val="000000" w:themeColor="text1"/>
        </w:rPr>
        <w:t xml:space="preserve">public parks and gardens re-opened. In the media, these two periods of time have been called respectively </w:t>
      </w:r>
      <w:r w:rsidRPr="00945ACC">
        <w:rPr>
          <w:i/>
          <w:color w:val="000000" w:themeColor="text1"/>
        </w:rPr>
        <w:t>Phase 1</w:t>
      </w:r>
      <w:r w:rsidRPr="00945ACC">
        <w:rPr>
          <w:color w:val="000000" w:themeColor="text1"/>
        </w:rPr>
        <w:t xml:space="preserve"> and </w:t>
      </w:r>
      <w:r w:rsidRPr="00945ACC">
        <w:rPr>
          <w:i/>
          <w:color w:val="000000" w:themeColor="text1"/>
        </w:rPr>
        <w:t>Phase 2</w:t>
      </w:r>
      <w:r w:rsidRPr="00945ACC">
        <w:rPr>
          <w:color w:val="000000" w:themeColor="text1"/>
        </w:rPr>
        <w:t xml:space="preserve"> of the lockdown</w:t>
      </w:r>
      <w:r w:rsidR="00393E07" w:rsidRPr="00945ACC">
        <w:rPr>
          <w:color w:val="000000" w:themeColor="text1"/>
        </w:rPr>
        <w:t xml:space="preserve"> </w:t>
      </w:r>
      <w:r w:rsidR="00393E07" w:rsidRPr="00945ACC">
        <w:rPr>
          <w:color w:val="000000" w:themeColor="text1"/>
        </w:rPr>
        <w:fldChar w:fldCharType="begin" w:fldLock="1"/>
      </w:r>
      <w:r w:rsidR="00393E07" w:rsidRPr="00945ACC">
        <w:rPr>
          <w:color w:val="000000" w:themeColor="text1"/>
        </w:rPr>
        <w:instrText>ADDIN CSL_CITATION {"citationItems":[{"id":"ITEM-1","itemData":{"URL":"https://edition.cnn.com/2020/05/04/europe/europe-coronavirus-reopening-lockdown-intl/index.html","accessed":{"date-parts":[["2020","11","6"]]},"id":"ITEM-1","issued":{"date-parts":[["2020"]]},"title":"Europe is in a new phase of reopening, but it's hardly a return to normal","type":"webpage"},"uris":["http://www.mendeley.com/documents/?uuid=0310df11-f4c6-4929-b30f-44ab4ef80c40"]},{"id":"ITEM-2","itemData":{"URL":"https://www.ansa.it/sito/notizie/cronaca/2020/05/04/fase-2-milano-e-roma-piu-auto-in-giro-_9f7f5a07-49c4-4dd8-930c-0d6d32ab3c1b.html","accessed":{"date-parts":[["2020","11","6"]]},"id":"ITEM-2","issued":{"date-parts":[["2020"]]},"title":"Fase 2: prove di normalità, runner e bici nei parchi, primi funerali","type":"webpage"},"uris":["http://www.mendeley.com/documents/?uuid=79cf2855-a209-4497-bf09-6d7e9535c58e"]}],"mendeley":{"formattedCitation":"(“Europe is in a new phase of reopening, but it’s hardly a return to normal,” 2020; “Fase 2: prove di normalità, runner e bici nei parchi, primi funerali,” 2020)","plainTextFormattedCitation":"(“Europe is in a new phase of reopening, but it’s hardly a return to normal,” 2020; “Fase 2: prove di normalità, runner e bici nei parchi, primi funerali,” 2020)","previouslyFormattedCitation":"(“Europe is in a new phase of reopening, but it’s hardly a return to normal,” 2020; “Fase 2: prove di normalità, runner e bici nei parchi, primi funerali,” 2020)"},"properties":{"noteIndex":0},"schema":"https://github.com/citation-style-language/schema/raw/master/csl-citation.json"}</w:instrText>
      </w:r>
      <w:r w:rsidR="00393E07" w:rsidRPr="00945ACC">
        <w:rPr>
          <w:color w:val="000000" w:themeColor="text1"/>
        </w:rPr>
        <w:fldChar w:fldCharType="separate"/>
      </w:r>
      <w:r w:rsidR="00393E07" w:rsidRPr="00945ACC">
        <w:rPr>
          <w:noProof/>
          <w:color w:val="000000" w:themeColor="text1"/>
        </w:rPr>
        <w:t>(“Europe is in a new phase of reopening, but it’s hardly a return to normal,” 2020; “Fase 2: prove di normalità, runner e bici nei parchi, primi funerali,” 2020)</w:t>
      </w:r>
      <w:r w:rsidR="00393E07" w:rsidRPr="00945ACC">
        <w:rPr>
          <w:color w:val="000000" w:themeColor="text1"/>
        </w:rPr>
        <w:fldChar w:fldCharType="end"/>
      </w:r>
      <w:r w:rsidRPr="00945ACC">
        <w:rPr>
          <w:color w:val="000000" w:themeColor="text1"/>
        </w:rPr>
        <w:t xml:space="preserve">. </w:t>
      </w:r>
    </w:p>
    <w:p w14:paraId="77A3C408" w14:textId="1D80ADFD" w:rsidR="00874399" w:rsidRPr="00945ACC" w:rsidRDefault="00B16B40" w:rsidP="00CF2710">
      <w:pPr>
        <w:ind w:firstLine="720"/>
        <w:rPr>
          <w:color w:val="000000" w:themeColor="text1"/>
        </w:rPr>
      </w:pPr>
      <w:r w:rsidRPr="00945ACC">
        <w:rPr>
          <w:color w:val="000000" w:themeColor="text1"/>
        </w:rPr>
        <w:t xml:space="preserve">Even though these restrictions were required to prevent people from being infected, the prolonged </w:t>
      </w:r>
      <w:r w:rsidR="00FF7C0F" w:rsidRPr="00945ACC">
        <w:rPr>
          <w:color w:val="000000" w:themeColor="text1"/>
        </w:rPr>
        <w:t>lockdown</w:t>
      </w:r>
      <w:r w:rsidRPr="00945ACC">
        <w:rPr>
          <w:color w:val="000000" w:themeColor="text1"/>
        </w:rPr>
        <w:t>, social isolation, uncertainty</w:t>
      </w:r>
      <w:r w:rsidR="00A325E3" w:rsidRPr="00945ACC">
        <w:rPr>
          <w:color w:val="000000" w:themeColor="text1"/>
        </w:rPr>
        <w:t>,</w:t>
      </w:r>
      <w:r w:rsidRPr="00945ACC">
        <w:rPr>
          <w:color w:val="000000" w:themeColor="text1"/>
        </w:rPr>
        <w:t xml:space="preserve"> and </w:t>
      </w:r>
      <w:r w:rsidR="00F831E9" w:rsidRPr="00945ACC">
        <w:rPr>
          <w:color w:val="000000" w:themeColor="text1"/>
        </w:rPr>
        <w:t xml:space="preserve">the </w:t>
      </w:r>
      <w:r w:rsidRPr="00945ACC">
        <w:rPr>
          <w:color w:val="000000" w:themeColor="text1"/>
        </w:rPr>
        <w:t xml:space="preserve">potential negative consequences </w:t>
      </w:r>
      <w:r w:rsidR="00A325E3" w:rsidRPr="00945ACC">
        <w:rPr>
          <w:color w:val="000000" w:themeColor="text1"/>
        </w:rPr>
        <w:t xml:space="preserve">in </w:t>
      </w:r>
      <w:r w:rsidRPr="00945ACC">
        <w:rPr>
          <w:color w:val="000000" w:themeColor="text1"/>
        </w:rPr>
        <w:t>the near future triggered a variety of psychological problems: for example, results from a survey during COVID-19 epidemic including more than 50.000 Chinese respondents showed that almost 35% of the participants experienced psychological distress</w:t>
      </w:r>
      <w:r w:rsidR="00475CDB" w:rsidRPr="00945ACC">
        <w:rPr>
          <w:color w:val="000000" w:themeColor="text1"/>
        </w:rPr>
        <w:t xml:space="preserve"> </w:t>
      </w:r>
      <w:r w:rsidR="00475CDB" w:rsidRPr="00945ACC">
        <w:rPr>
          <w:color w:val="000000" w:themeColor="text1"/>
        </w:rPr>
        <w:fldChar w:fldCharType="begin" w:fldLock="1"/>
      </w:r>
      <w:r w:rsidR="00475CDB" w:rsidRPr="00945ACC">
        <w:rPr>
          <w:color w:val="000000" w:themeColor="text1"/>
        </w:rPr>
        <w:instrText>ADDIN CSL_CITATION {"citationItems":[{"id":"ITEM-1","itemData":{"author":[{"dropping-particle":"","family":"Qiu","given":"Jianyin","non-dropping-particle":"","parse-names":false,"suffix":""},{"dropping-particle":"","family":"Shen","given":"Bin","non-dropping-particle":"","parse-names":false,"suffix":""},{"dropping-particle":"","family":"Zhao","given":"Min","non-dropping-particle":"","parse-names":false,"suffix":""},{"dropping-particle":"","family":"Wang","given":"Zhen","non-dropping-particle":"","parse-names":false,"suffix":""},{"dropping-particle":"","family":"Xie","given":"Bin","non-dropping-particle":"","parse-names":false,"suffix":""},{"dropping-particle":"","family":"Xu","given":"Yifeng","non-dropping-particle":"","parse-names":false,"suffix":""}],"container-title":"General psychiatry","id":"ITEM-1","issue":"2","issued":{"date-parts":[["2020"]]},"publisher":"Shanghai Mental Health Center","title":"A nationwide survey of psychological distress among Chinese people in the COVID-19 epidemic: implications and policy recommendations","type":"article-journal","volume":"33"},"uris":["http://www.mendeley.com/documents/?uuid=e438ce30-49fb-45d6-a744-2250f988f119"]}],"mendeley":{"formattedCitation":"(Qiu et al., 2020)","plainTextFormattedCitation":"(Qiu et al., 2020)","previouslyFormattedCitation":"(Qiu et al., 2020)"},"properties":{"noteIndex":0},"schema":"https://github.com/citation-style-language/schema/raw/master/csl-citation.json"}</w:instrText>
      </w:r>
      <w:r w:rsidR="00475CDB" w:rsidRPr="00945ACC">
        <w:rPr>
          <w:color w:val="000000" w:themeColor="text1"/>
        </w:rPr>
        <w:fldChar w:fldCharType="separate"/>
      </w:r>
      <w:r w:rsidR="00475CDB" w:rsidRPr="00945ACC">
        <w:rPr>
          <w:noProof/>
          <w:color w:val="000000" w:themeColor="text1"/>
        </w:rPr>
        <w:t>(Qiu et al., 2020)</w:t>
      </w:r>
      <w:r w:rsidR="00475CDB" w:rsidRPr="00945ACC">
        <w:rPr>
          <w:color w:val="000000" w:themeColor="text1"/>
        </w:rPr>
        <w:fldChar w:fldCharType="end"/>
      </w:r>
      <w:r w:rsidRPr="00945ACC">
        <w:rPr>
          <w:color w:val="000000" w:themeColor="text1"/>
        </w:rPr>
        <w:t>, while a similar survey on the Italian population during Phase 1 of the lockdown, which collected more than 18</w:t>
      </w:r>
      <w:r w:rsidR="00CA3CD5" w:rsidRPr="00945ACC">
        <w:rPr>
          <w:color w:val="000000" w:themeColor="text1"/>
        </w:rPr>
        <w:t>,</w:t>
      </w:r>
      <w:r w:rsidRPr="00945ACC">
        <w:rPr>
          <w:color w:val="000000" w:themeColor="text1"/>
        </w:rPr>
        <w:t xml:space="preserve">000 answers, reported that 37% of the participants experienced post-traumatic stress </w:t>
      </w:r>
      <w:r w:rsidR="00CC69C2" w:rsidRPr="00945ACC">
        <w:rPr>
          <w:color w:val="000000" w:themeColor="text1"/>
        </w:rPr>
        <w:t>symptoms</w:t>
      </w:r>
      <w:r w:rsidRPr="00945ACC">
        <w:rPr>
          <w:color w:val="000000" w:themeColor="text1"/>
        </w:rPr>
        <w:t>, and around the 20% encountered depression, anxiety or high perceived stress</w:t>
      </w:r>
      <w:r w:rsidR="00475CDB" w:rsidRPr="00945ACC">
        <w:rPr>
          <w:color w:val="000000" w:themeColor="text1"/>
        </w:rPr>
        <w:t xml:space="preserve"> </w:t>
      </w:r>
      <w:r w:rsidR="00475CDB" w:rsidRPr="00945ACC">
        <w:rPr>
          <w:color w:val="000000" w:themeColor="text1"/>
        </w:rPr>
        <w:fldChar w:fldCharType="begin" w:fldLock="1"/>
      </w:r>
      <w:r w:rsidR="004A155E" w:rsidRPr="00945ACC">
        <w:rPr>
          <w:color w:val="000000" w:themeColor="text1"/>
        </w:rPr>
        <w:instrText>ADDIN CSL_CITATION {"citationItems":[{"id":"ITEM-1","itemData":{"ISSN":"1664-0640","author":[{"dropping-particle":"","family":"Rossi","given":"Rodolfo","non-dropping-particle":"","parse-names":false,"suffix":""},{"dropping-particle":"","family":"Socci","given":"Valentina","non-dropping-particle":"","parse-names":false,"suffix":""},{"dropping-particle":"","family":"Talevi","given":"Dalila","non-dropping-particle":"","parse-names":false,"suffix":""},{"dropping-particle":"","family":"Mensi","given":"Sonia","non-dropping-particle":"","parse-names":false,"suffix":""},{"dropping-particle":"","family":"Niolu","given":"Cinzia","non-dropping-particle":"","parse-names":false,"suffix":""},{"dropping-particle":"","family":"Pacitti","given":"Francesca","non-dropping-particle":"","parse-names":false,"suffix":""},{"dropping-particle":"","family":"Marco","given":"Antinisca","non-dropping-particle":"Di","parse-names":false,"suffix":""},{"dropping-particle":"","family":"Rossi","given":"Alessandro","non-dropping-particle":"","parse-names":false,"suffix":""},{"dropping-particle":"","family":"Siracusano","given":"Alberto","non-dropping-particle":"","parse-names":false,"suffix":""},{"dropping-particle":"","family":"Lorenzo","given":"Giorgio","non-dropping-particle":"Di","parse-names":false,"suffix":""}],"container-title":"Frontiers in Psychiatry","id":"ITEM-1","issued":{"date-parts":[["2020"]]},"page":"790","publisher":"Frontiers","title":"COVID-19 pandemic and lockdown measures impact on mental health among the general population in Italy","type":"article-journal","volume":"11"},"uris":["http://www.mendeley.com/documents/?uuid=30873355-7dc4-43a1-9b83-8a9769bb60d6"]}],"mendeley":{"formattedCitation":"(Rossi et al., 2020)","plainTextFormattedCitation":"(Rossi et al., 2020)","previouslyFormattedCitation":"(Rossi et al., 2020)"},"properties":{"noteIndex":0},"schema":"https://github.com/citation-style-language/schema/raw/master/csl-citation.json"}</w:instrText>
      </w:r>
      <w:r w:rsidR="00475CDB" w:rsidRPr="00945ACC">
        <w:rPr>
          <w:color w:val="000000" w:themeColor="text1"/>
        </w:rPr>
        <w:fldChar w:fldCharType="separate"/>
      </w:r>
      <w:r w:rsidR="00475CDB" w:rsidRPr="00945ACC">
        <w:rPr>
          <w:noProof/>
          <w:color w:val="000000" w:themeColor="text1"/>
        </w:rPr>
        <w:t>(Rossi et al., 2020)</w:t>
      </w:r>
      <w:r w:rsidR="00475CDB" w:rsidRPr="00945ACC">
        <w:rPr>
          <w:color w:val="000000" w:themeColor="text1"/>
        </w:rPr>
        <w:fldChar w:fldCharType="end"/>
      </w:r>
      <w:r w:rsidRPr="00945ACC">
        <w:rPr>
          <w:color w:val="000000" w:themeColor="text1"/>
        </w:rPr>
        <w:t xml:space="preserve">. </w:t>
      </w:r>
      <w:r w:rsidR="001126CC" w:rsidRPr="00945ACC">
        <w:rPr>
          <w:color w:val="000000" w:themeColor="text1"/>
        </w:rPr>
        <w:t xml:space="preserve">The incidence found in Italy was in line with other studies as confirmed by a meta-analysis published in July 2020 </w:t>
      </w:r>
      <w:r w:rsidR="001126CC" w:rsidRPr="00945ACC">
        <w:rPr>
          <w:color w:val="000000" w:themeColor="text1"/>
        </w:rPr>
        <w:fldChar w:fldCharType="begin" w:fldLock="1"/>
      </w:r>
      <w:r w:rsidR="00393E07" w:rsidRPr="00945ACC">
        <w:rPr>
          <w:color w:val="000000" w:themeColor="text1"/>
        </w:rPr>
        <w:instrText>ADDIN CSL_CITATION {"citationItems":[{"id":"ITEM-1","itemData":{"ISSN":"1744-8603","author":[{"dropping-particle":"","family":"Salari","given":"Nader","non-dropping-particle":"","parse-names":false,"suffix":""},{"dropping-particle":"","family":"Hosseinian-Far","given":"Amin","non-dropping-particle":"","parse-names":false,"suffix":""},{"dropping-particle":"","family":"Jalali","given":"Rostam","non-dropping-particle":"","parse-names":false,"suffix":""},{"dropping-particle":"","family":"Vaisi-Raygani","given":"Aliakbar","non-dropping-particle":"","parse-names":false,"suffix":""},{"dropping-particle":"","family":"Rasoulpoor","given":"Shna","non-dropping-particle":"","parse-names":false,"suffix":""},{"dropping-particle":"","family":"Mohammadi","given":"Masoud","non-dropping-particle":"","parse-names":false,"suffix":""},{"dropping-particle":"","family":"Rasoulpoor","given":"Shabnam","non-dropping-particle":"","parse-names":false,"suffix":""},{"dropping-particle":"","family":"Khaledi-Paveh","given":"Behnam","non-dropping-particle":"","parse-names":false,"suffix":""}],"container-title":"Globalization and health","id":"ITEM-1","issue":"1","issued":{"date-parts":[["2020"]]},"page":"1-11","publisher":"BioMed Central","title":"Prevalence of stress, anxiety, depression among the general population during the COVID-19 pandemic: a systematic review and meta-analysis","type":"article-journal","volume":"16"},"uris":["http://www.mendeley.com/documents/?uuid=7f9cf7dd-abd7-4a99-90bc-3170d96ab877"]}],"mendeley":{"formattedCitation":"(Salari et al., 2020)","plainTextFormattedCitation":"(Salari et al., 2020)","previouslyFormattedCitation":"(Salari et al., 2020)"},"properties":{"noteIndex":0},"schema":"https://github.com/citation-style-language/schema/raw/master/csl-citation.json"}</w:instrText>
      </w:r>
      <w:r w:rsidR="001126CC" w:rsidRPr="00945ACC">
        <w:rPr>
          <w:color w:val="000000" w:themeColor="text1"/>
        </w:rPr>
        <w:fldChar w:fldCharType="separate"/>
      </w:r>
      <w:r w:rsidR="001126CC" w:rsidRPr="00945ACC">
        <w:rPr>
          <w:noProof/>
          <w:color w:val="000000" w:themeColor="text1"/>
        </w:rPr>
        <w:t>(Salari et al., 2020)</w:t>
      </w:r>
      <w:r w:rsidR="001126CC" w:rsidRPr="00945ACC">
        <w:rPr>
          <w:color w:val="000000" w:themeColor="text1"/>
        </w:rPr>
        <w:fldChar w:fldCharType="end"/>
      </w:r>
      <w:r w:rsidR="001126CC" w:rsidRPr="00945ACC">
        <w:rPr>
          <w:color w:val="000000" w:themeColor="text1"/>
        </w:rPr>
        <w:t xml:space="preserve">. In </w:t>
      </w:r>
      <w:r w:rsidR="001126CC" w:rsidRPr="00945ACC">
        <w:rPr>
          <w:color w:val="000000" w:themeColor="text1"/>
        </w:rPr>
        <w:lastRenderedPageBreak/>
        <w:t xml:space="preserve">general, the prevalence of stress was 29.6% (5 studies, 9074 participants), the prevalence of anxiety was 31.9% (17 studies, 63,439 participants) and that of depression was 33.7% (14 studies, 44,531 participants </w:t>
      </w:r>
      <w:r w:rsidR="001126CC" w:rsidRPr="00945ACC">
        <w:rPr>
          <w:color w:val="000000" w:themeColor="text1"/>
        </w:rPr>
        <w:fldChar w:fldCharType="begin" w:fldLock="1"/>
      </w:r>
      <w:r w:rsidR="001126CC" w:rsidRPr="00945ACC">
        <w:rPr>
          <w:color w:val="000000" w:themeColor="text1"/>
        </w:rPr>
        <w:instrText>ADDIN CSL_CITATION {"citationItems":[{"id":"ITEM-1","itemData":{"ISSN":"1744-8603","author":[{"dropping-particle":"","family":"Salari","given":"Nader","non-dropping-particle":"","parse-names":false,"suffix":""},{"dropping-particle":"","family":"Hosseinian-Far","given":"Amin","non-dropping-particle":"","parse-names":false,"suffix":""},{"dropping-particle":"","family":"Jalali","given":"Rostam","non-dropping-particle":"","parse-names":false,"suffix":""},{"dropping-particle":"","family":"Vaisi-Raygani","given":"Aliakbar","non-dropping-particle":"","parse-names":false,"suffix":""},{"dropping-particle":"","family":"Rasoulpoor","given":"Shna","non-dropping-particle":"","parse-names":false,"suffix":""},{"dropping-particle":"","family":"Mohammadi","given":"Masoud","non-dropping-particle":"","parse-names":false,"suffix":""},{"dropping-particle":"","family":"Rasoulpoor","given":"Shabnam","non-dropping-particle":"","parse-names":false,"suffix":""},{"dropping-particle":"","family":"Khaledi-Paveh","given":"Behnam","non-dropping-particle":"","parse-names":false,"suffix":""}],"container-title":"Globalization and health","id":"ITEM-1","issue":"1","issued":{"date-parts":[["2020"]]},"page":"1-11","publisher":"BioMed Central","title":"Prevalence of stress, anxiety, depression among the general population during the COVID-19 pandemic: a systematic review and meta-analysis","type":"article-journal","volume":"16"},"uris":["http://www.mendeley.com/documents/?uuid=7f9cf7dd-abd7-4a99-90bc-3170d96ab877"]}],"mendeley":{"formattedCitation":"(Salari et al., 2020)","plainTextFormattedCitation":"(Salari et al., 2020)","previouslyFormattedCitation":"(Salari et al., 2020)"},"properties":{"noteIndex":0},"schema":"https://github.com/citation-style-language/schema/raw/master/csl-citation.json"}</w:instrText>
      </w:r>
      <w:r w:rsidR="001126CC" w:rsidRPr="00945ACC">
        <w:rPr>
          <w:color w:val="000000" w:themeColor="text1"/>
        </w:rPr>
        <w:fldChar w:fldCharType="separate"/>
      </w:r>
      <w:r w:rsidR="001126CC" w:rsidRPr="00945ACC">
        <w:rPr>
          <w:noProof/>
          <w:color w:val="000000" w:themeColor="text1"/>
        </w:rPr>
        <w:t>(Salari et al., 2020)</w:t>
      </w:r>
      <w:r w:rsidR="001126CC" w:rsidRPr="00945ACC">
        <w:rPr>
          <w:color w:val="000000" w:themeColor="text1"/>
        </w:rPr>
        <w:fldChar w:fldCharType="end"/>
      </w:r>
      <w:r w:rsidR="001126CC" w:rsidRPr="00945ACC">
        <w:rPr>
          <w:color w:val="000000" w:themeColor="text1"/>
        </w:rPr>
        <w:t xml:space="preserve">. </w:t>
      </w:r>
    </w:p>
    <w:p w14:paraId="60A46FF3" w14:textId="6C9F939B" w:rsidR="00874399" w:rsidRPr="00945ACC" w:rsidRDefault="00B16B40">
      <w:pPr>
        <w:rPr>
          <w:color w:val="000000" w:themeColor="text1"/>
          <w:lang w:val="en-US"/>
        </w:rPr>
      </w:pPr>
      <w:r w:rsidRPr="00945ACC">
        <w:rPr>
          <w:color w:val="000000" w:themeColor="text1"/>
        </w:rPr>
        <w:t>The combination of stress, anxiety</w:t>
      </w:r>
      <w:r w:rsidR="00912DD3" w:rsidRPr="00945ACC">
        <w:rPr>
          <w:color w:val="000000" w:themeColor="text1"/>
        </w:rPr>
        <w:t>,</w:t>
      </w:r>
      <w:r w:rsidRPr="00945ACC">
        <w:rPr>
          <w:color w:val="000000" w:themeColor="text1"/>
        </w:rPr>
        <w:t xml:space="preserve"> and depression due to this unprecedented situation </w:t>
      </w:r>
      <w:r w:rsidR="00F831E9" w:rsidRPr="00945ACC">
        <w:rPr>
          <w:color w:val="000000" w:themeColor="text1"/>
        </w:rPr>
        <w:t>had an impact</w:t>
      </w:r>
      <w:r w:rsidRPr="00945ACC">
        <w:rPr>
          <w:color w:val="000000" w:themeColor="text1"/>
        </w:rPr>
        <w:t xml:space="preserve"> also </w:t>
      </w:r>
      <w:r w:rsidR="00F831E9" w:rsidRPr="00945ACC">
        <w:rPr>
          <w:color w:val="000000" w:themeColor="text1"/>
        </w:rPr>
        <w:t>on</w:t>
      </w:r>
      <w:r w:rsidRPr="00945ACC">
        <w:rPr>
          <w:color w:val="000000" w:themeColor="text1"/>
        </w:rPr>
        <w:t xml:space="preserve"> the eating behaviours. Indeed, the sudden start of the lockdown triggered panic buying and stockpiling of food and daily supplies, as a coping mechanism in reaction to the uncertainty of the duration of the pandemic and to the stress of the incessant news of rising numbers of infected individuals and deaths</w:t>
      </w:r>
      <w:r w:rsidR="00475CDB" w:rsidRPr="00945ACC">
        <w:rPr>
          <w:color w:val="000000" w:themeColor="text1"/>
        </w:rPr>
        <w:t xml:space="preserve"> </w:t>
      </w:r>
      <w:r w:rsidR="00475CDB" w:rsidRPr="00945ACC">
        <w:rPr>
          <w:color w:val="000000" w:themeColor="text1"/>
        </w:rPr>
        <w:fldChar w:fldCharType="begin" w:fldLock="1"/>
      </w:r>
      <w:r w:rsidR="006C571E" w:rsidRPr="00945ACC">
        <w:rPr>
          <w:color w:val="000000" w:themeColor="text1"/>
        </w:rPr>
        <w:instrText>ADDIN CSL_CITATION {"citationItems":[{"id":"ITEM-1","itemData":{"ISBN":"26949","abstract":"We explore how household consumption responds to epidemics, utilizing transaction-level household financial data to investigate the impact of the COVID-19 virus. As the number of cases grew, households began to radically alter their typical spending across a number of major categories. Initially spending increased sharply, particularly in retail, credit card spending and food items. This was followed by a sharp decrease in overall spending. Households responded most strongly in states with shelter-in-place orders in place by March 29th. We explore heterogeneity across partisan affiliation, demographics and income. Greater levels of social distancing are associated with drops in spending, particularly in restaurants and retail.","author":[{"dropping-particle":"","family":"Baker","given":"Scott R","non-dropping-particle":"","parse-names":false,"suffix":""},{"dropping-particle":"","family":"Farrokhnia","given":"R A","non-dropping-particle":"","parse-names":false,"suffix":""},{"dropping-particle":"","family":"Meyer","given":"Steffen","non-dropping-particle":"","parse-names":false,"suffix":""},{"dropping-particle":"","family":"Pagel","given":"Michaela","non-dropping-particle":"","parse-names":false,"suffix":""},{"dropping-particle":"","family":"Yannelis","given":"Constantine","non-dropping-particle":"","parse-names":false,"suffix":""}],"id":"ITEM-1","issued":{"date-parts":[["2020","7","6"]]},"publisher":"National Bureau of Economic Research","title":"How Does Household Spending Respond to an Epidemic? Consumption During the 2020 COVID-19 Pandemic","type":"report"},"uris":["http://www.mendeley.com/documents/?uuid=cb721a67-747c-438e-9e4c-1acc1407a467"]},{"id":"ITEM-2","itemData":{"DOI":"10.1016/j.psychres.2020.113015","ISSN":"1872-7123","author":[{"dropping-particle":"","family":"Sim","given":"Kang","non-dropping-particle":"","parse-names":false,"suffix":""},{"dropping-particle":"","family":"Chua","given":"Hong Choon","non-dropping-particle":"","parse-names":false,"suffix":""},{"dropping-particle":"","family":"Vieta","given":"Eduard","non-dropping-particle":"","parse-names":false,"suffix":""},{"dropping-particle":"","family":"Fernandez","given":"George","non-dropping-particle":"","parse-names":false,"suffix":""}],"container-title":"Psychiatry Research","id":"ITEM-2","issued":{"date-parts":[["2020"]]},"language":"eng","page":"113015","title":"The anatomy of panic buying related to the current COVID-19 pandemic","type":"article-journal","volume":"288"},"uris":["http://www.mendeley.com/documents/?uuid=67b77951-09d5-4be8-90fe-23fd5395df26"]}],"mendeley":{"formattedCitation":"(Baker, Farrokhnia, Meyer, Pagel, &amp; Yannelis, 2020; Sim, Chua, Vieta, &amp; Fernandez, 2020)","plainTextFormattedCitation":"(Baker, Farrokhnia, Meyer, Pagel, &amp; Yannelis, 2020; Sim, Chua, Vieta, &amp; Fernandez, 2020)","previouslyFormattedCitation":"(Baker, Farrokhnia, Meyer, Pagel, &amp; Yannelis, 2020; Sim, Chua, Vieta, &amp; Fernandez, 2020)"},"properties":{"noteIndex":0},"schema":"https://github.com/citation-style-language/schema/raw/master/csl-citation.json"}</w:instrText>
      </w:r>
      <w:r w:rsidR="00475CDB" w:rsidRPr="00945ACC">
        <w:rPr>
          <w:color w:val="000000" w:themeColor="text1"/>
        </w:rPr>
        <w:fldChar w:fldCharType="separate"/>
      </w:r>
      <w:r w:rsidR="006C571E" w:rsidRPr="00945ACC">
        <w:rPr>
          <w:noProof/>
          <w:color w:val="000000" w:themeColor="text1"/>
        </w:rPr>
        <w:t>(Baker, Farrokhnia, Meyer, Pagel, &amp; Yannelis, 2020; Sim, Chua, Vieta, &amp; Fernandez, 2020)</w:t>
      </w:r>
      <w:r w:rsidR="00475CDB" w:rsidRPr="00945ACC">
        <w:rPr>
          <w:color w:val="000000" w:themeColor="text1"/>
        </w:rPr>
        <w:fldChar w:fldCharType="end"/>
      </w:r>
      <w:r w:rsidRPr="00945ACC">
        <w:rPr>
          <w:color w:val="000000" w:themeColor="text1"/>
        </w:rPr>
        <w:t>. Panic buying and stockpiling lead to a supply shock (Baldwin 2020</w:t>
      </w:r>
      <w:r w:rsidR="00864843" w:rsidRPr="00945ACC">
        <w:rPr>
          <w:color w:val="000000" w:themeColor="text1"/>
        </w:rPr>
        <w:t xml:space="preserve">, but see </w:t>
      </w:r>
      <w:r w:rsidR="00864843" w:rsidRPr="00945ACC">
        <w:rPr>
          <w:color w:val="000000" w:themeColor="text1"/>
        </w:rPr>
        <w:fldChar w:fldCharType="begin" w:fldLock="1"/>
      </w:r>
      <w:r w:rsidR="001126CC" w:rsidRPr="00945ACC">
        <w:rPr>
          <w:color w:val="000000" w:themeColor="text1"/>
        </w:rPr>
        <w:instrText>ADDIN CSL_CITATION {"citationItems":[{"id":"ITEM-1","itemData":{"ISSN":"0195-6663","author":[{"dropping-particle":"","family":"Benker","given":"Beth","non-dropping-particle":"","parse-names":false,"suffix":""}],"container-title":"Appetite","id":"ITEM-1","issued":{"date-parts":[["2020"]]},"page":"104981","publisher":"Elsevier","title":"Stockpiling as resilience: Defending and contextualising extra food procurement during lockdown","type":"article-journal"},"uris":["http://www.mendeley.com/documents/?uuid=66d26566-31c9-4f49-b526-0b5909d3f221"]}],"mendeley":{"formattedCitation":"(Benker, 2020)","manualFormatting":"Benker, 2020","plainTextFormattedCitation":"(Benker, 2020)","previouslyFormattedCitation":"(Benker, 2020)"},"properties":{"noteIndex":0},"schema":"https://github.com/citation-style-language/schema/raw/master/csl-citation.json"}</w:instrText>
      </w:r>
      <w:r w:rsidR="00864843" w:rsidRPr="00945ACC">
        <w:rPr>
          <w:color w:val="000000" w:themeColor="text1"/>
        </w:rPr>
        <w:fldChar w:fldCharType="separate"/>
      </w:r>
      <w:r w:rsidR="00864843" w:rsidRPr="00945ACC">
        <w:rPr>
          <w:noProof/>
          <w:color w:val="000000" w:themeColor="text1"/>
        </w:rPr>
        <w:t>Benker, 2020</w:t>
      </w:r>
      <w:r w:rsidR="00864843" w:rsidRPr="00945ACC">
        <w:rPr>
          <w:color w:val="000000" w:themeColor="text1"/>
        </w:rPr>
        <w:fldChar w:fldCharType="end"/>
      </w:r>
      <w:r w:rsidR="00864843" w:rsidRPr="00945ACC">
        <w:rPr>
          <w:color w:val="000000" w:themeColor="text1"/>
        </w:rPr>
        <w:t xml:space="preserve"> for resilience aspects that some stockpiling represents)</w:t>
      </w:r>
      <w:r w:rsidRPr="00945ACC">
        <w:rPr>
          <w:color w:val="000000" w:themeColor="text1"/>
        </w:rPr>
        <w:t>, quickly emptying supermarkets shelves, and to the temporary unavailability of some food products, which in turn created a more stressful situation</w:t>
      </w:r>
      <w:r w:rsidR="00475CDB" w:rsidRPr="00945ACC">
        <w:rPr>
          <w:color w:val="000000" w:themeColor="text1"/>
        </w:rPr>
        <w:t xml:space="preserve"> </w:t>
      </w:r>
      <w:r w:rsidR="00475CDB" w:rsidRPr="00945ACC">
        <w:rPr>
          <w:color w:val="000000" w:themeColor="text1"/>
        </w:rPr>
        <w:fldChar w:fldCharType="begin" w:fldLock="1"/>
      </w:r>
      <w:r w:rsidR="0074396A" w:rsidRPr="00945ACC">
        <w:rPr>
          <w:color w:val="000000" w:themeColor="text1"/>
        </w:rPr>
        <w:instrText>ADDIN CSL_CITATION {"citationItems":[{"id":"ITEM-1","itemData":{"DOI":"10.2139/ssrn.3566477","ISSN":"1556-5068","abstract":"The globalization of COVID-19 pandemic and its economic impacts is set to run havoc across all economies in the world, throwing many into recession and possibly economic depression. As the numbers of infected and death cases rise sharply and recovery from the pandemic remains uncertain even in developed countries, evidence of shocks across economies including China, the Europe, and the US are already emerging. The aim of this paper is to provide an overall understanding of the likely macroeconomic shocks of the pandemic, covering economic activities or areas including demand, supply, supply chain, trade, investment, price level, exchange rates, and financial stability and risk, economic growth, and international cooperation. The paper first presents a general and theoretical mapping of the likely macroeconomic impacts of the pandemic on an affected economy and then reviews the emerging evidence in relation to the impact mapping to understand the nature of the impacts. The paper then illustrates the likely impacts using a standard macroeconomic AD-AS model and outlines some necessary features that needs to be considered while designing policy responses by governments and international institutions in mitigating the economic shocks. Assessments of this paper are broadly in line with the limited studies available on the economics of COVID-19.","author":[{"dropping-particle":"","family":"Barua","given":"Suborna","non-dropping-particle":"","parse-names":false,"suffix":""}],"container-title":"SSRN Electronic Journal","id":"ITEM-1","issued":{"date-parts":[["2020","7","6"]]},"language":"en","title":"Understanding Coronanomics: The Economic Implications of the Coronavirus (COVID-19) Pandemic","type":"article-journal"},"uris":["http://www.mendeley.com/documents/?uuid=5e19aa62-db29-4589-995c-406d1e6a584e"]},{"id":"ITEM-2","itemData":{"DOI":"10.1186/s12967-020-02399-5","ISSN":"1479-5876","abstract":"On December 12th 2019, a new coronavirus (SARS-Cov2) emerged in Wuhan, China, sparking a pandemic of acute respiratory syndrome in humans (COVID-19). On the 24th of April 2020, the number of COVID-19 deaths in the world, according to the COVID-Case Tracker by Johns Hopkins University, was 195,313, and the number of COVID-19 confirmed cases was 2,783,512. The COVID-19 pandemic represents a massive impact on human health, causing sudden lifestyle changes, through social distancing and isolation at home, with social and economic consequences. Optimizing public health during this pandemic requires not only knowledge from the medical and biological sciences, but also of all human sciences related to lifestyle, social and behavioural studies, including dietary habits and lifestyle.","author":[{"dropping-particle":"","family":"Renzo","given":"Laura","non-dropping-particle":"Di","parse-names":false,"suffix":""},{"dropping-particle":"","family":"Gualtieri","given":"Paola","non-dropping-particle":"","parse-names":false,"suffix":""},{"dropping-particle":"","family":"Pivari","given":"Francesca","non-dropping-particle":"","parse-names":false,"suffix":""},{"dropping-particle":"","family":"Soldati","given":"Laura","non-dropping-particle":"","parse-names":false,"suffix":""},{"dropping-particle":"","family":"Attinà","given":"Alda","non-dropping-particle":"","parse-names":false,"suffix":""},{"dropping-particle":"","family":"Cinelli","given":"Giulia","non-dropping-particle":"","parse-names":false,"suffix":""},{"dropping-particle":"","family":"Leggeri","given":"Claudia","non-dropping-particle":"","parse-names":false,"suffix":""},{"dropping-particle":"","family":"Caparello","given":"Giovanna","non-dropping-particle":"","parse-names":false,"suffix":""},{"dropping-particle":"","family":"Barrea","given":"Luigi","non-dropping-particle":"","parse-names":false,"suffix":""},{"dropping-particle":"","family":"Scerbo","given":"Francesco","non-dropping-particle":"","parse-names":false,"suffix":""},{"dropping-particle":"","family":"Esposito","given":"Ernesto","non-dropping-particle":"","parse-names":false,"suffix":""},{"dropping-particle":"","family":"Lorenzo","given":"Antonino","non-dropping-particle":"De","parse-names":false,"suffix":""}],"container-title":"Journal of Translational Medicine","id":"ITEM-2","issue":"1","issued":{"date-parts":[["2020","7","6"]]},"page":"229","title":"Eating habits and lifestyle changes during COVID-19 lockdown: an Italian survey","type":"article-journal","volume":"18"},"uris":["http://www.mendeley.com/documents/?uuid=973abcc3-a544-4626-b22e-a931f52a4a23"]}],"mendeley":{"formattedCitation":"(Barua, 2020; Di Renzo, Gualtieri, Pivari, et al., 2020)","plainTextFormattedCitation":"(Barua, 2020; Di Renzo, Gualtieri, Pivari, et al., 2020)","previouslyFormattedCitation":"(Barua, 2020; Di Renzo, Gualtieri, Pivari, et al., 2020)"},"properties":{"noteIndex":0},"schema":"https://github.com/citation-style-language/schema/raw/master/csl-citation.json"}</w:instrText>
      </w:r>
      <w:r w:rsidR="00475CDB" w:rsidRPr="00945ACC">
        <w:rPr>
          <w:color w:val="000000" w:themeColor="text1"/>
        </w:rPr>
        <w:fldChar w:fldCharType="separate"/>
      </w:r>
      <w:r w:rsidR="0074396A" w:rsidRPr="00945ACC">
        <w:rPr>
          <w:noProof/>
          <w:color w:val="000000" w:themeColor="text1"/>
          <w:lang w:val="en-US"/>
        </w:rPr>
        <w:t>(Barua, 2020; Di Renzo, Gualtieri, Pivari, et al., 2020)</w:t>
      </w:r>
      <w:r w:rsidR="00475CDB" w:rsidRPr="00945ACC">
        <w:rPr>
          <w:color w:val="000000" w:themeColor="text1"/>
        </w:rPr>
        <w:fldChar w:fldCharType="end"/>
      </w:r>
      <w:r w:rsidRPr="00945ACC">
        <w:rPr>
          <w:color w:val="000000" w:themeColor="text1"/>
          <w:lang w:val="en-US"/>
        </w:rPr>
        <w:t xml:space="preserve">. </w:t>
      </w:r>
      <w:r w:rsidRPr="00945ACC">
        <w:rPr>
          <w:color w:val="000000" w:themeColor="text1"/>
        </w:rPr>
        <w:t>This scenario, combined with the changes in eating habits and routines, such as a higher percentage of meals</w:t>
      </w:r>
      <w:r w:rsidR="00A1161C" w:rsidRPr="00945ACC">
        <w:rPr>
          <w:color w:val="000000" w:themeColor="text1"/>
        </w:rPr>
        <w:t xml:space="preserve"> cooked and</w:t>
      </w:r>
      <w:r w:rsidRPr="00945ACC">
        <w:rPr>
          <w:color w:val="000000" w:themeColor="text1"/>
        </w:rPr>
        <w:t xml:space="preserve"> consumed at home</w:t>
      </w:r>
      <w:r w:rsidR="00DE7BFF" w:rsidRPr="00945ACC">
        <w:rPr>
          <w:color w:val="000000" w:themeColor="text1"/>
        </w:rPr>
        <w:t xml:space="preserve"> </w:t>
      </w:r>
      <w:r w:rsidR="00DE7BFF" w:rsidRPr="00945ACC">
        <w:rPr>
          <w:color w:val="000000" w:themeColor="text1"/>
        </w:rPr>
        <w:fldChar w:fldCharType="begin" w:fldLock="1"/>
      </w:r>
      <w:r w:rsidR="00175F6C" w:rsidRPr="00945ACC">
        <w:rPr>
          <w:color w:val="000000" w:themeColor="text1"/>
        </w:rPr>
        <w:instrText>ADDIN CSL_CITATION {"citationItems":[{"id":"ITEM-1","itemData":{"URL":"https://foodinsight.org/2020-food-and-health-survey/","accessed":{"date-parts":[["2020","7","28"]]},"author":[{"dropping-particle":"","family":"International Food Council Information","given":"","non-dropping-particle":"","parse-names":false,"suffix":""}],"id":"ITEM-1","issued":{"date-parts":[["2020"]]},"title":"2020 Food and Health Survey","type":"webpage"},"uris":["http://www.mendeley.com/documents/?uuid=4eb832d4-f2bf-4b94-b403-7d0406eaad31"]},{"id":"ITEM-2","itemData":{"URL":"https://www.statista.com/statistics/1111159/fresh-food-products-during-the-coronavirus-outbreak-italy/","accessed":{"date-parts":[["2020","11","6"]]},"author":[{"dropping-particle":"","family":"Statista","given":"","non-dropping-particle":"","parse-names":false,"suffix":""}],"id":"ITEM-2","issued":{"date-parts":[["2020"]]},"title":"Sales value growth of fresh food products during the coronavirus (COVID-19) outbreak in Italy in 2020","type":"webpage"},"uris":["http://www.mendeley.com/documents/?uuid=cb17bb23-2ed0-4074-b0b5-aad6669ff1f5"]},{"id":"ITEM-3","itemData":{"URL":"https://www.statista.com/statistics/1109965/best-selling-food-products-during-coronavirus-italy/","accessed":{"date-parts":[["2020","11","11"]]},"author":[{"dropping-particle":"","family":"Statista","given":"","non-dropping-particle":"","parse-names":false,"suffix":""}],"id":"ITEM-3","issued":{"date-parts":[["2020"]]},"title":"Percentage growth in sales of food products during the coronavirus (COVID-19) outbreak in Italy between February and March 2020, by category","type":"webpage"},"uris":["http://www.mendeley.com/documents/?uuid=b4b755db-cba2-4356-ac92-6b60d78d79b7"]}],"mendeley":{"formattedCitation":"(International Food Council Information, 2020; Statista, 2020b, 2020a)","manualFormatting":"(such as pizza and pasta; International Food Council Information, 2020; Statista, 2020a, b)","plainTextFormattedCitation":"(International Food Council Information, 2020; Statista, 2020b, 2020a)","previouslyFormattedCitation":"(International Food Council Information, 2020; Statista, 2020b, 2020a)"},"properties":{"noteIndex":0},"schema":"https://github.com/citation-style-language/schema/raw/master/csl-citation.json"}</w:instrText>
      </w:r>
      <w:r w:rsidR="00DE7BFF" w:rsidRPr="00945ACC">
        <w:rPr>
          <w:color w:val="000000" w:themeColor="text1"/>
        </w:rPr>
        <w:fldChar w:fldCharType="separate"/>
      </w:r>
      <w:r w:rsidR="00B64BC6" w:rsidRPr="00945ACC">
        <w:rPr>
          <w:noProof/>
          <w:color w:val="000000" w:themeColor="text1"/>
        </w:rPr>
        <w:t>(</w:t>
      </w:r>
      <w:r w:rsidR="00A1161C" w:rsidRPr="00945ACC">
        <w:rPr>
          <w:noProof/>
          <w:color w:val="000000" w:themeColor="text1"/>
        </w:rPr>
        <w:t>such as</w:t>
      </w:r>
      <w:r w:rsidR="002D4FBF" w:rsidRPr="00945ACC">
        <w:rPr>
          <w:noProof/>
          <w:color w:val="000000" w:themeColor="text1"/>
        </w:rPr>
        <w:t xml:space="preserve"> pizza and pasta; </w:t>
      </w:r>
      <w:r w:rsidR="00B64BC6" w:rsidRPr="00945ACC">
        <w:rPr>
          <w:noProof/>
          <w:color w:val="000000" w:themeColor="text1"/>
        </w:rPr>
        <w:t>International Food Council Information, 2020; Statista, 2020</w:t>
      </w:r>
      <w:r w:rsidR="002D4FBF" w:rsidRPr="00945ACC">
        <w:rPr>
          <w:noProof/>
          <w:color w:val="000000" w:themeColor="text1"/>
        </w:rPr>
        <w:t>a, b</w:t>
      </w:r>
      <w:r w:rsidR="00B64BC6" w:rsidRPr="00945ACC">
        <w:rPr>
          <w:noProof/>
          <w:color w:val="000000" w:themeColor="text1"/>
        </w:rPr>
        <w:t>)</w:t>
      </w:r>
      <w:r w:rsidR="00DE7BFF" w:rsidRPr="00945ACC">
        <w:rPr>
          <w:color w:val="000000" w:themeColor="text1"/>
        </w:rPr>
        <w:fldChar w:fldCharType="end"/>
      </w:r>
      <w:r w:rsidRPr="00945ACC">
        <w:rPr>
          <w:color w:val="000000" w:themeColor="text1"/>
        </w:rPr>
        <w:t xml:space="preserve">, </w:t>
      </w:r>
      <w:r w:rsidR="00912DD3" w:rsidRPr="00945ACC">
        <w:rPr>
          <w:color w:val="000000" w:themeColor="text1"/>
        </w:rPr>
        <w:t>affected</w:t>
      </w:r>
      <w:r w:rsidRPr="00945ACC">
        <w:rPr>
          <w:color w:val="000000" w:themeColor="text1"/>
        </w:rPr>
        <w:t xml:space="preserve"> </w:t>
      </w:r>
      <w:r w:rsidR="001835A3" w:rsidRPr="00945ACC">
        <w:rPr>
          <w:color w:val="000000" w:themeColor="text1"/>
        </w:rPr>
        <w:t>individual behaviours</w:t>
      </w:r>
      <w:r w:rsidRPr="00945ACC">
        <w:rPr>
          <w:color w:val="000000" w:themeColor="text1"/>
        </w:rPr>
        <w:t xml:space="preserve">: </w:t>
      </w:r>
      <w:r w:rsidR="001835A3" w:rsidRPr="00945ACC">
        <w:rPr>
          <w:color w:val="000000" w:themeColor="text1"/>
        </w:rPr>
        <w:t>many of them report</w:t>
      </w:r>
      <w:r w:rsidR="00F47DD2" w:rsidRPr="00945ACC">
        <w:rPr>
          <w:color w:val="000000" w:themeColor="text1"/>
        </w:rPr>
        <w:t>ed</w:t>
      </w:r>
      <w:r w:rsidR="001835A3" w:rsidRPr="00945ACC">
        <w:rPr>
          <w:color w:val="000000" w:themeColor="text1"/>
        </w:rPr>
        <w:t xml:space="preserve"> </w:t>
      </w:r>
      <w:r w:rsidR="00F47DD2" w:rsidRPr="00945ACC">
        <w:rPr>
          <w:color w:val="000000" w:themeColor="text1"/>
        </w:rPr>
        <w:t>having</w:t>
      </w:r>
      <w:r w:rsidRPr="00945ACC">
        <w:rPr>
          <w:color w:val="000000" w:themeColor="text1"/>
        </w:rPr>
        <w:t xml:space="preserve"> </w:t>
      </w:r>
      <w:r w:rsidR="001835A3" w:rsidRPr="00945ACC">
        <w:rPr>
          <w:color w:val="000000" w:themeColor="text1"/>
        </w:rPr>
        <w:t>ea</w:t>
      </w:r>
      <w:r w:rsidR="00912DD3" w:rsidRPr="00945ACC">
        <w:rPr>
          <w:color w:val="000000" w:themeColor="text1"/>
        </w:rPr>
        <w:t>te</w:t>
      </w:r>
      <w:r w:rsidR="001835A3" w:rsidRPr="00945ACC">
        <w:rPr>
          <w:color w:val="000000" w:themeColor="text1"/>
        </w:rPr>
        <w:t>n</w:t>
      </w:r>
      <w:r w:rsidR="00912DD3" w:rsidRPr="00945ACC">
        <w:rPr>
          <w:color w:val="000000" w:themeColor="text1"/>
        </w:rPr>
        <w:t xml:space="preserve"> more during the </w:t>
      </w:r>
      <w:r w:rsidR="00FF7C0F" w:rsidRPr="00945ACC">
        <w:rPr>
          <w:color w:val="000000" w:themeColor="text1"/>
        </w:rPr>
        <w:t xml:space="preserve">lockdown </w:t>
      </w:r>
      <w:r w:rsidR="00912DD3" w:rsidRPr="00945ACC">
        <w:rPr>
          <w:color w:val="000000" w:themeColor="text1"/>
        </w:rPr>
        <w:t xml:space="preserve">and </w:t>
      </w:r>
      <w:r w:rsidR="00F47DD2" w:rsidRPr="00945ACC">
        <w:rPr>
          <w:color w:val="000000" w:themeColor="text1"/>
        </w:rPr>
        <w:t xml:space="preserve">having </w:t>
      </w:r>
      <w:r w:rsidR="001835A3" w:rsidRPr="00945ACC">
        <w:rPr>
          <w:color w:val="000000" w:themeColor="text1"/>
        </w:rPr>
        <w:t>had</w:t>
      </w:r>
      <w:r w:rsidRPr="00945ACC">
        <w:rPr>
          <w:color w:val="000000" w:themeColor="text1"/>
        </w:rPr>
        <w:t xml:space="preserve"> overall more unhealthy eating habits,</w:t>
      </w:r>
      <w:r w:rsidR="001835A3" w:rsidRPr="00945ACC">
        <w:rPr>
          <w:color w:val="000000" w:themeColor="text1"/>
        </w:rPr>
        <w:t xml:space="preserve"> such as consuming comfort foods</w:t>
      </w:r>
      <w:r w:rsidRPr="00945ACC">
        <w:rPr>
          <w:color w:val="000000" w:themeColor="text1"/>
        </w:rPr>
        <w:t xml:space="preserve"> </w:t>
      </w:r>
      <w:r w:rsidR="00822333" w:rsidRPr="00945ACC">
        <w:rPr>
          <w:color w:val="000000" w:themeColor="text1"/>
        </w:rPr>
        <w:fldChar w:fldCharType="begin" w:fldLock="1"/>
      </w:r>
      <w:r w:rsidR="00B64BC6" w:rsidRPr="00945ACC">
        <w:rPr>
          <w:color w:val="000000" w:themeColor="text1"/>
        </w:rPr>
        <w:instrText>ADDIN CSL_CITATION {"citationItems":[{"id":"ITEM-1","itemData":{"DOI":"10.3390/foods9050675","abstract":"The Covid-19 pandemic led to lockdowns in several parts of the world and, hence, changed some daily habits, including social interactions, the ability to perform sports, and&amp;mdash;possibly&amp;mdash;diet. The Italian government established and promulgated lockdown policies on 9 March 2020. We aim at assessing the effects of Covid-19-induced confinement policies on self-reported food consumption of self-selected Italians by means of a questionnaire that was created and diffused by the Internet. Nearly half, i.e., 49.6% of responders did not substantially modify their diet during the lockdown; however, 46.1% of them reported that they were eating more during confinement, and 19.5% gained weight. In particular, we report an increase in &amp;ldquo;comfort food&amp;rdquo; consumption, notably chocolate, ice-cream, and desserts (42.5%) and salty snacks (23.5%). In addition, 42.7% percent of this cohort attributed this increase to higher anxiety levels. Related to this, 36.8% of responders reported a decrease in alcohol consumption, even though 10.1% of them reported an increase. Interestingly, 21.2% of responders increased their consumption of fresh fruit and vegetables. Only 33.5% of those who declared decreased consumption attributed this change of diet to lower availability and ease of purchasing such items. Equally interesting, over half of responders, i.e., 56.2%, admitted that fruit and vegetables did not appeal to them while in lockdown. Purchases of ready-made meals were reduced by nearly 50%. Future large-scale similar studies should be undertaken worldwide and will help public health authorities shape their reactions to future, unavoidable pandemics.","author":[{"dropping-particle":"","family":"Scarmozzino","given":"Federico","non-dropping-particle":"","parse-names":false,"suffix":""},{"dropping-particle":"","family":"Visioli","given":"Francesco","non-dropping-particle":"","parse-names":false,"suffix":""}],"container-title":"Foods","id":"ITEM-1","issue":"5","issued":{"date-parts":[["2020","7","6"]]},"language":"en","page":"675","title":"Covid-19 and the Subsequent Lockdown Modified Dietary Habits of Almost Half the Population in an Italian Sample","type":"article-journal","volume":"9"},"uris":["http://www.mendeley.com/documents/?uuid=2e559d08-3072-44e0-b69a-d21a7cedafe4"]},{"id":"ITEM-2","itemData":{"ISSN":"0195-6663","author":[{"dropping-particle":"","family":"Robinson","given":"Eric","non-dropping-particle":"","parse-names":false,"suffix":""},{"dropping-particle":"","family":"Boyland","given":"Emma","non-dropping-particle":"","parse-names":false,"suffix":""},{"dropping-particle":"","family":"Chisholm","given":"Anna","non-dropping-particle":"","parse-names":false,"suffix":""},{"dropping-particle":"","family":"Harrold","given":"Joanne","non-dropping-particle":"","parse-names":false,"suffix":""},{"dropping-particle":"","family":"Maloney","given":"Niamh G","non-dropping-particle":"","parse-names":false,"suffix":""},{"dropping-particle":"","family":"Marty","given":"Lucile","non-dropping-particle":"","parse-names":false,"suffix":""},{"dropping-particle":"","family":"Mead","given":"Bethan R","non-dropping-particle":"","parse-names":false,"suffix":""},{"dropping-particle":"","family":"Noonan","given":"Rob","non-dropping-particle":"","parse-names":false,"suffix":""},{"dropping-particle":"","family":"Hardman","given":"Charlotte A","non-dropping-particle":"","parse-names":false,"suffix":""}],"container-title":"Appetite","id":"ITEM-2","issued":{"date-parts":[["2020"]]},"page":"104853","publisher":"Elsevier","title":"Obesity, eating behavior and physical activity during COVID-19 lockdown: A study of UK adults","type":"article-journal"},"uris":["http://www.mendeley.com/documents/?uuid=77446152-34de-4573-a761-cfdf334d5c26"]}],"mendeley":{"formattedCitation":"(Robinson et al., 2020; Scarmozzino &amp; Visioli, 2020)","plainTextFormattedCitation":"(Robinson et al., 2020; Scarmozzino &amp; Visioli, 2020)","previouslyFormattedCitation":"(Robinson et al., 2020; Scarmozzino &amp; Visioli, 2020)"},"properties":{"noteIndex":0},"schema":"https://github.com/citation-style-language/schema/raw/master/csl-citation.json"}</w:instrText>
      </w:r>
      <w:r w:rsidR="00822333" w:rsidRPr="00945ACC">
        <w:rPr>
          <w:color w:val="000000" w:themeColor="text1"/>
        </w:rPr>
        <w:fldChar w:fldCharType="separate"/>
      </w:r>
      <w:r w:rsidR="00B64BC6" w:rsidRPr="00945ACC">
        <w:rPr>
          <w:noProof/>
          <w:color w:val="000000" w:themeColor="text1"/>
        </w:rPr>
        <w:t>(Robinson et al., 2020; Scarmozzino &amp; Visioli, 2020)</w:t>
      </w:r>
      <w:r w:rsidR="00822333" w:rsidRPr="00945ACC">
        <w:rPr>
          <w:color w:val="000000" w:themeColor="text1"/>
        </w:rPr>
        <w:fldChar w:fldCharType="end"/>
      </w:r>
      <w:r w:rsidR="00912DD3" w:rsidRPr="00945ACC">
        <w:rPr>
          <w:color w:val="000000" w:themeColor="text1"/>
        </w:rPr>
        <w:t xml:space="preserve">. Crucially, some of them </w:t>
      </w:r>
      <w:r w:rsidRPr="00945ACC">
        <w:rPr>
          <w:color w:val="000000" w:themeColor="text1"/>
        </w:rPr>
        <w:t xml:space="preserve">attributed these changes to higher anxiety </w:t>
      </w:r>
      <w:r w:rsidR="00475CDB" w:rsidRPr="00945ACC">
        <w:rPr>
          <w:color w:val="000000" w:themeColor="text1"/>
        </w:rPr>
        <w:fldChar w:fldCharType="begin" w:fldLock="1"/>
      </w:r>
      <w:r w:rsidR="00B64BC6" w:rsidRPr="00945ACC">
        <w:rPr>
          <w:color w:val="000000" w:themeColor="text1"/>
          <w:lang w:val="en-US"/>
        </w:rPr>
        <w:instrText>ADDIN CSL_CITATION {"citationItems":[{"id":"ITEM-1","itemData":{"DOI":"10.3390/foods9050675","abstract":"The Covid-19 pandemic led to lockdowns in several parts of the world and, hence, changed some daily habits, including social interactions, the ability to perform sports, and&amp;mdash;possibly&amp;mdash;diet. The Italian government established and promulgated lockdown policies on 9 March 2020. We aim at assessing the effects of Covid-19-induced confinement policies on self-reported food consumption of self-selected Italians by means of a questionnaire that was created and diffused by the Internet. Nearly half, i.e., 49.6% of responders did not substantially modify their diet during the lockdown; however, 46.1% of them reported that they were eating more during confinement, and 19.5% gained weight. In particular, we report an increase in &amp;ldquo;comfort food&amp;rdquo; consumption, notably chocolate, ice-cream, and desserts (42.5%) and salty snacks (23.5%). In addition, 42.7% percent of this cohort attributed this increase to higher anxiety levels. Related to this, 36.8% of responders reported a decrease in alcohol consumption, even though 10.1% of them reported an increase. Interestingly, 21.2% of responders increased their consumption of fresh fruit and vegetables. Only 33.5% of those who declared decreased consumption attributed this change of diet to lower availability and ease of purchasing such items. Equally interesting, over half of responders, i.e., 56.2%, admitted that fruit and vegetables did not appeal to them while in lockdown. Purchases of ready-made meals were reduced by nearly 50%. Future large-scale similar studies should be undertaken worldwide and will help public health authorities shape their reactions to future, unavoidable pandemics.","author":[{"dropping-particle":"","family":"Scarmozzino","given":"Federico","non-dropping-particle":"","parse-names":false,"suffix":""},{"dropping-particle":"","family":"Visioli","given":"Francesco","non-dropping-particle":"","parse-names":false,"suffix":""}],"container-title":"Foods","id":"ITEM-1","issue":"5","issued":{"date-parts":[["2020","7","6"]]},"language":"en","page":"675","title":"Covid-19 and the Subsequent Lockdown Modified Dietary Habits of Almost Half the Population in an Italian Sample","type":"article-journal","volume":"9"},"uris":["http://www.mendeley.com/documents/?uuid=2e559d08-3072-44e0-b69a-d21a7cedafe4"]},{"id":"ITEM-2","itemData":{"DOI":"10.3390/nu12061583","abstract":"Background: Public health recommendations and governmental measures during the COVID-19 pandemic have resulted in numerous restrictions on daily living including social distancing, isolation and home confinement. While these measures are imperative to abate the spreading of COVID-19, the impact of these restrictions on health behaviours and lifestyles at home is undefined. Therefore, an international online survey was launched in April 2020, in seven languages, to elucidate the behavioural and lifestyle consequences of COVID-19 restrictions. This report presents the results from the first thousand responders on physical activity (PA) and nutrition behaviours. Methods: Following a structured review of the literature, the &amp;ldquo;Effects of home Confinement on multiple Lifestyle Behaviours during the COVID-19 outbreak (ECLB-COVID19)&amp;rdquo; Electronic survey was designed by a steering group of multidisciplinary scientists and academics. The survey was uploaded and shared on the Google online survey platform. Thirty-five research organisations from Europe, North-Africa, Western Asia and the Americas promoted the survey in English, German, French, Arabic, Spanish, Portuguese and Slovenian languages. Questions were presented in a differential format, with questions related to responses &amp;ldquo;before&amp;rdquo; and &amp;ldquo;during&amp;rdquo; confinement conditions. Results: 1047 replies (54% women) from Asia (36%), Africa (40%), Europe (21%) and other (3%) were included in the analysis. The COVID-19 home confinement had a negative effect on all PA intensity levels (vigorous, moderate, walking and overall). Additionally, daily sitting time increased from 5 to 8 h per day. Food consumption and meal patterns (the type of food, eating out of control, snacks between meals, number of main meals) were more unhealthy during confinement, with only alcohol binge drinking decreasing significantly. Conclusion: While isolation is a necessary measure to protect public health, results indicate that it alters physical activity and eating behaviours in a health compromising direction. A more detailed analysis of survey data will allow for a segregation of these responses in different age groups, countries and other subgroups, which will help develop interventions to mitigate the negative lifestyle behaviours that have manifested during the COVID-19 confinement.","author":[{"dropping-particle":"","family":"Ammar","given":"Achraf","non-dropping-particle":"","parse-names":false,"suffix":""},{"dropping-particle":"","family":"Brach","given":"Michael","non-dropping-particle":"","parse-names":false,"suffix":""},{"dropping-particle":"","family":"Trabelsi","given":"Khaled","non-dropping-particle":"","parse-names":false,"suffix":""},{"dropping-particle":"","family":"Chtourou","given":"Hamdi","non-dropping-particle":"","parse-names":false,"suffix":""},{"dropping-particle":"","family":"Boukhris","given":"Omar","non-dropping-particle":"","parse-names":false,"suffix":""},{"dropping-particle":"","family":"Masmoudi","given":"Liwa","non-dropping-particle":"","parse-names":false,"suffix":""},{"dropping-particle":"","family":"Bouaziz","given":"Bassem","non-dropping-particle":"","parse-names":false,"suffix":""},{"dropping-particle":"","family":"Bentlage","given":"Ellen","non-dropping-particle":"","parse-names":false,"suffix":""},{"dropping-particle":"","family":"How","given":"Daniella","non-dropping-particle":"","parse-names":false,"suffix":""},{"dropping-particle":"","family":"Ahmed","given":"Mona","non-dropping-particle":"","parse-names":false,"suffix":""},{"dropping-particle":"","family":"Müller","given":"Patrick","non-dropping-particle":"","parse-names":false,"suffix":""},{"dropping-particle":"","family":"Müller","given":"Notger","non-dropping-particle":"","parse-names":false,"suffix":""},{"dropping-particle":"","family":"Aloui","given":"Asma","non-dropping-particle":"","parse-names":false,"suffix":""},{"dropping-particle":"","family":"Hammouda","given":"Omar","non-dropping-particle":"","parse-names":false,"suffix":""},{"dropping-particle":"","family":"Paineiras-Domingos","given":"Laisa Liane","non-dropping-particle":"","parse-names":false,"suffix":""},{"dropping-particle":"","family":"Braakman-Jansen","given":"Annemarie","non-dropping-particle":"","parse-names":false,"suffix":""},{"dropping-particle":"","family":"Wrede","given":"Christian","non-dropping-particle":"","parse-names":false,"suffix":""},{"dropping-particle":"","family":"Bastoni","given":"Sofia","non-dropping-particle":"","parse-names":false,"suffix":""},{"dropping-particle":"","family":"Pernambuco","given":"Carlos Soares","non-dropping-particle":"","parse-names":false,"suffix":""},{"dropping-particle":"","family":"Mataruna","given":"Leonardo","non-dropping-particle":"","parse-names":false,"suffix":""},{"dropping-particle":"","family":"Taheri","given":"Morteza","non-dropping-particle":"","parse-names":false,"suffix":""},{"dropping-particle":"","family":"Irandoust","given":"Khadijeh","non-dropping-particle":"","parse-names":false,"suffix":""},{"dropping-particle":"","family":"Khacharem","given":"Aïmen","non-dropping-particle":"","parse-names":false,"suffix":""},{"dropping-particle":"","family":"Bragazzi","given":"Nicola L","non-dropping-particle":"","parse-names":false,"suffix":""},{"dropping-particle":"","family":"Chamari","given":"Karim","non-dropping-particle":"","parse-names":false,"suffix":""},{"dropping-particle":"","family":"Glenn","given":"Jordan M","non-dropping-particle":"","parse-names":false,"suffix":""},{"dropping-particle":"","family":"Bott","given":"Nicholas T","non-dropping-particle":"","parse-names":false,"suffix":""},{"dropping-particle":"","family":"Gargouri","given":"Faiez","non-dropping-particle":"","parse-names":false,"suffix":""},{"dropping-particle":"","family":"Chaari","given":"Lotfi","non-dropping-particle":"","parse-names":false,"suffix":""},{"dropping-particle":"","family":"Batatia","given":"Hadj","non-dropping-particle":"","parse-names":false,"suffix":""},{"dropping-particle":"","family":"Ali","given":"Gamal Mohamed","non-dropping-particle":"","parse-names":false,"suffix":""},{"dropping-particle":"","family":"Abdelkarim","given":"Osama","non-dropping-particle":"","parse-names":false,"suffix":""},{"dropping-particle":"","family":"Jarraya","given":"Mohamed","non-dropping-particle":"","parse-names":false,"suffix":""},{"dropping-particle":"","family":"Abed","given":"Kais","non-dropping-particle":"El","parse-names":false,"suffix":""},{"dropping-particle":"","family":"Souissi","given":"Nizar","non-dropping-particle":"","parse-names":false,"suffix":""},{"dropping-particle":"","family":"Gemert-Pijnen","given":"Lisette","non-dropping-particle":"Van","parse-names":false,"suffix":""},{"dropping-particle":"","family":"Riemann","given":"Bryan L","non-dropping-particle":"","parse-names":false,"suffix":""},{"dropping-particle":"","family":"Riemann","given":"Laurel","non-dropping-particle":"","parse-names":false,"suffix":""},{"dropping-particle":"","family":"Moalla","given":"Wassim","non-dropping-particle":"","parse-names":false,"suffix":""},{"dropping-particle":"","family":"Gómez-Raja","given":"Jonathan","non-dropping-particle":"","parse-names":false,"suffix":""},{"dropping-particle":"","family":"Epstein","given":"Monique","non-dropping-particle":"","parse-names":false,"suffix":""},{"dropping-particle":"","family":"Sanderman","given":"Robbert","non-dropping-particle":"","parse-names":false,"suffix":""},{"dropping-particle":"","family":"Schulz","given":"Sebastian V W","non-dropping-particle":"","parse-names":false,"suffix":""},{"dropping-particle":"","family":"Jerg","given":"Achim","non-dropping-particle":"","parse-names":false,"suffix":""},{"dropping-particle":"","family":"Al-Horani","given":"Ramzi","non-dropping-particle":"","parse-names":false,"suffix":""},{"dropping-particle":"","family":"Mansi","given":"Taiysir","non-dropping-particle":"","parse-names":false,"suffix":""},{"dropping-particle":"","family":"Jmail","given":"Mohamed","non-dropping-particle":"","parse-names":false,"suffix":""},{"dropping-particle":"","family":"Barbosa","given":"Fernando","non-dropping-particle":"","parse-names":false,"suffix":""},{"dropping-particle":"","family":"Ferreira-Santos","given":"Fernando","non-dropping-particle":"","parse-names":false,"suffix":""},{"dropping-particle":"","family":"Šimunič","given":"Boštjan","non-dropping-particle":"","parse-names":false,"suffix":""},{"dropping-particle":"","family":"Pišot","given":"Rado","non-dropping-particle":"","parse-names":false,"suffix":""},{"dropping-particle":"","family":"Gaggioli","given":"Andrea","non-dropping-particle":"","parse-names":false,"suffix":""},{"dropping-particle":"","family":"Bailey","given":"Stephen J","non-dropping-particle":"","parse-names":false,"suffix":""},{"dropping-particle":"","family":"Steinacker","given":"Jürgen M","non-dropping-particle":"","parse-names":false,"suffix":""},{"dropping-particle":"","family":"Driss","given":"Tarak","non-dropping-particle":"","parse-names":false,"suffix":""},{"dropping-particle":"","family":"Hoekelmann","given":"Anita","non-dropping-particle":"","parse-names":false,"suffix":""},{"dropping-particle":"","family":"Consortium","given":"On Behalf of the ECLB-COVID19","non-dropping-particle":"","parse-names":false,"suffix":""}],"container-title":"Nutrients","id":"ITEM-2","issue":"6","issued":{"date-parts":[["2020","7","3"]]},"language":"en","page":"1583","title":"Effects of COVID-19 Home Confinement on Eating Behaviour and Physical Activity: Results of the ECLB-COVID19 International Online Survey","type":"article-journal","volume":"12"},"uris":["http://www.mendeley.com/documents/?uuid=642897a3-5c82-4e8f-aef0-d90ac5026de7"]},{"id":"ITEM-3","itemData":{"ISSN":"0276-3478","author":[{"dropping-particle":"","family":"Scharmer","given":"Christina","non-dropping-particle":"","parse-names":false,"suffix":""},{"dropping-particle":"","family":"Martinez","given":"Kimberly","non-dropping-particle":"","parse-names":false,"suffix":""},{"dropping-particle":"","family":"Gorrell","given":"Sasha","non-dropping-particle":"","parse-names":false,"suffix":""},{"dropping-particle":"","family":"Reilly","given":"Erin E","non-dropping-particle":"","parse-names":false,"suffix":""},{"dropping-particle":"","family":"Donahue","given":"Joseph M","non-dropping-particle":"","parse-names":false,"suffix":""},{"dropping-particle":"","family":"Anderson","given":"Drew A","non-dropping-particle":"","parse-names":false,"suffix":""}],"container-title":"International Journal of Eating Disorders","id":"ITEM-3","issued":{"date-parts":[["2020"]]},"publisher":"Wiley Online Library","title":"Eating disorder pathology and compulsive exercise during the COVID‐19 public health emergency: Examining risk associated with COVID‐19 anxiety and intolerance of uncertainty","type":"article-journal"},"uris":["http://www.mendeley.com/documents/?uuid=9a053c4d-d5fd-49c8-9230-89b2a39cf013"]}],"mendeley":{"formattedCitation":"(Ammar et al., 2020; Scarmozzino &amp; Visioli, 2020; Scharmer et al., 2020)","plainTextFormattedCitation":"(Ammar et al., 2020; Scarmozzino &amp; Visioli, 2020; Scharmer et al., 2020)","previouslyFormattedCitation":"(Ammar et al., 2020; Scarmozzino &amp; Visioli, 2020; Scharmer et al., 2020)"},"properties":{"noteIndex":0},"schema":"https://github.com/citation-style-language/schema/raw/master/csl-citation.json"}</w:instrText>
      </w:r>
      <w:r w:rsidR="00475CDB" w:rsidRPr="00945ACC">
        <w:rPr>
          <w:color w:val="000000" w:themeColor="text1"/>
        </w:rPr>
        <w:fldChar w:fldCharType="separate"/>
      </w:r>
      <w:r w:rsidR="00B64BC6" w:rsidRPr="00945ACC">
        <w:rPr>
          <w:noProof/>
          <w:color w:val="000000" w:themeColor="text1"/>
          <w:lang w:val="en-US"/>
        </w:rPr>
        <w:t>(Ammar et al., 2020; Scarmozzino &amp; Visioli, 2020; Scharmer et al., 2020)</w:t>
      </w:r>
      <w:r w:rsidR="00475CDB" w:rsidRPr="00945ACC">
        <w:rPr>
          <w:color w:val="000000" w:themeColor="text1"/>
        </w:rPr>
        <w:fldChar w:fldCharType="end"/>
      </w:r>
      <w:r w:rsidRPr="00945ACC">
        <w:rPr>
          <w:color w:val="000000" w:themeColor="text1"/>
          <w:lang w:val="en-US"/>
        </w:rPr>
        <w:t xml:space="preserve">. </w:t>
      </w:r>
    </w:p>
    <w:p w14:paraId="1F679FA9" w14:textId="40EE9333" w:rsidR="00874399" w:rsidRPr="00945ACC" w:rsidRDefault="00CA6F64" w:rsidP="00CA6F64">
      <w:pPr>
        <w:ind w:firstLine="720"/>
        <w:rPr>
          <w:color w:val="000000" w:themeColor="text1"/>
        </w:rPr>
      </w:pPr>
      <w:r w:rsidRPr="00945ACC">
        <w:rPr>
          <w:color w:val="000000" w:themeColor="text1"/>
          <w:lang w:val="en-US"/>
        </w:rPr>
        <w:t>Dysfunctional eating habits, such as binge eating and emotional eating have been shown to be predicted by b</w:t>
      </w:r>
      <w:r w:rsidR="00B16B40" w:rsidRPr="00945ACC">
        <w:rPr>
          <w:color w:val="000000" w:themeColor="text1"/>
          <w:lang w:val="en-US"/>
        </w:rPr>
        <w:t xml:space="preserve">oth </w:t>
      </w:r>
      <w:r w:rsidRPr="00945ACC">
        <w:rPr>
          <w:color w:val="000000" w:themeColor="text1"/>
          <w:lang w:val="en-US"/>
        </w:rPr>
        <w:t xml:space="preserve">stress </w:t>
      </w:r>
      <w:r w:rsidRPr="00945ACC">
        <w:rPr>
          <w:color w:val="000000" w:themeColor="text1"/>
        </w:rPr>
        <w:fldChar w:fldCharType="begin" w:fldLock="1"/>
      </w:r>
      <w:r w:rsidRPr="00945ACC">
        <w:rPr>
          <w:color w:val="000000" w:themeColor="text1"/>
        </w:rPr>
        <w:instrText>ADDIN CSL_CITATION {"citationItems":[{"id":"ITEM-1","itemData":{"DOI":"10.1007/BF02883330","ISSN":"0883-6612","abstract":"OBJECTIVE: This study examined the effects of an interpersonal stressor on subsequent calorie intake in females with (N = 20) and without (N = 20) significant bulimic symptomatology. METHOD: Subjects participated in two laboratory sessions that differed according to experimental condition (stress versus no stress), completed self-report measures of mood and anxiety before and after the experimental task, and were provided with an array of snack foods after each session. RESULTS: Counter to the hypothesis, women with bulimic symptoms did not differentially increase their intake when exposed to stress. However, results for the intake of each macronutrient indicated that both bulimic and control women increased their consumption of carbohydrates following the stressor. Thus, stress was related to increased carbohydrate consumption by all subjects but did not differentially affect the consumption of women with bulimic symptoms. CONCLUSIONS: It may be that women with bulimic symptoms are not differentially vulnerable to eating in response to stress or that current laboratory paradigms are unable to detect differences in eating following a stressor.","author":[{"dropping-particle":"","family":"Levine","given":"M D","non-dropping-particle":"","parse-names":false,"suffix":""},{"dropping-particle":"","family":"Marcus","given":"M D","non-dropping-particle":"","parse-names":false,"suffix":""}],"container-title":"Annals of Behavioral Medicine: A Publication of the Society of Behavioral Medicine","id":"ITEM-1","issue":"2","issued":{"date-parts":[["1997","7","7"]]},"language":"eng","page":"132-138","title":"Eating behavior following stress in women with and without bulimic symptoms | SpringerLink","type":"article-journal","volume":"19"},"uris":["http://www.mendeley.com/documents/?uuid=ed7735fb-ccb1-4319-98c8-f14291511af1"]},{"id":"ITEM-2","itemData":{"DOI":"10.1006/appe.2000.0387","ISSN":"0195-6663","abstract":"This study was designed to assess the effectiveness of a modified Stroop test as a method of inducing ego-threatening stress in dieters. Twenty females completed a Stroop task and watched a fearful film, and then consumed ice cream, ad libitum, under the guise of a tasting-test. It was predicted that the Stroop task would trigger greater consumption of ice cream than a fearful film, and that this effect would be more pronounced for binge-eaters than non-binge-eaters. More ice cream was consumed following the Stroop task, however both binge-eaters and non-binge-eaters consumed more ice cream after the Stroop task than the film-task. This data suggests that the ego-threatening Stroop test has potential as a standardized method for use in studies of stress-induced eating.","author":[{"dropping-particle":"","family":"Lattimore","given":"P J","non-dropping-particle":"","parse-names":false,"suffix":""}],"container-title":"Appetite","id":"ITEM-2","issue":"2","issued":{"date-parts":[["2001","7","7"]]},"language":"en","page":"187-188","title":"Stress-induced eating: an alternative method for inducing ego-threatening stress","type":"article-journal","volume":"36"},"uris":["http://www.mendeley.com/documents/?uuid=1d3f91e9-7073-43b4-a636-04796c175a26"]},{"id":"ITEM-3","itemData":{"DOI":"10.1016/j.appet.2004.02.001","ISSN":"0195-6663","abstract":"Restrained and emotional eaters overeat in response to stress. To compare differential effects of cognitive demand and ego-threatening stressors on subsequent chocolate intake, 38 females completed a neutral (control), an ego threatening and an incongruent Stroop colour-naming task on three separate occasions. Participants were assigned to four groups based on median-split scores on the restrained and emotional eating scales of the Dutch Eating Behaviour Questionnaire—high restraint/high emotional, high restraint/low emotional, low restraint/high emotional and low restraint/low emotional. Higher response latencies were observed in the incongruent task, confirming its greater cognitive (attentional) demand. Overall intake was enhanced by 23% after ego-threat and 15% after the incongruent Stroop task relative to control. Restraint was associated with greater intake after both ego-threat and the incongruent task than in the control condition. In contrast, emotional eating was associated with greater intake after only the ego-threat, relative to control. A positive association between reaction time and subsequent intake in all conditions for high restraint/low emotional eaters provided support for the limited capacity hypothesis. Enhanced intake in emotional eaters is proposed to relate to escape from self-awareness. These findings demonstrate differential effects of threat and demand on stress-related eating in restrained and emotional eaters.","author":[{"dropping-particle":"","family":"Wallis","given":"D J","non-dropping-particle":"","parse-names":false,"suffix":""},{"dropping-particle":"","family":"Hetherington","given":"M M","non-dropping-particle":"","parse-names":false,"suffix":""}],"container-title":"Appetite","id":"ITEM-3","issue":"1","issued":{"date-parts":[["2004","7","3"]]},"language":"en","page":"39-46","title":"Stress and eating: the effects of ego-threat and cognitive demand on food intake in restrained and emotional eaters","type":"article-journal","volume":"43"},"uris":["http://www.mendeley.com/documents/?uuid=ad56f888-135f-4214-81cc-b8215751f2bd"]},{"id":"ITEM-4","itemData":{"DOI":"10.1002/eat.20012","ISSN":"1098-108X","abstract":"Objective The current study evaluated whether psychological stress, use of specific coping strategies, and trait dietary restraint would prospectively predict binge eating episodes. Method After completing a baseline measure of restraint, 46 binge eating college women kept daily diaries assessing depressed affect, stress, coping, and binge eating for 30 days. Results Regardless of level of depressed mood, higher stress was associated with increased risk of same-day binge eating; distraction coping was associated with increased risk of future binge eating; social support was associated with decreased risk of same-day binge eating; and women with high versus low dietary restraint showed different patterns of relationship for stress, coping, and binge eating. Discussion Vulnerability to binge eating in women who differ in terms of dietary restraint level may vary as a function of their coping responses to stress. Results highlight the complexities of stress and coping in binge eating. © 2004 by Wiley Periodicals, Inc. Int J Eat Disord 36: 204–212, 2004.","author":[{"dropping-particle":"","family":"Freeman","given":"Lisa M Yacono","non-dropping-particle":"","parse-names":false,"suffix":""},{"dropping-particle":"","family":"Gil","given":"Karen M","non-dropping-particle":"","parse-names":false,"suffix":""}],"container-title":"International Journal of Eating Disorders","id":"ITEM-4","issue":"2","issued":{"date-parts":[["2004","7","6"]]},"language":"en","page":"204-212","title":"Daily stress, coping, and dietary restraint in binge eating","type":"article-journal","volume":"36"},"uris":["http://www.mendeley.com/documents/?uuid=33527f1e-6153-4553-8bb9-fd8484057904"]},{"id":"ITEM-5","itemData":{"DOI":"10.1016/j.appet.2011.10.005","ISSN":"0195-6663","abstract":"Earlier studies assessing the possible moderator effect of self-reported emotional eating on the relation between stress and actual food intake have obtained mixed results. The null findings in some of these studies might be attributed to misclassification of participants due to the use of the median splits and/or insufficient participants with extreme scores. The objective of the two current studies was to test whether it is possible to predict distress-induced eating with a self-report emotional eating scale by using extreme scorers. In study 1 (n=45) we used a between-subjects design and emotional eating was assessed after food intake during a negative or a neutral mood (induced by a movie). In study 2 (n=47) we used a within-subjects design and emotional eating was assessed well before food intake, which occurred after a control or stress task (Trier Social Stress Task). The main outcome measure was actual food intake. In both studies self-reported emotional eating significantly moderated the relation between distress and food intake. As expected, low emotional eaters ate less during the sad movie or after stress than during the neutral movie or after the control task, whereas high emotional eaters ate more. No such moderator effect was found for emotional eating in the entire sample (n=124) of study 1 using the median-split procedure or the full range of emotional eating scores. We conclude that it is possible to predict distress-induced food intake using self-reports of emotional eating provided that the participants have sufficiently extreme emotional eating scores.","author":[{"dropping-particle":"","family":"Strien","given":"Tatjana","non-dropping-particle":"van","parse-names":false,"suffix":""},{"dropping-particle":"","family":"Herman","given":"C Peter","non-dropping-particle":"","parse-names":false,"suffix":""},{"dropping-particle":"","family":"Anschutz","given":"Doeschka J","non-dropping-particle":"","parse-names":false,"suffix":""},{"dropping-particle":"","family":"Engels","given":"Rutger C M E","non-dropping-particle":"","parse-names":false,"suffix":""},{"dropping-particle":"","family":"Weerth","given":"Carolina","non-dropping-particle":"de","parse-names":false,"suffix":""}],"container-title":"Appetite","id":"ITEM-5","issue":"1","issued":{"date-parts":[["2012","7","7"]]},"language":"en","page":"277-284","title":"Moderation of distress-induced eating by emotional eating scores","type":"article-journal","volume":"58"},"uris":["http://www.mendeley.com/documents/?uuid=5445bf91-7ef8-40eb-ade9-4fd23b7fd610"]},{"id":"ITEM-6","itemData":{"DOI":"10.1016/j.appet.2012.08.010","ISSN":"0195-6663","abstract":"Psychological stress has been suggested to change dietary pattern towards more unhealthy choices and as such to contribute to overweight. Emotional eating behaviour could be an underlying mediating mechanism. The interrelationship between stress, emotional eating behaviour and dietary patterns has only rarely been examined in young children. Nevertheless, research in children is pivotal as the foundations of dietary habits are established starting from childhood and may track into adulthood. In 437 children (5–12years) of the ChiBS study, stress was measured by questionnaires on stressful events, emotions (happy, angry, sad, anxious) and problems (emotional, peer, conduct and hyperactivity). Data were collected on children’s emotional eating behaviour and also on dietary patterns: frequency of fatty foods, sweet foods, snacks (fat and sweet), fruit and vegetables. Stressful events, negative emotions and problems were positively associated with emotional eating. Positive associations were observed between problems and both sweet and fatty foods consumption. Negative associations were observed between events and fruit and vegetables consumption. Overall, stress was associated with emotional eating and a more unhealthy dietary pattern and could thus contribute to the development of overweight, also in children. Nevertheless, emotional eating behaviour was not observed to mediate the stress–diet relation.","author":[{"dropping-particle":"","family":"Michels","given":"Nathalie","non-dropping-particle":"","parse-names":false,"suffix":""},{"dropping-particle":"","family":"Sioen","given":"Isabelle","non-dropping-particle":"","parse-names":false,"suffix":""},{"dropping-particle":"","family":"Braet","given":"Caroline","non-dropping-particle":"","parse-names":false,"suffix":""},{"dropping-particle":"","family":"Eiben","given":"Gabriele","non-dropping-particle":"","parse-names":false,"suffix":""},{"dropping-particle":"","family":"Hebestreit","given":"Antje","non-dropping-particle":"","parse-names":false,"suffix":""},{"dropping-particle":"","family":"Huybrechts","given":"Inge","non-dropping-particle":"","parse-names":false,"suffix":""},{"dropping-particle":"","family":"Vanaelst","given":"Barbara","non-dropping-particle":"","parse-names":false,"suffix":""},{"dropping-particle":"","family":"Vyncke","given":"Krishna","non-dropping-particle":"","parse-names":false,"suffix":""},{"dropping-particle":"","family":"Henauw","given":"Stefaan","non-dropping-particle":"De","parse-names":false,"suffix":""}],"container-title":"Appetite","id":"ITEM-6","issue":"3","issued":{"date-parts":[["2012","7","3"]]},"language":"en","page":"762-769","title":"Stress, emotional eating behaviour and dietary patterns in children","type":"article-journal","volume":"59"},"uris":["http://www.mendeley.com/documents/?uuid=0320a9cf-939b-4569-96ae-c77ff7bc95d5"]},{"id":"ITEM-7","itemData":{"DOI":"10.1002/jts.21824","ISSN":"1573-6598","abstract":"The present study investigated the relationship between posttraumatic stress disorder (PTSD) and emotional eating in a sample of medically healthy and medication-free adults. Participants with PTSD (n = 44) and control participants free of lifetime psychiatric history (n = 49) completed a measure of emotional eating. Emotional eating is the tendency to eat or overeat in response to negative emotions. PTSD participants exhibited greater emotional eating than control participants (η2 = .20) and emotional eating increased with higher PTSD symptom severity (R2 = .11). Results supported the stress-eating-obesity model whereby emotional eating is a maladaptive response to stressors. Over time, this could lead to weight gain, particularly abdominal stores, and contribute to higher risk for comorbid medical disorders. Findings suggest the importance of future longitudinal research to understand whether emotional eating contributes to the high rates of obesity, diabetes, and heart disease in PTSD.","author":[{"dropping-particle":"","family":"Talbot","given":"Lisa S","non-dropping-particle":"","parse-names":false,"suffix":""},{"dropping-particle":"","family":"Maguen","given":"Shira","non-dropping-particle":"","parse-names":false,"suffix":""},{"dropping-particle":"","family":"Epel","given":"Elissa S","non-dropping-particle":"","parse-names":false,"suffix":""},{"dropping-particle":"","family":"Metzler","given":"Thomas J","non-dropping-particle":"","parse-names":false,"suffix":""},{"dropping-particle":"","family":"Neylan","given":"Thomas C","non-dropping-particle":"","parse-names":false,"suffix":""}],"container-title":"Journal of Traumatic Stress","id":"ITEM-7","issue":"4","issued":{"date-parts":[["2013","7","6"]]},"language":"en","page":"521-525","title":"Posttraumatic Stress Disorder Is Associated With Emotional Eating","type":"article-journal","volume":"26"},"uris":["http://www.mendeley.com/documents/?uuid=f9211d6a-ab07-4891-88d1-2cf7a26987c3"]}],"mendeley":{"formattedCitation":"(Freeman &amp; Gil, 2004; Lattimore, 2001; Levine &amp; Marcus, 1997; Michels et al., 2012; Talbot, Maguen, Epel, Metzler, &amp; Neylan, 2013; van Strien, Herman, Anschutz, Engels, &amp; de Weerth, 2012; Wallis &amp; Hetherington, 2004)","plainTextFormattedCitation":"(Freeman &amp; Gil, 2004; Lattimore, 2001; Levine &amp; Marcus, 1997; Michels et al., 2012; Talbot, Maguen, Epel, Metzler, &amp; Neylan, 2013; van Strien, Herman, Anschutz, Engels, &amp; de Weerth, 2012; Wallis &amp; Hetherington, 2004)","previouslyFormattedCitation":"(Freeman &amp; Gil, 2004; Lattimore, 2001; Levine &amp; Marcus, 1997; Michels et al., 2012; Talbot, Maguen, Epel, Metzler, &amp; Neylan, 2013; van Strien, Herman, Anschutz, Engels, &amp; de Weerth, 2012; Wallis &amp; Hetherington, 2004)"},"properties":{"noteIndex":0},"schema":"https://github.com/citation-style-language/schema/raw/master/csl-citation.json"}</w:instrText>
      </w:r>
      <w:r w:rsidRPr="00945ACC">
        <w:rPr>
          <w:color w:val="000000" w:themeColor="text1"/>
        </w:rPr>
        <w:fldChar w:fldCharType="separate"/>
      </w:r>
      <w:r w:rsidRPr="00945ACC">
        <w:rPr>
          <w:noProof/>
          <w:color w:val="000000" w:themeColor="text1"/>
        </w:rPr>
        <w:t>(Freeman &amp; Gil, 2004; Lattimore, 2001; Levine &amp; Marcus, 1997; Michels et al., 2012; Talbot, Maguen, Epel, Metzler, &amp; Neylan, 2013; van Strien, Herman, Anschutz, Engels, &amp; de Weerth, 2012; Wallis &amp; Hetherington, 2004)</w:t>
      </w:r>
      <w:r w:rsidRPr="00945ACC">
        <w:rPr>
          <w:color w:val="000000" w:themeColor="text1"/>
        </w:rPr>
        <w:fldChar w:fldCharType="end"/>
      </w:r>
      <w:r w:rsidR="00B16B40" w:rsidRPr="00945ACC">
        <w:rPr>
          <w:color w:val="000000" w:themeColor="text1"/>
          <w:lang w:val="en-US"/>
        </w:rPr>
        <w:t xml:space="preserve"> and negative emotions, such as anxiety and depression</w:t>
      </w:r>
      <w:r w:rsidRPr="00945ACC">
        <w:rPr>
          <w:color w:val="000000" w:themeColor="text1"/>
          <w:lang w:val="en-US"/>
        </w:rPr>
        <w:t xml:space="preserve"> </w:t>
      </w:r>
      <w:r w:rsidRPr="00945ACC">
        <w:rPr>
          <w:color w:val="000000" w:themeColor="text1"/>
        </w:rPr>
        <w:fldChar w:fldCharType="begin" w:fldLock="1"/>
      </w:r>
      <w:r w:rsidRPr="00945ACC">
        <w:rPr>
          <w:color w:val="000000" w:themeColor="text1"/>
        </w:rPr>
        <w:instrText>ADDIN CSL_CITATION {"citationItems":[{"id":"ITEM-1","itemData":{"DOI":"10.1080/10640260902848543","ISSN":"1064-0266","abstract":"Emotional eating is conceptualized as eating in response to negative affect. Data from a larger study of physical activity was employed to examine the associations among specific emotions/moods and emotional eating in an adolescent sample. Six-hundred and sixty-six students of diverse backgrounds from 7 middle schools in Los Angeles County participated. Cross-sectional analysis revealed no gender differences in emotional eating, and showed that perceived stress and worries were associated with emotional eating in the total sample. Gender stratified analyses revealed significant associations of perceived stress, worries and tension/anxiety to emotional eating for girls, while only confused mood was related to emotional eating in boys. These findings bear potential implications for the treatment and prevention of pediatric obesity and eating disorders because they suggest that interventions would benefit from incorporation of stress-reduction techniques and promotion of positive mood.","author":[{"dropping-particle":"","family":"Nguyen-Rodriguez","given":"Selena T","non-dropping-particle":"","parse-names":false,"suffix":""},{"dropping-particle":"","family":"Unger","given":"Jennifer B","non-dropping-particle":"","parse-names":false,"suffix":""},{"dropping-particle":"","family":"Spruijt-Metz","given":"Donna","non-dropping-particle":"","parse-names":false,"suffix":""}],"container-title":"Eating Disorders","id":"ITEM-1","issue":"3","issued":{"date-parts":[["2009","7","7"]]},"page":"211-224","title":"Psychological Determinants of Emotional Eating in Adolescence","type":"article-journal","volume":"17"},"uris":["http://www.mendeley.com/documents/?uuid=d2412da4-aa83-4eaf-89ea-7e7d4bab0177"]},{"id":"ITEM-2","itemData":{"DOI":"10.1002/erv.892","ISSN":"1099-0968","abstract":"The current study investigated loss of control (LC) over eating and the role of anxiety, depression and emotional eating in a sample of both treatment seeking (N = 115) and non-treatment seeking (N = 73) overweight youngsters (aged 8–18) using a semi-structured clinical interview and self-report questionnaires. It was found that treatment seekers reported twice as much LC (40%) compared to non-treatment seekers (21%). Cross-sectional prediction models indicated that increased anxiety was associated with emotional eating and LC. Emotional eating tended to mediate the relationship between anxiety and LC. Increased depression was associated with emotional eating but not with LC. Especially overweight treatment seekers turn out to be at risk for LC. Because LC may develop as a result of inadequate coping with negative emotions like anxiety, obesity treatment should focus on teaching more effective coping strategies. Longitudinal research is recommended to further elaborate affect regulation and LC. Copyright © 2008 John Wiley &amp; Sons, Ltd and Eating Disorders Association.","author":[{"dropping-particle":"","family":"Goossens","given":"Lien","non-dropping-particle":"","parse-names":false,"suffix":""},{"dropping-particle":"","family":"Braet","given":"Caroline","non-dropping-particle":"","parse-names":false,"suffix":""},{"dropping-particle":"Van","family":"Vlierberghe","given":"Leen","non-dropping-particle":"","parse-names":false,"suffix":""},{"dropping-particle":"","family":"Mels","given":"Saskia","non-dropping-particle":"","parse-names":false,"suffix":""}],"container-title":"European Eating Disorders Review","id":"ITEM-2","issue":"1","issued":{"date-parts":[["2009","4","22"]]},"language":"en","page":"68-78","title":"Loss of control over eating in overweight youngsters: The role of anxiety, depression and emotional eating","type":"article-journal","volume":"17"},"uris":["http://www.mendeley.com/documents/?uuid=3a9c38b6-220e-48ba-aafd-b3fec9050b6d"]},{"id":"ITEM-3","itemData":{"DOI":"10.1007/BF03325311","ISSN":"1590-1262","abstract":"The present study was planned to investigate differences in psychopathological features, eating behaviour and eating habits between obese women with and without BED. It also aimed to identify specific relationships between affective symptoms and eating behaviour in obese women with BED. Eighty-four obese women were studied (40 with BED, 44 non-BED). Psychiatric comorbidities were assessed with the structured diagnostic interview for DSM-IV (SCID). Depressive symptoms were measured with the Beck Depression Inventory (BDI) and anxiety with the state-trait anxiety inventory (STAI). Eating habits (emotional and restrained eating) were assessed by the Dutch eating behaviour questionnaire (DEBQ). Food diaries were used for assessing naturalistic eating behaviour (food intake) and mood before and after food intake. BED subjects exhibited higher levels of comorbidity (in particular mood disorders, anxiety disorders and substance-related disorders), higher depressive symptoms, trait anxiety, external and emotional eating scores than non-BED subjects. Regression analyses revealed that anxiety and emotional eating were significant predictors for BED status. In the BED group, depressive symptoms were significantly related to emotional eating and food intake and negatively related to restraint. Anxiety was significantly related to emotional eating. In general, food intake significantly enhanced mood. Mood was worse on the days with self-reported binge eating episodes than on nonbinge days. These results are discussed with regard to aetiological models for BED and for BED being a distinct diagnostic category separate from obesity.","author":[{"dropping-particle":"","family":"Schulz","given":"S","non-dropping-particle":"","parse-names":false,"suffix":""},{"dropping-particle":"","family":"Laessle","given":"R G","non-dropping-particle":"","parse-names":false,"suffix":""}],"container-title":"Eating and Weight Disorders - Studies on Anorexia, Bulimia and Obesity","id":"ITEM-3","issue":"4","issued":{"date-parts":[["2010","7","7"]]},"language":"en","page":"e287-e293","title":"Associations of negative affect and eating behaviour in obese women with and without binge eating disorder","type":"article-journal","volume":"15"},"uris":["http://www.mendeley.com/documents/?uuid=28f2e5d2-50a7-4363-a12e-412ac7624861"]},{"id":"ITEM-4","itemData":{"DOI":"10.1177/1359105315580212","ISSN":"1359-1053","abstract":"This study aimed to extend the literature by examining several psychological factors (i.e. depression, anxiety, and stress) in relation to binge eating. Data were collected via online surveys from a community sample of men and women of diverse backgrounds. The main study hypotheses were supported, indicating a unique relation between anxiety and binge eating, and between stress and binge eating, independent of the impact of depression. Gender differences are discussed. The results of this study suggest a need for a more detailed examination of negative affect in binge eating. Furthermore, the role of anxiety may be important for future research.","author":[{"dropping-particle":"","family":"Rosenbaum","given":"Diane L","non-dropping-particle":"","parse-names":false,"suffix":""},{"dropping-particle":"","family":"White","given":"Kamila S","non-dropping-particle":"","parse-names":false,"suffix":""}],"container-title":"Journal of Health Psychology","id":"ITEM-4","issue":"6","issued":{"date-parts":[["2015","7","7"]]},"language":"en","page":"887-898","title":"The relation of anxiety, depression, and stress to binge eating behavior","type":"article-journal","volume":"20"},"uris":["http://www.mendeley.com/documents/?uuid=b7dc57f2-c5ea-4fac-89a1-6af9991b0390"]}],"mendeley":{"formattedCitation":"(Goossens, Braet, Vlierberghe, &amp; Mels, 2009; Nguyen-Rodriguez, Unger, &amp; Spruijt-Metz, 2009; Rosenbaum &amp; White, 2015; Schulz &amp; Laessle, 2010)","plainTextFormattedCitation":"(Goossens, Braet, Vlierberghe, &amp; Mels, 2009; Nguyen-Rodriguez, Unger, &amp; Spruijt-Metz, 2009; Rosenbaum &amp; White, 2015; Schulz &amp; Laessle, 2010)","previouslyFormattedCitation":"(Goossens, Braet, Vlierberghe, &amp; Mels, 2009; Nguyen-Rodriguez, Unger, &amp; Spruijt-Metz, 2009; Rosenbaum &amp; White, 2015; Schulz &amp; Laessle, 2010)"},"properties":{"noteIndex":0},"schema":"https://github.com/citation-style-language/schema/raw/master/csl-citation.json"}</w:instrText>
      </w:r>
      <w:r w:rsidRPr="00945ACC">
        <w:rPr>
          <w:color w:val="000000" w:themeColor="text1"/>
        </w:rPr>
        <w:fldChar w:fldCharType="separate"/>
      </w:r>
      <w:r w:rsidRPr="00945ACC">
        <w:rPr>
          <w:noProof/>
          <w:color w:val="000000" w:themeColor="text1"/>
        </w:rPr>
        <w:t>(Goossens, Braet, Vlierberghe, &amp; Mels, 2009; Nguyen-Rodriguez, Unger, &amp; Spruijt-Metz, 2009; Rosenbaum &amp; White, 2015; Schulz &amp; Laessle, 2010)</w:t>
      </w:r>
      <w:r w:rsidRPr="00945ACC">
        <w:rPr>
          <w:color w:val="000000" w:themeColor="text1"/>
        </w:rPr>
        <w:fldChar w:fldCharType="end"/>
      </w:r>
      <w:r w:rsidRPr="00945ACC">
        <w:rPr>
          <w:color w:val="000000" w:themeColor="text1"/>
          <w:lang w:val="en-US"/>
        </w:rPr>
        <w:t xml:space="preserve">. </w:t>
      </w:r>
      <w:r w:rsidR="00B16B40" w:rsidRPr="00945ACC">
        <w:rPr>
          <w:color w:val="000000" w:themeColor="text1"/>
        </w:rPr>
        <w:t xml:space="preserve">Binge eating consists </w:t>
      </w:r>
      <w:r w:rsidR="00A325E3" w:rsidRPr="00945ACC">
        <w:rPr>
          <w:color w:val="000000" w:themeColor="text1"/>
        </w:rPr>
        <w:t xml:space="preserve">of </w:t>
      </w:r>
      <w:r w:rsidR="00B16B40" w:rsidRPr="00945ACC">
        <w:rPr>
          <w:color w:val="000000" w:themeColor="text1"/>
        </w:rPr>
        <w:t>ingesting a large amount of food in a short amount of time, combined with a sense of lack of control during the episode</w:t>
      </w:r>
      <w:r w:rsidRPr="00945ACC">
        <w:rPr>
          <w:color w:val="000000" w:themeColor="text1"/>
        </w:rPr>
        <w:t xml:space="preserve"> </w:t>
      </w:r>
      <w:r w:rsidRPr="00945ACC">
        <w:rPr>
          <w:color w:val="000000" w:themeColor="text1"/>
        </w:rPr>
        <w:fldChar w:fldCharType="begin" w:fldLock="1"/>
      </w:r>
      <w:r w:rsidR="00DE7BFF" w:rsidRPr="00945ACC">
        <w:rPr>
          <w:color w:val="000000" w:themeColor="text1"/>
        </w:rPr>
        <w:instrText>ADDIN CSL_CITATION {"citationItems":[{"id":"ITEM-1","itemData":{"author":[{"dropping-particle":"","family":"American Psychiatric Association","given":"","non-dropping-particle":"","parse-names":false,"suffix":""}],"edition":"5","id":"ITEM-1","issued":{"date-parts":[["2013"]]},"publisher":"American Psychiatric Association","publisher-place":"Washington, DC","title":"Diagnostic and statistical manual of mental disorders DSM-5","type":"book"},"uris":["http://www.mendeley.com/documents/?uuid=98da78d2-cea6-451e-96ae-443ee703f96b"]}],"mendeley":{"formattedCitation":"(American Psychiatric Association, 2013)","plainTextFormattedCitation":"(American Psychiatric Association, 2013)","previouslyFormattedCitation":"(American Psychiatric Association, 2013)"},"properties":{"noteIndex":0},"schema":"https://github.com/citation-style-language/schema/raw/master/csl-citation.json"}</w:instrText>
      </w:r>
      <w:r w:rsidRPr="00945ACC">
        <w:rPr>
          <w:color w:val="000000" w:themeColor="text1"/>
        </w:rPr>
        <w:fldChar w:fldCharType="separate"/>
      </w:r>
      <w:r w:rsidRPr="00945ACC">
        <w:rPr>
          <w:noProof/>
          <w:color w:val="000000" w:themeColor="text1"/>
        </w:rPr>
        <w:t>(American Psychiatric Association, 2013)</w:t>
      </w:r>
      <w:r w:rsidRPr="00945ACC">
        <w:rPr>
          <w:color w:val="000000" w:themeColor="text1"/>
        </w:rPr>
        <w:fldChar w:fldCharType="end"/>
      </w:r>
      <w:r w:rsidRPr="00945ACC">
        <w:rPr>
          <w:color w:val="000000" w:themeColor="text1"/>
        </w:rPr>
        <w:t>,</w:t>
      </w:r>
      <w:r w:rsidR="00B16B40" w:rsidRPr="00945ACC">
        <w:rPr>
          <w:color w:val="000000" w:themeColor="text1"/>
        </w:rPr>
        <w:t xml:space="preserve"> while emotional eating consists </w:t>
      </w:r>
      <w:r w:rsidR="00A325E3" w:rsidRPr="00945ACC">
        <w:rPr>
          <w:color w:val="000000" w:themeColor="text1"/>
        </w:rPr>
        <w:t xml:space="preserve">of </w:t>
      </w:r>
      <w:r w:rsidR="00175F6C" w:rsidRPr="00945ACC">
        <w:rPr>
          <w:color w:val="000000" w:themeColor="text1"/>
        </w:rPr>
        <w:t xml:space="preserve">excessive eating in </w:t>
      </w:r>
      <w:r w:rsidR="00FF7C0F" w:rsidRPr="00945ACC">
        <w:rPr>
          <w:color w:val="000000" w:themeColor="text1"/>
        </w:rPr>
        <w:lastRenderedPageBreak/>
        <w:t xml:space="preserve">response </w:t>
      </w:r>
      <w:r w:rsidR="00175F6C" w:rsidRPr="00945ACC">
        <w:rPr>
          <w:color w:val="000000" w:themeColor="text1"/>
        </w:rPr>
        <w:t xml:space="preserve">to arousal states such as anger, fear, and anxiety </w:t>
      </w:r>
      <w:r w:rsidR="00175F6C" w:rsidRPr="00945ACC">
        <w:rPr>
          <w:color w:val="000000" w:themeColor="text1"/>
        </w:rPr>
        <w:fldChar w:fldCharType="begin" w:fldLock="1"/>
      </w:r>
      <w:r w:rsidR="004319CB" w:rsidRPr="00945ACC">
        <w:rPr>
          <w:color w:val="000000" w:themeColor="text1"/>
        </w:rPr>
        <w:instrText>ADDIN CSL_CITATION {"citationItems":[{"id":"ITEM-1","itemData":{"DOI":"10.1002/1098-108X(198602)5:2&lt;295::AID-EAT2260050209&gt;3.0.CO;2-T","ISBN":"1098-108X","ISSN":"1098-108X","PMID":"2934","abstract":"The development ofthe Dutch Eating Behaviour Ouestionnaire (DEBO) with scales for restrained, emotional, and external eating is described. Factor anal- yses have shown that all items on restrained and external eating each have high loadings on one factor, but items on emotional eating have two dimen- sions, one dealing with eating in response to diffuse emotions, and the other with eating in response to clearly labelled emotions. The pattern of corrected item-total correlation coefficients and of the factors was very simitar for var- ious subsamples, which indicates a high degree of stability of dimensions on the eating behavior scales. The norms and Cronbach's alpha coefficients of the scales and also the Pearson's correlation coefficients to assess interrela- tionships between scales indicate that the scates have a high internal consis- tency and factorial validity. However, their external validity has yet to be investigated.","author":[{"dropping-particle":"","family":"Strien","given":"Tatjana","non-dropping-particle":"van","parse-names":false,"suffix":""},{"dropping-particle":"","family":"Frijters","given":"JER","non-dropping-particle":"","parse-names":false,"suffix":""},{"dropping-particle":"","family":"Bergers","given":"G.P.a.","non-dropping-particle":"","parse-names":false,"suffix":""},{"dropping-particle":"","family":"Defares","given":"P.B.","non-dropping-particle":"","parse-names":false,"suffix":""}],"container-title":"{…} Journal of Eating {…}","id":"ITEM-1","issue":"2","issued":{"date-parts":[["1986","2"]]},"page":"295-315","publisher":"Wiley Subscription Services, Inc., A Wiley Company","title":"The Dutch Eating Behavior Questionnaire (DEBQ) for assessment of restrained, emotional, and external eating behavior","type":"article-journal","volume":"5"},"uris":["http://www.mendeley.com/documents/?uuid=5f57e2fa-88b6-4f42-af45-8a6a9f05176f"]}],"mendeley":{"formattedCitation":"(van Strien, Frijters, Bergers, &amp; Defares, 1986)","plainTextFormattedCitation":"(van Strien, Frijters, Bergers, &amp; Defares, 1986)","previouslyFormattedCitation":"(van Strien, Frijters, Bergers, &amp; Defares, 1986)"},"properties":{"noteIndex":0},"schema":"https://github.com/citation-style-language/schema/raw/master/csl-citation.json"}</w:instrText>
      </w:r>
      <w:r w:rsidR="00175F6C" w:rsidRPr="00945ACC">
        <w:rPr>
          <w:color w:val="000000" w:themeColor="text1"/>
        </w:rPr>
        <w:fldChar w:fldCharType="separate"/>
      </w:r>
      <w:r w:rsidR="00175F6C" w:rsidRPr="00945ACC">
        <w:rPr>
          <w:noProof/>
          <w:color w:val="000000" w:themeColor="text1"/>
        </w:rPr>
        <w:t>(van Strien, Frijters, Bergers, &amp; Defares, 1986)</w:t>
      </w:r>
      <w:r w:rsidR="00175F6C" w:rsidRPr="00945ACC">
        <w:rPr>
          <w:color w:val="000000" w:themeColor="text1"/>
        </w:rPr>
        <w:fldChar w:fldCharType="end"/>
      </w:r>
      <w:r w:rsidR="00B16B40" w:rsidRPr="00945ACC">
        <w:rPr>
          <w:color w:val="000000" w:themeColor="text1"/>
        </w:rPr>
        <w:t>. Two factors</w:t>
      </w:r>
      <w:r w:rsidR="00912DD3" w:rsidRPr="00945ACC">
        <w:rPr>
          <w:color w:val="000000" w:themeColor="text1"/>
        </w:rPr>
        <w:t>,</w:t>
      </w:r>
      <w:r w:rsidR="00B16B40" w:rsidRPr="00945ACC">
        <w:rPr>
          <w:color w:val="000000" w:themeColor="text1"/>
        </w:rPr>
        <w:t xml:space="preserve"> in particular</w:t>
      </w:r>
      <w:r w:rsidR="00912DD3" w:rsidRPr="00945ACC">
        <w:rPr>
          <w:color w:val="000000" w:themeColor="text1"/>
        </w:rPr>
        <w:t>,</w:t>
      </w:r>
      <w:r w:rsidR="00B16B40" w:rsidRPr="00945ACC">
        <w:rPr>
          <w:color w:val="000000" w:themeColor="text1"/>
        </w:rPr>
        <w:t xml:space="preserve"> seem to play a primary role in mediating the relationship </w:t>
      </w:r>
      <w:r w:rsidR="00F831E9" w:rsidRPr="00945ACC">
        <w:rPr>
          <w:color w:val="000000" w:themeColor="text1"/>
        </w:rPr>
        <w:t>among</w:t>
      </w:r>
      <w:r w:rsidR="00B16B40" w:rsidRPr="00945ACC">
        <w:rPr>
          <w:color w:val="000000" w:themeColor="text1"/>
        </w:rPr>
        <w:t xml:space="preserve"> stress, anxiety, depression</w:t>
      </w:r>
      <w:r w:rsidR="00912DD3" w:rsidRPr="00945ACC">
        <w:rPr>
          <w:color w:val="000000" w:themeColor="text1"/>
        </w:rPr>
        <w:t>,</w:t>
      </w:r>
      <w:r w:rsidR="00B16B40" w:rsidRPr="00945ACC">
        <w:rPr>
          <w:color w:val="000000" w:themeColor="text1"/>
        </w:rPr>
        <w:t xml:space="preserve"> and dysfunctional eating: </w:t>
      </w:r>
      <w:r w:rsidR="00F831E9" w:rsidRPr="00945ACC">
        <w:rPr>
          <w:color w:val="000000" w:themeColor="text1"/>
        </w:rPr>
        <w:t>body</w:t>
      </w:r>
      <w:r w:rsidR="00B16B40" w:rsidRPr="00945ACC">
        <w:rPr>
          <w:color w:val="000000" w:themeColor="text1"/>
        </w:rPr>
        <w:t xml:space="preserve"> weight</w:t>
      </w:r>
      <w:r w:rsidR="00A627CE" w:rsidRPr="00945ACC">
        <w:rPr>
          <w:color w:val="000000" w:themeColor="text1"/>
        </w:rPr>
        <w:t xml:space="preserve"> status</w:t>
      </w:r>
      <w:r w:rsidR="00B16B40" w:rsidRPr="00945ACC">
        <w:rPr>
          <w:color w:val="000000" w:themeColor="text1"/>
        </w:rPr>
        <w:t xml:space="preserve">, and </w:t>
      </w:r>
      <w:r w:rsidR="00F831E9" w:rsidRPr="00945ACC">
        <w:rPr>
          <w:color w:val="000000" w:themeColor="text1"/>
        </w:rPr>
        <w:t>the subjects’</w:t>
      </w:r>
      <w:r w:rsidR="001835A3" w:rsidRPr="00945ACC">
        <w:rPr>
          <w:color w:val="000000" w:themeColor="text1"/>
        </w:rPr>
        <w:t xml:space="preserve"> </w:t>
      </w:r>
      <w:r w:rsidR="00B16B40" w:rsidRPr="00945ACC">
        <w:rPr>
          <w:color w:val="000000" w:themeColor="text1"/>
        </w:rPr>
        <w:t>ability to correctly perceive and interpret their emotional sensations, distinguishing them from their physical ones, a condition called alexithymia</w:t>
      </w:r>
      <w:r w:rsidR="00475CDB" w:rsidRPr="00945ACC">
        <w:rPr>
          <w:color w:val="000000" w:themeColor="text1"/>
        </w:rPr>
        <w:t xml:space="preserve"> </w:t>
      </w:r>
      <w:r w:rsidR="00475CDB" w:rsidRPr="00945ACC">
        <w:rPr>
          <w:color w:val="000000" w:themeColor="text1"/>
        </w:rPr>
        <w:fldChar w:fldCharType="begin" w:fldLock="1"/>
      </w:r>
      <w:r w:rsidR="00475CDB" w:rsidRPr="00945ACC">
        <w:rPr>
          <w:color w:val="000000" w:themeColor="text1"/>
        </w:rPr>
        <w:instrText>ADDIN CSL_CITATION {"citationItems":[{"id":"ITEM-1","itemData":{"DOI":"10.1159/000286529","ISSN":"0033-3190, 1423-0348","abstract":"An attempt is made in this paper to investigate the prevalence among patients who suffer from various psychosomatic diseases, of a relative constriction in emotional functioning, poverty of fantasy life, and inability to find appropriate words to describe their emotions. For lack of a better term, I call these characteristics ‘alexithymic’. Twenty-five psychosomatic patients outnumbered 25 control patients by better than two to one as far as possession of these ‘alexithymic’ characteristics. The question is raised whether these defects are due to biological or developmental factors, and the conclusion is reached that patients with these characteristics may not be good candidates for dynamic psychotherapy.","author":[{"dropping-particle":"","family":"Sifneos","given":"P E","non-dropping-particle":"","parse-names":false,"suffix":""}],"container-title":"Psychotherapy and Psychosomatics","id":"ITEM-1","issue":"2-6","issued":{"date-parts":[["1973","7","7"]]},"language":"english","page":"255-262","title":"The Prevalence of ‘Alexithymic’ Characteristics in Psychosomatic Patients","type":"article-journal","volume":"22"},"uris":["http://www.mendeley.com/documents/?uuid=1729b247-39ea-4a1a-a590-1e44be782bf2"]}],"mendeley":{"formattedCitation":"(Sifneos, 1973)","plainTextFormattedCitation":"(Sifneos, 1973)","previouslyFormattedCitation":"(Sifneos, 1973)"},"properties":{"noteIndex":0},"schema":"https://github.com/citation-style-language/schema/raw/master/csl-citation.json"}</w:instrText>
      </w:r>
      <w:r w:rsidR="00475CDB" w:rsidRPr="00945ACC">
        <w:rPr>
          <w:color w:val="000000" w:themeColor="text1"/>
        </w:rPr>
        <w:fldChar w:fldCharType="separate"/>
      </w:r>
      <w:r w:rsidR="00475CDB" w:rsidRPr="00945ACC">
        <w:rPr>
          <w:noProof/>
          <w:color w:val="000000" w:themeColor="text1"/>
        </w:rPr>
        <w:t>(Sifneos, 1973)</w:t>
      </w:r>
      <w:r w:rsidR="00475CDB" w:rsidRPr="00945ACC">
        <w:rPr>
          <w:color w:val="000000" w:themeColor="text1"/>
        </w:rPr>
        <w:fldChar w:fldCharType="end"/>
      </w:r>
      <w:r w:rsidR="00B16B40" w:rsidRPr="00945ACC">
        <w:rPr>
          <w:color w:val="000000" w:themeColor="text1"/>
        </w:rPr>
        <w:t xml:space="preserve">. Previous literature has shown that </w:t>
      </w:r>
      <w:r w:rsidR="00537AB0" w:rsidRPr="00945ACC">
        <w:rPr>
          <w:color w:val="000000" w:themeColor="text1"/>
        </w:rPr>
        <w:t>people who have overweight</w:t>
      </w:r>
      <w:r w:rsidR="00B16B40" w:rsidRPr="00945ACC">
        <w:rPr>
          <w:color w:val="000000" w:themeColor="text1"/>
        </w:rPr>
        <w:t xml:space="preserve"> are particularly at risk for emotional eating during negative emotional states</w:t>
      </w:r>
      <w:r w:rsidR="00475CDB" w:rsidRPr="00945ACC">
        <w:rPr>
          <w:color w:val="000000" w:themeColor="text1"/>
        </w:rPr>
        <w:t xml:space="preserve"> </w:t>
      </w:r>
      <w:r w:rsidR="00475CDB" w:rsidRPr="00945ACC">
        <w:rPr>
          <w:color w:val="000000" w:themeColor="text1"/>
        </w:rPr>
        <w:fldChar w:fldCharType="begin" w:fldLock="1"/>
      </w:r>
      <w:r w:rsidR="00475CDB" w:rsidRPr="00945ACC">
        <w:rPr>
          <w:color w:val="000000" w:themeColor="text1"/>
        </w:rPr>
        <w:instrText>ADDIN CSL_CITATION {"citationItems":[{"id":"ITEM-1","itemData":{"DOI":"10.1016/s1471-0153(02)00100-9","ISSN":"1471-0153","abstract":"Emotional states and situations can affect food intake. We predicted that underweight individuals would eat less and overweight individuals would eat more during negative as well as positive emotional states and situations. Questionnaires to assess eating during emotional states and situations were distributed and collected in person in several major university and public libraries. Ninety questionnaires, representing for each gender the 15 most overweight, the 15 closest to normal weight, and the 15 most underweight, were analyzed. Gender had only minor effects on the eating ratings, and therefore the results are presented for the sexes combined. Underweight individuals reported eating less (P=.000) than both the normal and overweight groups during negative emotional states and situations. More surprisingly, underweight individuals also reported eating more (P=.01) than the other groups during positive emotional states and situations. Thus, part of the prediction was confirmed: the relative undereating by the underweight group, and the relative overeating by the overweight group during negative emotional states and situations. As compared to their usual eating behavior, undereating by underweight individuals during negative emotional states and situations was of a greater magnitude than their own overeating during positive states and situations (P=.01). Undereating by underweight individuals when experiencing negative emotions may contribute to their low body weight.","author":[{"dropping-particle":"","family":"Geliebter","given":"Allan","non-dropping-particle":"","parse-names":false,"suffix":""},{"dropping-particle":"","family":"Aversa","given":"Angela","non-dropping-particle":"","parse-names":false,"suffix":""}],"container-title":"Eating Behaviors","id":"ITEM-1","issue":"4","issued":{"date-parts":[["2003"]]},"language":"eng","page":"341-347","title":"Emotional eating in overweight, normal weight, and underweight individuals","type":"article-journal","volume":"3"},"uris":["http://www.mendeley.com/documents/?uuid=cd73000c-7eaf-4992-be29-eb7283f05a1a"]}],"mendeley":{"formattedCitation":"(Geliebter &amp; Aversa, 2003)","plainTextFormattedCitation":"(Geliebter &amp; Aversa, 2003)","previouslyFormattedCitation":"(Geliebter &amp; Aversa, 2003)"},"properties":{"noteIndex":0},"schema":"https://github.com/citation-style-language/schema/raw/master/csl-citation.json"}</w:instrText>
      </w:r>
      <w:r w:rsidR="00475CDB" w:rsidRPr="00945ACC">
        <w:rPr>
          <w:color w:val="000000" w:themeColor="text1"/>
        </w:rPr>
        <w:fldChar w:fldCharType="separate"/>
      </w:r>
      <w:r w:rsidR="00475CDB" w:rsidRPr="00945ACC">
        <w:rPr>
          <w:noProof/>
          <w:color w:val="000000" w:themeColor="text1"/>
        </w:rPr>
        <w:t>(Geliebter &amp; Aversa, 2003)</w:t>
      </w:r>
      <w:r w:rsidR="00475CDB" w:rsidRPr="00945ACC">
        <w:rPr>
          <w:color w:val="000000" w:themeColor="text1"/>
        </w:rPr>
        <w:fldChar w:fldCharType="end"/>
      </w:r>
      <w:r w:rsidR="00B16B40" w:rsidRPr="00945ACC">
        <w:rPr>
          <w:color w:val="000000" w:themeColor="text1"/>
        </w:rPr>
        <w:t xml:space="preserve">, and that high trait anxiety is associated with food intake for </w:t>
      </w:r>
      <w:r w:rsidR="00537AB0" w:rsidRPr="00945ACC">
        <w:rPr>
          <w:color w:val="000000" w:themeColor="text1"/>
        </w:rPr>
        <w:t>people living with obesity</w:t>
      </w:r>
      <w:r w:rsidR="00B16B40" w:rsidRPr="00945ACC">
        <w:rPr>
          <w:color w:val="000000" w:themeColor="text1"/>
        </w:rPr>
        <w:t>, but not their lean counterparts</w:t>
      </w:r>
      <w:r w:rsidR="00475CDB" w:rsidRPr="00945ACC">
        <w:rPr>
          <w:color w:val="000000" w:themeColor="text1"/>
        </w:rPr>
        <w:t xml:space="preserve"> </w:t>
      </w:r>
      <w:r w:rsidR="00475CDB" w:rsidRPr="00945ACC">
        <w:rPr>
          <w:color w:val="000000" w:themeColor="text1"/>
        </w:rPr>
        <w:fldChar w:fldCharType="begin" w:fldLock="1"/>
      </w:r>
      <w:r w:rsidR="00475CDB" w:rsidRPr="00945ACC">
        <w:rPr>
          <w:color w:val="000000" w:themeColor="text1"/>
        </w:rPr>
        <w:instrText>ADDIN CSL_CITATION {"citationItems":[{"id":"ITEM-1","itemData":{"DOI":"10.1016/j.appet.2010.10.006","ISSN":"0195-6663","abstract":"The present study examined whether trait anxiety and trait anger are associated with vulnerability to emotional eating, particularly among obese individuals. Lean (n=37) and obese (n=24) participants engaged in a laboratory study where they completed measures of trait anxiety and trait anger at screening and then completed 3 counterbalanced experimental sessions involving different mood inductions (neutral, anxiety, anger). Following each mood induction, participants were provided with snack foods in a sham taste test. Models predicting snack intake revealed a significant trait anxiety×body mass index group interaction, such that high trait anxiety was positively associated with food intake for obese individuals, but not their lean counterparts. Contrary to the hypothesis, trait anger was not associated with food intake for obese or lean participants. Results suggest that trait anxiety may be a risk factor for emotional eating among obese individuals.","author":[{"dropping-particle":"","family":"Schneider","given":"Kristin L","non-dropping-particle":"","parse-names":false,"suffix":""},{"dropping-particle":"","family":"Appelhans","given":"Bradley M","non-dropping-particle":"","parse-names":false,"suffix":""},{"dropping-particle":"","family":"Whited","given":"Matthew C","non-dropping-particle":"","parse-names":false,"suffix":""},{"dropping-particle":"","family":"Oleski","given":"Jessica","non-dropping-particle":"","parse-names":false,"suffix":""},{"dropping-particle":"","family":"Pagoto","given":"Sherry L","non-dropping-particle":"","parse-names":false,"suffix":""}],"container-title":"Appetite","id":"ITEM-1","issue":"3","issued":{"date-parts":[["2010","7","7"]]},"language":"en","page":"701-706","title":"Trait anxiety, but not trait anger, predisposes obese individuals to emotional eating","type":"article-journal","volume":"55"},"uris":["http://www.mendeley.com/documents/?uuid=0240a88b-d19a-409d-8ea8-dbd90ea35352"]}],"mendeley":{"formattedCitation":"(Schneider, Appelhans, Whited, Oleski, &amp; Pagoto, 2010)","plainTextFormattedCitation":"(Schneider, Appelhans, Whited, Oleski, &amp; Pagoto, 2010)","previouslyFormattedCitation":"(Schneider, Appelhans, Whited, Oleski, &amp; Pagoto, 2010)"},"properties":{"noteIndex":0},"schema":"https://github.com/citation-style-language/schema/raw/master/csl-citation.json"}</w:instrText>
      </w:r>
      <w:r w:rsidR="00475CDB" w:rsidRPr="00945ACC">
        <w:rPr>
          <w:color w:val="000000" w:themeColor="text1"/>
        </w:rPr>
        <w:fldChar w:fldCharType="separate"/>
      </w:r>
      <w:r w:rsidR="00475CDB" w:rsidRPr="00945ACC">
        <w:rPr>
          <w:noProof/>
          <w:color w:val="000000" w:themeColor="text1"/>
        </w:rPr>
        <w:t>(Schneider, Appelhans, Whited, Oleski, &amp; Pagoto, 2010)</w:t>
      </w:r>
      <w:r w:rsidR="00475CDB" w:rsidRPr="00945ACC">
        <w:rPr>
          <w:color w:val="000000" w:themeColor="text1"/>
        </w:rPr>
        <w:fldChar w:fldCharType="end"/>
      </w:r>
      <w:r w:rsidR="00B16B40" w:rsidRPr="00945ACC">
        <w:rPr>
          <w:color w:val="000000" w:themeColor="text1"/>
        </w:rPr>
        <w:t xml:space="preserve">. The relationship between stress and emotional eating has also been shown to be modulated by </w:t>
      </w:r>
      <w:r w:rsidR="00265186" w:rsidRPr="00945ACC">
        <w:rPr>
          <w:color w:val="000000" w:themeColor="text1"/>
        </w:rPr>
        <w:t>Body Mass Index (</w:t>
      </w:r>
      <w:r w:rsidR="00B16B40" w:rsidRPr="00945ACC">
        <w:rPr>
          <w:color w:val="000000" w:themeColor="text1"/>
        </w:rPr>
        <w:t>BMI</w:t>
      </w:r>
      <w:r w:rsidR="00265186" w:rsidRPr="00945ACC">
        <w:rPr>
          <w:color w:val="000000" w:themeColor="text1"/>
        </w:rPr>
        <w:t>;</w:t>
      </w:r>
      <w:r w:rsidR="00475CDB" w:rsidRPr="00945ACC">
        <w:rPr>
          <w:color w:val="000000" w:themeColor="text1"/>
        </w:rPr>
        <w:t xml:space="preserve"> </w:t>
      </w:r>
      <w:r w:rsidR="00475CDB" w:rsidRPr="00945ACC">
        <w:rPr>
          <w:color w:val="000000" w:themeColor="text1"/>
        </w:rPr>
        <w:fldChar w:fldCharType="begin" w:fldLock="1"/>
      </w:r>
      <w:r w:rsidR="00265186" w:rsidRPr="00945ACC">
        <w:rPr>
          <w:color w:val="000000" w:themeColor="text1"/>
        </w:rPr>
        <w:instrText>ADDIN CSL_CITATION {"citationItems":[{"id":"ITEM-1","itemData":{"DOI":"10.1016/j.eatbeh.2007.09.001","ISSN":"1471-0153","abstract":"Emotional eating has often been linked to overweight and/or obesity. Multiple group SEM analyses were conducted using cross-sectional data from 517 minority students in Los Angeles County. Results showed no differences in emotional eating between normal weight and overweight students. Perceived stress was indeed a significant correlate of emotional eating, independent of BMI status, as indicated by the lack of a modifying effect of BMI status. Findings highlight the fact that emotional eating is not an issue only for overweight and obese persons. This study shows that some children in this population at increased risk for obesity and related chronic disease have already incorporated emotional eating as a learned response to stress by the time that they enter adolescence.","author":[{"dropping-particle":"","family":"Nguyen-Rodriguez","given":"Selena T","non-dropping-particle":"","parse-names":false,"suffix":""},{"dropping-particle":"","family":"Chou","given":"Chih-Ping","non-dropping-particle":"","parse-names":false,"suffix":""},{"dropping-particle":"","family":"Unger","given":"Jennifer B","non-dropping-particle":"","parse-names":false,"suffix":""},{"dropping-particle":"","family":"Spruijt-Metz","given":"Donna","non-dropping-particle":"","parse-names":false,"suffix":""}],"container-title":"Eating Behaviors","id":"ITEM-1","issue":"2","issued":{"date-parts":[["2008","7","3"]]},"language":"en","page":"238-246","title":"BMI as a moderator of perceived stress and emotional eating in adolescents","type":"article-journal","volume":"9"},"uris":["http://www.mendeley.com/documents/?uuid=30278d35-dfe7-41f9-b5c3-89ea849766c3"]},{"id":"ITEM-2","itemData":{"DOI":"10.1371/journal.pone.0028331","ISSN":"1932-6203","abstract":"Background People with eating disorders (ED) frequently present with inflexible behaviours, including eating related issues which contribute to the maintenance of the illness. Small scale studies point to difficulties with cognitive set-shifting as a basis. Using larger scale studies will lend robustness to these data. Methodology/Principal Findings 542 participants were included in the dataset as follows: Anorexia Nervosa (AN) n = 171; Bulimia Nervosa (BN) n = 82; Recovered AN n = 90; Healthy controls (HC): n = 199. All completed the Wisconsin Card Sorting Task (WCST), an assessment that integrates multiple measurement of several executive processes concerned with problem solving and cognitive flexibility. The AN and BN groups performed poorly in most domains of the WCST. Recovered AN participants showed a better performance than currently ill participants; however, the number of preservative errors was higher than for HC participants. Conclusions/Significance There is a growing interest in the diagnostic and treatment implications of cognitive flexibility in eating disorders. This large dataset supports previous smaller scale studies and a systematic review which indicate poor cognitive flexibility in people with ED.","author":[{"dropping-particle":"","family":"Tchanturia","given":"Kate","non-dropping-particle":"","parse-names":false,"suffix":""},{"dropping-particle":"","family":"Davies","given":"Helen","non-dropping-particle":"","parse-names":false,"suffix":""},{"dropping-particle":"","family":"Roberts","given":"Marion","non-dropping-particle":"","parse-names":false,"suffix":""},{"dropping-particle":"","family":"Harrison","given":"Amy","non-dropping-particle":"","parse-names":false,"suffix":""},{"dropping-particle":"","family":"Nakazato","given":"Michiko","non-dropping-particle":"","parse-names":false,"suffix":""},{"dropping-particle":"","family":"Schmidt","given":"Ulrike","non-dropping-particle":"","parse-names":false,"suffix":""},{"dropping-particle":"","family":"Treasure","given":"Janet","non-dropping-particle":"","parse-names":false,"suffix":""},{"dropping-particle":"","family":"Morris","given":"Robin","non-dropping-particle":"","parse-names":false,"suffix":""}],"container-title":"PLOS ONE","id":"ITEM-2","issue":"1","issued":{"date-parts":[["2012","9","18"]]},"language":"en","page":"e28331","title":"Poor Cognitive Flexibility in Eating Disorders: Examining the Evidence using the Wisconsin Card Sorting Task","type":"article-journal","volume":"7"},"uris":["http://www.mendeley.com/documents/?uuid=b4307c03-ba54-4027-aae3-b4d8f3b6cb3c"]},{"id":"ITEM-3","itemData":{"DOI":"10.1016/j.nut.2007.08.008","ISSN":"0899-9007","abstract":"Stress is thought to influence human eating behavior and has been examined in animal and human studies. Our understanding of the stress-eating relation is confounded by limitations inherent in the study designs; however, we can make some tentative conclusions that support the notion that stress can influence eating patterns in humans. Stress appears to alter overall food intake in two ways, resulting in under- or overeating, which may be influenced by stressor severity. Chronic life stress seems to be associated with a greater preference for energy- and nutrient-dense foods, namely those that are high in sugar and fat. Evidence from longitudinal studies suggests that chronic life stress may be causally linked to weight gain, with a greater effect seen in men. Stress-induced eating may be one factor contributing to the development of obesity. Future studies that measure biological markers of stress will assist our understanding of the physiologic mechanism underlying the stress-eating relation and how stress might be linked to neurotransmitters and hormones that control appetite.","author":[{"dropping-particle":"","family":"Torres","given":"Susan J","non-dropping-particle":"","parse-names":false,"suffix":""},{"dropping-particle":"","family":"Nowson","given":"Caryl A","non-dropping-particle":"","parse-names":false,"suffix":""}],"container-title":"Nutrition","id":"ITEM-3","issue":"11","issued":{"date-parts":[["2007","7","7"]]},"language":"en","page":"887-894","title":"Relationship between stress, eating behavior, and obesity","type":"article-journal","volume":"23"},"uris":["http://www.mendeley.com/documents/?uuid=49cc88eb-ca0c-4df6-828e-ed3e31a11d8a"]}],"mendeley":{"formattedCitation":"(Nguyen-Rodriguez, Chou, Unger, &amp; Spruijt-Metz, 2008; Tchanturia et al., 2012; Torres &amp; Nowson, 2007)","manualFormatting":"Nguyen-Rodriguez, Chou, Unger, &amp; Spruijt-Metz, 2008; Tchanturia et al., 2012; Torres &amp; Nowson, 2007)","plainTextFormattedCitation":"(Nguyen-Rodriguez, Chou, Unger, &amp; Spruijt-Metz, 2008; Tchanturia et al., 2012; Torres &amp; Nowson, 2007)","previouslyFormattedCitation":"(Nguyen-Rodriguez, Chou, Unger, &amp; Spruijt-Metz, 2008; Tchanturia et al., 2012; Torres &amp; Nowson, 2007)"},"properties":{"noteIndex":0},"schema":"https://github.com/citation-style-language/schema/raw/master/csl-citation.json"}</w:instrText>
      </w:r>
      <w:r w:rsidR="00475CDB" w:rsidRPr="00945ACC">
        <w:rPr>
          <w:color w:val="000000" w:themeColor="text1"/>
        </w:rPr>
        <w:fldChar w:fldCharType="separate"/>
      </w:r>
      <w:r w:rsidR="00475CDB" w:rsidRPr="00945ACC">
        <w:rPr>
          <w:noProof/>
          <w:color w:val="000000" w:themeColor="text1"/>
        </w:rPr>
        <w:t>Nguyen-Rodriguez, Chou, Unger, &amp; Spruijt-Metz, 2008; Tchanturia et al., 2012; Torres &amp; Nowson, 2007)</w:t>
      </w:r>
      <w:r w:rsidR="00475CDB" w:rsidRPr="00945ACC">
        <w:rPr>
          <w:color w:val="000000" w:themeColor="text1"/>
        </w:rPr>
        <w:fldChar w:fldCharType="end"/>
      </w:r>
      <w:r w:rsidR="00B16B40" w:rsidRPr="00945ACC">
        <w:rPr>
          <w:color w:val="000000" w:themeColor="text1"/>
        </w:rPr>
        <w:t>. Additionally, alexithymia has been related to higher levels of obesity, emotional eating, and more in general to impulsivity and negative affect</w:t>
      </w:r>
      <w:r w:rsidR="00475CDB" w:rsidRPr="00945ACC">
        <w:rPr>
          <w:color w:val="000000" w:themeColor="text1"/>
        </w:rPr>
        <w:t xml:space="preserve"> </w:t>
      </w:r>
      <w:r w:rsidR="00475CDB" w:rsidRPr="00945ACC">
        <w:rPr>
          <w:color w:val="000000" w:themeColor="text1"/>
        </w:rPr>
        <w:fldChar w:fldCharType="begin" w:fldLock="1"/>
      </w:r>
      <w:r w:rsidR="00475CDB" w:rsidRPr="00945ACC">
        <w:rPr>
          <w:color w:val="000000" w:themeColor="text1"/>
        </w:rPr>
        <w:instrText>ADDIN CSL_CITATION {"citationItems":[{"id":"ITEM-1","itemData":{"ISSN":"1590-1262","author":[{"dropping-particle":"","family":"Casagrande","given":"Maria","non-dropping-particle":"","parse-names":false,"suffix":""},{"dropping-particle":"","family":"Boncompagni","given":"Ilaria","non-dropping-particle":"","parse-names":false,"suffix":""},{"dropping-particle":"","family":"Forte","given":"Giuseppe","non-dropping-particle":"","parse-names":false,"suffix":""},{"dropping-particle":"","family":"Guarino","given":"Angela","non-dropping-particle":"","parse-names":false,"suffix":""},{"dropping-particle":"","family":"Favieri","given":"Francesca","non-dropping-particle":"","parse-names":false,"suffix":""}],"container-title":"Eating and Weight Disorders-Studies on Anorexia, Bulimia and Obesity","id":"ITEM-1","issued":{"date-parts":[["2019"]]},"page":"1-13","publisher":"Springer","title":"Emotion and overeating behavior: effects of alexithymia and emotional regulation on overweight and obesity","type":"article-journal"},"uris":["http://www.mendeley.com/documents/?uuid=fd19785f-1f24-4559-a8c9-978df342b94c"]},{"id":"ITEM-2","itemData":{"ISSN":"0195-6663","author":[{"dropping-particle":"","family":"Pink","given":"Aimee E","non-dropping-particle":"","parse-names":false,"suffix":""},{"dropping-particle":"","family":"Lee","given":"Michelle","non-dropping-particle":"","parse-names":false,"suffix":""},{"dropping-particle":"","family":"Price","given":"Menna","non-dropping-particle":"","parse-names":false,"suffix":""},{"dropping-particle":"","family":"Williams","given":"Claire","non-dropping-particle":"","parse-names":false,"suffix":""}],"container-title":"Appetite","id":"ITEM-2","issued":{"date-parts":[["2019"]]},"page":"270-278","publisher":"Elsevier","title":"A serial mediation model of the relationship between alexithymia and BMI: The role of negative affect, negative urgency and emotional eating","type":"article-journal","volume":"133"},"uris":["http://www.mendeley.com/documents/?uuid=d49234dd-4a4f-4607-b075-85d3baee393e"]}],"mendeley":{"formattedCitation":"(Casagrande, Boncompagni, Forte, Guarino, &amp; Favieri, 2019; Pink, Lee, Price, &amp; Williams, 2019)","plainTextFormattedCitation":"(Casagrande, Boncompagni, Forte, Guarino, &amp; Favieri, 2019; Pink, Lee, Price, &amp; Williams, 2019)","previouslyFormattedCitation":"(Casagrande, Boncompagni, Forte, Guarino, &amp; Favieri, 2019; Pink, Lee, Price, &amp; Williams, 2019)"},"properties":{"noteIndex":0},"schema":"https://github.com/citation-style-language/schema/raw/master/csl-citation.json"}</w:instrText>
      </w:r>
      <w:r w:rsidR="00475CDB" w:rsidRPr="00945ACC">
        <w:rPr>
          <w:color w:val="000000" w:themeColor="text1"/>
        </w:rPr>
        <w:fldChar w:fldCharType="separate"/>
      </w:r>
      <w:r w:rsidR="00475CDB" w:rsidRPr="00945ACC">
        <w:rPr>
          <w:noProof/>
          <w:color w:val="000000" w:themeColor="text1"/>
          <w:lang w:val="en-US"/>
        </w:rPr>
        <w:t>(Casagrande, Boncompagni, Forte, Guarino, &amp; Favieri, 2019; Pink, Lee, Price, &amp; Williams, 2019)</w:t>
      </w:r>
      <w:r w:rsidR="00475CDB" w:rsidRPr="00945ACC">
        <w:rPr>
          <w:color w:val="000000" w:themeColor="text1"/>
        </w:rPr>
        <w:fldChar w:fldCharType="end"/>
      </w:r>
      <w:r w:rsidR="00B16B40" w:rsidRPr="00945ACC">
        <w:rPr>
          <w:color w:val="000000" w:themeColor="text1"/>
          <w:lang w:val="en-US"/>
        </w:rPr>
        <w:t xml:space="preserve">. </w:t>
      </w:r>
      <w:r w:rsidR="00B16B40" w:rsidRPr="00945ACC">
        <w:rPr>
          <w:color w:val="000000" w:themeColor="text1"/>
        </w:rPr>
        <w:t>It has been suggested that higher alexithymia reduces</w:t>
      </w:r>
      <w:r w:rsidR="009E6C89" w:rsidRPr="00945ACC">
        <w:rPr>
          <w:color w:val="000000" w:themeColor="text1"/>
        </w:rPr>
        <w:t xml:space="preserve"> </w:t>
      </w:r>
      <w:r w:rsidR="00B16B40" w:rsidRPr="00945ACC">
        <w:rPr>
          <w:color w:val="000000" w:themeColor="text1"/>
        </w:rPr>
        <w:t>the ability to identify emotional states and to distinguish them from internal signals of hunger and satiety, therefore leading individuals to regulate their emotions through food intake</w:t>
      </w:r>
      <w:r w:rsidRPr="00945ACC">
        <w:rPr>
          <w:color w:val="000000" w:themeColor="text1"/>
        </w:rPr>
        <w:t xml:space="preserve"> </w:t>
      </w:r>
      <w:r w:rsidRPr="00945ACC">
        <w:rPr>
          <w:color w:val="000000" w:themeColor="text1"/>
        </w:rPr>
        <w:fldChar w:fldCharType="begin" w:fldLock="1"/>
      </w:r>
      <w:r w:rsidRPr="00945ACC">
        <w:rPr>
          <w:color w:val="000000" w:themeColor="text1"/>
        </w:rPr>
        <w:instrText>ADDIN CSL_CITATION {"citationItems":[{"id":"ITEM-1","itemData":{"DOI":"10.1016/j.paid.2014.02.033","ISSN":"0191-8869","abstract":"This study examined whether the association between stress and emotional eating was mediated by eating dysregulation. Young adults (N=345) reported their stress levels, eating dysregulation, and emotional eating. This study found that eating dysregulation mediated the association between stress and emotional eating. Experience of stress was related to individuals’ poorer capability of being responsive to their internal signals of hunger and satiety, which in turn, was related to higher emotional eating. These findings suggest that practitioners could consider training individuals who eat in response to stress to be sensitive to their hunger and satiety cues.","author":[{"dropping-particle":"","family":"Tan","given":"Cin Cin","non-dropping-particle":"","parse-names":false,"suffix":""},{"dropping-particle":"","family":"Chow","given":"Chong Man","non-dropping-particle":"","parse-names":false,"suffix":""}],"container-title":"Personality and Individual Differences","id":"ITEM-1","issued":{"date-parts":[["2014","7","3"]]},"language":"en","page":"1-4","title":"Stress and emotional eating: The mediating role of eating dysregulation","type":"article-journal","volume":"66"},"uris":["http://www.mendeley.com/documents/?uuid=ea3dca6d-25b5-43c9-a454-7c52714dfa0d"]},{"id":"ITEM-2","itemData":{"ISSN":"0195-6663","author":[{"dropping-particle":"","family":"Pink","given":"Aimee E","non-dropping-particle":"","parse-names":false,"suffix":""},{"dropping-particle":"","family":"Lee","given":"Michelle","non-dropping-particle":"","parse-names":false,"suffix":""},{"dropping-particle":"","family":"Price","given":"Menna","non-dropping-particle":"","parse-names":false,"suffix":""},{"dropping-particle":"","family":"Williams","given":"Claire","non-dropping-particle":"","parse-names":false,"suffix":""}],"container-title":"Appetite","id":"ITEM-2","issued":{"date-parts":[["2019"]]},"page":"270-278","publisher":"Elsevier","title":"A serial mediation model of the relationship between alexithymia and BMI: The role of negative affect, negative urgency and emotional eating","type":"article-journal","volume":"133"},"uris":["http://www.mendeley.com/documents/?uuid=d49234dd-4a4f-4607-b075-85d3baee393e"]}],"mendeley":{"formattedCitation":"(Pink et al., 2019; Tan &amp; Chow, 2014)","plainTextFormattedCitation":"(Pink et al., 2019; Tan &amp; Chow, 2014)","previouslyFormattedCitation":"(Pink et al., 2019; Tan &amp; Chow, 2014)"},"properties":{"noteIndex":0},"schema":"https://github.com/citation-style-language/schema/raw/master/csl-citation.json"}</w:instrText>
      </w:r>
      <w:r w:rsidRPr="00945ACC">
        <w:rPr>
          <w:color w:val="000000" w:themeColor="text1"/>
        </w:rPr>
        <w:fldChar w:fldCharType="separate"/>
      </w:r>
      <w:r w:rsidRPr="00945ACC">
        <w:rPr>
          <w:noProof/>
          <w:color w:val="000000" w:themeColor="text1"/>
        </w:rPr>
        <w:t>(Pink et al., 2019; Tan &amp; Chow, 2014)</w:t>
      </w:r>
      <w:r w:rsidRPr="00945ACC">
        <w:rPr>
          <w:color w:val="000000" w:themeColor="text1"/>
        </w:rPr>
        <w:fldChar w:fldCharType="end"/>
      </w:r>
      <w:r w:rsidR="00B16B40" w:rsidRPr="00945ACC">
        <w:rPr>
          <w:color w:val="000000" w:themeColor="text1"/>
        </w:rPr>
        <w:t>, increasing their BMI</w:t>
      </w:r>
      <w:r w:rsidR="00912DD3" w:rsidRPr="00945ACC">
        <w:rPr>
          <w:color w:val="000000" w:themeColor="text1"/>
        </w:rPr>
        <w:t xml:space="preserve"> </w:t>
      </w:r>
      <w:r w:rsidR="00475CDB" w:rsidRPr="00945ACC">
        <w:rPr>
          <w:color w:val="000000" w:themeColor="text1"/>
        </w:rPr>
        <w:t xml:space="preserve"> </w:t>
      </w:r>
      <w:r w:rsidR="00475CDB" w:rsidRPr="00945ACC">
        <w:rPr>
          <w:color w:val="000000" w:themeColor="text1"/>
        </w:rPr>
        <w:fldChar w:fldCharType="begin" w:fldLock="1"/>
      </w:r>
      <w:r w:rsidR="00B16B40" w:rsidRPr="00945ACC">
        <w:rPr>
          <w:color w:val="000000" w:themeColor="text1"/>
        </w:rPr>
        <w:instrText>ADDIN CSL_CITATION {"citationItems":[{"id":"ITEM-1","itemData":{"ISSN":"0022-3999","author":[{"dropping-particle":"","family":"Taylor","given":"Graeme J","non-dropping-particle":"","parse-names":false,"suffix":""},{"dropping-particle":"","family":"Parker","given":"James D A","non-dropping-particle":"","parse-names":false,"suffix":""},{"dropping-particle":"","family":"Bagby","given":"R Michael","non-dropping-particle":"","parse-names":false,"suffix":""},{"dropping-particle":"","family":"Bourke","given":"Michael P","non-dropping-particle":"","parse-names":false,"suffix":""}],"container-title":"Journal of Psychosomatic research","id":"ITEM-1","issue":"6","issued":{"date-parts":[["1996"]]},"page":"561-568","publisher":"London; New York: Pergamon Press, 1956-","title":"Relationships between alexithymia and psychological characteristics associated with eating disorders","type":"article-journal","volume":"41"},"uris":["http://www.mendeley.com/documents/?uuid=497d69d8-484d-4cdb-a411-836ea3cc2ded"]},{"id":"ITEM-2","itemData":{"ISSN":"1590-1262","author":[{"dropping-particle":"","family":"Casagrande","given":"Maria","non-dropping-particle":"","parse-names":false,"suffix":""},{"dropping-particle":"","family":"Boncompagni","given":"Ilaria","non-dropping-particle":"","parse-names":false,"suffix":""},{"dropping-particle":"","family":"Forte","given":"Giuseppe","non-dropping-particle":"","parse-names":false,"suffix":""},{"dropping-particle":"","family":"Guarino","given":"Angela","non-dropping-particle":"","parse-names":false,"suffix":""},{"dropping-particle":"","family":"Favieri","given":"Francesca","non-dropping-particle":"","parse-names":false,"suffix":""}],"container-title":"Eating and Weight Disorders-Studies on Anorexia, Bulimia and Obesity","id":"ITEM-2","issued":{"date-parts":[["2019"]]},"page":"1-13","publisher":"Springer","title":"Emotion and overeating behavior: effects of alexithymia and emotional regulation on overweight and obesity","type":"article-journal"},"uris":["http://www.mendeley.com/documents/?uuid=fd19785f-1f24-4559-a8c9-978df342b94c"]},{"id":"ITEM-3","itemData":{"DOI":"10.1016/j.paid.2014.02.033","ISSN":"0191-8869","abstract":"This study examined whether the association between stress and emotional eating was mediated by eating dysregulation. Young adults (N=345) reported their stress levels, eating dysregulation, and emotional eating. This study found that eating dysregulation mediated the association between stress and emotional eating. Experience of stress was related to individuals’ poorer capability of being responsive to their internal signals of hunger and satiety, which in turn, was related to higher emotional eating. These findings suggest that practitioners could consider training individuals who eat in response to stress to be sensitive to their hunger and satiety cues.","author":[{"dropping-particle":"","family":"Tan","given":"Cin Cin","non-dropping-particle":"","parse-names":false,"suffix":""},{"dropping-particle":"","family":"Chow","given":"Chong Man","non-dropping-particle":"","parse-names":false,"suffix":""}],"container-title":"Personality and Individual Differences","id":"ITEM-3","issued":{"date-parts":[["2014","7","3"]]},"language":"en","page":"1-4","title":"Stress and emotional eating: The mediating role of eating dysregulation","type":"article-journal","volume":"66"},"uris":["http://www.mendeley.com/documents/?uuid=ea3dca6d-25b5-43c9-a454-7c52714dfa0d"]}],"mendeley":{"formattedCitation":"(Casagrande et al., 2019; Tan &amp; Chow, 2014; Taylor, Parker, Bagby, &amp; Bourke, 1996)","plainTextFormattedCitation":"(Casagrande et al., 2019; Tan &amp; Chow, 2014; Taylor, Parker, Bagby, &amp; Bourke, 1996)","previouslyFormattedCitation":"(Casagrande et al., 2019; Tan &amp; Chow, 2014; Taylor, Parker, Bagby, &amp; Bourke, 1996)"},"properties":{"noteIndex":0},"schema":"https://github.com/citation-style-language/schema/raw/master/csl-citation.json"}</w:instrText>
      </w:r>
      <w:r w:rsidR="00475CDB" w:rsidRPr="00945ACC">
        <w:rPr>
          <w:color w:val="000000" w:themeColor="text1"/>
        </w:rPr>
        <w:fldChar w:fldCharType="separate"/>
      </w:r>
      <w:r w:rsidR="00475CDB" w:rsidRPr="00945ACC">
        <w:rPr>
          <w:noProof/>
          <w:color w:val="000000" w:themeColor="text1"/>
        </w:rPr>
        <w:t>(Casagrande et al., 2019; Tan &amp; Chow, 2014; Taylor, Parker, Bagby, &amp; Bourke, 1996)</w:t>
      </w:r>
      <w:r w:rsidR="00475CDB" w:rsidRPr="00945ACC">
        <w:rPr>
          <w:color w:val="000000" w:themeColor="text1"/>
        </w:rPr>
        <w:fldChar w:fldCharType="end"/>
      </w:r>
      <w:r w:rsidR="00B16B40" w:rsidRPr="00945ACC">
        <w:rPr>
          <w:color w:val="000000" w:themeColor="text1"/>
        </w:rPr>
        <w:t>.</w:t>
      </w:r>
    </w:p>
    <w:p w14:paraId="5E1CC59E" w14:textId="47A3129D" w:rsidR="00885112" w:rsidRPr="00945ACC" w:rsidRDefault="00912DD3" w:rsidP="00885112">
      <w:pPr>
        <w:rPr>
          <w:color w:val="000000" w:themeColor="text1"/>
        </w:rPr>
      </w:pPr>
      <w:r w:rsidRPr="00945ACC">
        <w:rPr>
          <w:color w:val="000000" w:themeColor="text1"/>
        </w:rPr>
        <w:t>Given the literature reviewed so far</w:t>
      </w:r>
      <w:r w:rsidR="00B16B40" w:rsidRPr="00945ACC">
        <w:rPr>
          <w:color w:val="000000" w:themeColor="text1"/>
        </w:rPr>
        <w:t xml:space="preserve">, the present study aimed </w:t>
      </w:r>
      <w:r w:rsidR="00F831E9" w:rsidRPr="00945ACC">
        <w:rPr>
          <w:color w:val="000000" w:themeColor="text1"/>
        </w:rPr>
        <w:t>at</w:t>
      </w:r>
      <w:r w:rsidR="00B16B40" w:rsidRPr="00945ACC">
        <w:rPr>
          <w:color w:val="000000" w:themeColor="text1"/>
        </w:rPr>
        <w:t xml:space="preserve"> investigat</w:t>
      </w:r>
      <w:r w:rsidR="00F831E9" w:rsidRPr="00945ACC">
        <w:rPr>
          <w:color w:val="000000" w:themeColor="text1"/>
        </w:rPr>
        <w:t>ing</w:t>
      </w:r>
      <w:r w:rsidR="00B16B40" w:rsidRPr="00945ACC">
        <w:rPr>
          <w:color w:val="000000" w:themeColor="text1"/>
        </w:rPr>
        <w:t xml:space="preserve">, through an online survey, how COVID-19 </w:t>
      </w:r>
      <w:r w:rsidR="00844E65" w:rsidRPr="00945ACC">
        <w:rPr>
          <w:color w:val="000000" w:themeColor="text1"/>
        </w:rPr>
        <w:t>lockdown</w:t>
      </w:r>
      <w:r w:rsidR="00B16B40" w:rsidRPr="00945ACC">
        <w:rPr>
          <w:color w:val="000000" w:themeColor="text1"/>
        </w:rPr>
        <w:t xml:space="preserve"> affected emotional eating and binge eating in the Italian residents. In particular, we wanted to </w:t>
      </w:r>
      <w:proofErr w:type="spellStart"/>
      <w:r w:rsidR="00B16B40" w:rsidRPr="00945ACC">
        <w:rPr>
          <w:color w:val="000000" w:themeColor="text1"/>
        </w:rPr>
        <w:t>analyze</w:t>
      </w:r>
      <w:proofErr w:type="spellEnd"/>
      <w:r w:rsidR="00B16B40" w:rsidRPr="00945ACC">
        <w:rPr>
          <w:color w:val="000000" w:themeColor="text1"/>
        </w:rPr>
        <w:t xml:space="preserve"> the effect</w:t>
      </w:r>
      <w:r w:rsidR="00CA6F64" w:rsidRPr="00945ACC">
        <w:rPr>
          <w:color w:val="000000" w:themeColor="text1"/>
        </w:rPr>
        <w:t xml:space="preserve"> of</w:t>
      </w:r>
      <w:r w:rsidR="00B16B40" w:rsidRPr="00945ACC">
        <w:rPr>
          <w:color w:val="000000" w:themeColor="text1"/>
        </w:rPr>
        <w:t xml:space="preserve"> the level of anxiety, stress</w:t>
      </w:r>
      <w:r w:rsidRPr="00945ACC">
        <w:rPr>
          <w:color w:val="000000" w:themeColor="text1"/>
        </w:rPr>
        <w:t>,</w:t>
      </w:r>
      <w:r w:rsidR="00B16B40" w:rsidRPr="00945ACC">
        <w:rPr>
          <w:color w:val="000000" w:themeColor="text1"/>
        </w:rPr>
        <w:t xml:space="preserve"> and depression</w:t>
      </w:r>
      <w:r w:rsidRPr="00945ACC">
        <w:rPr>
          <w:color w:val="000000" w:themeColor="text1"/>
        </w:rPr>
        <w:t xml:space="preserve"> on eating habits. Particular attention was given to the</w:t>
      </w:r>
      <w:r w:rsidR="001835A3" w:rsidRPr="00945ACC">
        <w:rPr>
          <w:color w:val="000000" w:themeColor="text1"/>
        </w:rPr>
        <w:t xml:space="preserve"> </w:t>
      </w:r>
      <w:r w:rsidR="00B16B40" w:rsidRPr="00945ACC">
        <w:rPr>
          <w:color w:val="000000" w:themeColor="text1"/>
        </w:rPr>
        <w:t xml:space="preserve">social features that characterized the quality of life during the </w:t>
      </w:r>
      <w:r w:rsidR="00FF7C0F" w:rsidRPr="00945ACC">
        <w:rPr>
          <w:color w:val="000000" w:themeColor="text1"/>
        </w:rPr>
        <w:t>lockdown</w:t>
      </w:r>
      <w:r w:rsidR="00B16B40" w:rsidRPr="00945ACC">
        <w:rPr>
          <w:color w:val="000000" w:themeColor="text1"/>
        </w:rPr>
        <w:t>, such as the changes in workload and type of occupation, the level of social isolation</w:t>
      </w:r>
      <w:r w:rsidRPr="00945ACC">
        <w:rPr>
          <w:color w:val="000000" w:themeColor="text1"/>
        </w:rPr>
        <w:t>,</w:t>
      </w:r>
      <w:r w:rsidR="00B16B40" w:rsidRPr="00945ACC">
        <w:rPr>
          <w:color w:val="000000" w:themeColor="text1"/>
        </w:rPr>
        <w:t xml:space="preserve"> and the quality of home residency. Moreover, we intended to investigate how these aspects interact with </w:t>
      </w:r>
      <w:r w:rsidR="00F831E9" w:rsidRPr="00945ACC">
        <w:rPr>
          <w:color w:val="000000" w:themeColor="text1"/>
        </w:rPr>
        <w:t>personal</w:t>
      </w:r>
      <w:r w:rsidR="00265186" w:rsidRPr="00945ACC">
        <w:rPr>
          <w:color w:val="000000" w:themeColor="text1"/>
        </w:rPr>
        <w:t xml:space="preserve"> </w:t>
      </w:r>
      <w:r w:rsidR="00B16B40" w:rsidRPr="00945ACC">
        <w:rPr>
          <w:color w:val="000000" w:themeColor="text1"/>
        </w:rPr>
        <w:t xml:space="preserve">characteristics such as BMI and </w:t>
      </w:r>
      <w:r w:rsidR="009E6C89" w:rsidRPr="00945ACC">
        <w:rPr>
          <w:color w:val="000000" w:themeColor="text1"/>
        </w:rPr>
        <w:t>level of alexithymia</w:t>
      </w:r>
      <w:r w:rsidR="00B16B40" w:rsidRPr="00945ACC">
        <w:rPr>
          <w:color w:val="000000" w:themeColor="text1"/>
        </w:rPr>
        <w:t xml:space="preserve">. </w:t>
      </w:r>
      <w:r w:rsidR="001835A3" w:rsidRPr="00945ACC">
        <w:rPr>
          <w:color w:val="000000" w:themeColor="text1"/>
        </w:rPr>
        <w:t xml:space="preserve">Crucially, </w:t>
      </w:r>
      <w:r w:rsidR="00F831E9" w:rsidRPr="00945ACC">
        <w:rPr>
          <w:color w:val="000000" w:themeColor="text1"/>
        </w:rPr>
        <w:t>unlike</w:t>
      </w:r>
      <w:r w:rsidR="001835A3" w:rsidRPr="00945ACC">
        <w:rPr>
          <w:color w:val="000000" w:themeColor="text1"/>
        </w:rPr>
        <w:t xml:space="preserve"> </w:t>
      </w:r>
      <w:r w:rsidRPr="00945ACC">
        <w:rPr>
          <w:color w:val="000000" w:themeColor="text1"/>
        </w:rPr>
        <w:t>other studies that focuse</w:t>
      </w:r>
      <w:r w:rsidR="001835A3" w:rsidRPr="00945ACC">
        <w:rPr>
          <w:color w:val="000000" w:themeColor="text1"/>
        </w:rPr>
        <w:t>d</w:t>
      </w:r>
      <w:r w:rsidRPr="00945ACC">
        <w:rPr>
          <w:color w:val="000000" w:themeColor="text1"/>
        </w:rPr>
        <w:t xml:space="preserve"> only on</w:t>
      </w:r>
      <w:r w:rsidR="00B16B40" w:rsidRPr="00945ACC">
        <w:rPr>
          <w:color w:val="000000" w:themeColor="text1"/>
        </w:rPr>
        <w:t xml:space="preserve"> Phase 1 of the lockdown </w:t>
      </w:r>
      <w:r w:rsidRPr="00945ACC">
        <w:rPr>
          <w:color w:val="000000" w:themeColor="text1"/>
        </w:rPr>
        <w:t xml:space="preserve">and its effect on </w:t>
      </w:r>
      <w:r w:rsidR="00B16B40" w:rsidRPr="00945ACC">
        <w:rPr>
          <w:color w:val="000000" w:themeColor="text1"/>
        </w:rPr>
        <w:t xml:space="preserve">individual well-being, we aimed at testing how the difference in the restrictions during Phase 1 and Phase 2 of the lockdown differently affected </w:t>
      </w:r>
      <w:r w:rsidR="00B16B40" w:rsidRPr="00945ACC">
        <w:rPr>
          <w:color w:val="000000" w:themeColor="text1"/>
        </w:rPr>
        <w:lastRenderedPageBreak/>
        <w:t>eating behaviour</w:t>
      </w:r>
      <w:r w:rsidR="009E6C89" w:rsidRPr="00945ACC">
        <w:rPr>
          <w:color w:val="000000" w:themeColor="text1"/>
        </w:rPr>
        <w:t xml:space="preserve">, to better understand the implication of the </w:t>
      </w:r>
      <w:r w:rsidR="0051506D" w:rsidRPr="00945ACC">
        <w:rPr>
          <w:color w:val="000000" w:themeColor="text1"/>
        </w:rPr>
        <w:t>lockdown rigidity</w:t>
      </w:r>
      <w:r w:rsidR="009E6C89" w:rsidRPr="00945ACC">
        <w:rPr>
          <w:color w:val="000000" w:themeColor="text1"/>
        </w:rPr>
        <w:t xml:space="preserve"> and provide some tools to guide future lockdown policies.</w:t>
      </w:r>
      <w:r w:rsidR="00B16B40" w:rsidRPr="00945ACC">
        <w:rPr>
          <w:color w:val="000000" w:themeColor="text1"/>
        </w:rPr>
        <w:t xml:space="preserve"> </w:t>
      </w:r>
      <w:r w:rsidR="0097707C" w:rsidRPr="00945ACC">
        <w:rPr>
          <w:color w:val="000000" w:themeColor="text1"/>
        </w:rPr>
        <w:t xml:space="preserve">We hypothesized that emotional distress and poor quality of life during </w:t>
      </w:r>
      <w:r w:rsidR="00FF7C0F" w:rsidRPr="00945ACC">
        <w:rPr>
          <w:color w:val="000000" w:themeColor="text1"/>
        </w:rPr>
        <w:t xml:space="preserve">lockdown </w:t>
      </w:r>
      <w:r w:rsidR="0097707C" w:rsidRPr="00945ACC">
        <w:rPr>
          <w:color w:val="000000" w:themeColor="text1"/>
        </w:rPr>
        <w:t>would lead to increased self-reported emotional eating and more frequent binge eating</w:t>
      </w:r>
      <w:r w:rsidR="00A627CE" w:rsidRPr="00945ACC">
        <w:rPr>
          <w:color w:val="000000" w:themeColor="text1"/>
        </w:rPr>
        <w:t xml:space="preserve">. </w:t>
      </w:r>
      <w:r w:rsidR="0097707C" w:rsidRPr="00945ACC">
        <w:rPr>
          <w:color w:val="000000" w:themeColor="text1"/>
        </w:rPr>
        <w:t>Furthermore, we expected that</w:t>
      </w:r>
      <w:r w:rsidR="007A4252" w:rsidRPr="00945ACC">
        <w:rPr>
          <w:color w:val="000000" w:themeColor="text1"/>
        </w:rPr>
        <w:t xml:space="preserve"> the</w:t>
      </w:r>
      <w:r w:rsidR="0097707C" w:rsidRPr="00945ACC">
        <w:rPr>
          <w:color w:val="000000" w:themeColor="text1"/>
        </w:rPr>
        <w:t xml:space="preserve"> lockdown</w:t>
      </w:r>
      <w:r w:rsidR="007A4252" w:rsidRPr="00945ACC">
        <w:rPr>
          <w:color w:val="000000" w:themeColor="text1"/>
        </w:rPr>
        <w:t xml:space="preserve"> restrictions</w:t>
      </w:r>
      <w:r w:rsidR="0097707C" w:rsidRPr="00945ACC">
        <w:rPr>
          <w:color w:val="000000" w:themeColor="text1"/>
        </w:rPr>
        <w:t xml:space="preserve"> would impact more individuals with higher BMI and higher levels of alexithymia. </w:t>
      </w:r>
      <w:r w:rsidR="00A627CE" w:rsidRPr="00945ACC">
        <w:rPr>
          <w:color w:val="000000" w:themeColor="text1"/>
        </w:rPr>
        <w:t xml:space="preserve">Moreover, we hypothesized that </w:t>
      </w:r>
      <w:r w:rsidR="00B16B40" w:rsidRPr="00945ACC">
        <w:rPr>
          <w:color w:val="000000" w:themeColor="text1"/>
        </w:rPr>
        <w:t xml:space="preserve">the partial </w:t>
      </w:r>
      <w:proofErr w:type="spellStart"/>
      <w:r w:rsidR="00B16B40" w:rsidRPr="00945ACC">
        <w:rPr>
          <w:color w:val="000000" w:themeColor="text1"/>
        </w:rPr>
        <w:t>lift</w:t>
      </w:r>
      <w:proofErr w:type="spellEnd"/>
      <w:r w:rsidR="00B16B40" w:rsidRPr="00945ACC">
        <w:rPr>
          <w:color w:val="000000" w:themeColor="text1"/>
        </w:rPr>
        <w:t xml:space="preserve"> of the restrictions during Phase 2 of the lockdown would allow individuals to better cope with negative emotions and therefore to reduce emotional eating and binge eating, compared to Phase 1.</w:t>
      </w:r>
      <w:r w:rsidR="00A627CE" w:rsidRPr="00945ACC">
        <w:rPr>
          <w:color w:val="000000" w:themeColor="text1"/>
        </w:rPr>
        <w:t xml:space="preserve"> </w:t>
      </w:r>
      <w:r w:rsidRPr="00945ACC">
        <w:rPr>
          <w:color w:val="000000" w:themeColor="text1"/>
        </w:rPr>
        <w:t>T</w:t>
      </w:r>
      <w:r w:rsidR="00B16B40" w:rsidRPr="00945ACC">
        <w:rPr>
          <w:color w:val="000000" w:themeColor="text1"/>
        </w:rPr>
        <w:t xml:space="preserve">o investigate stressors and eating </w:t>
      </w:r>
      <w:proofErr w:type="spellStart"/>
      <w:r w:rsidR="00B16B40" w:rsidRPr="00945ACC">
        <w:rPr>
          <w:color w:val="000000" w:themeColor="text1"/>
        </w:rPr>
        <w:t>behaviors</w:t>
      </w:r>
      <w:proofErr w:type="spellEnd"/>
      <w:r w:rsidR="00B16B40" w:rsidRPr="00945ACC">
        <w:rPr>
          <w:color w:val="000000" w:themeColor="text1"/>
        </w:rPr>
        <w:t xml:space="preserve"> in the two Phases of the lockdown, we administered the online survey during the second week of Phase 2, and we asked participants to respond </w:t>
      </w:r>
      <w:r w:rsidR="00A325E3" w:rsidRPr="00945ACC">
        <w:rPr>
          <w:color w:val="000000" w:themeColor="text1"/>
        </w:rPr>
        <w:t xml:space="preserve">to </w:t>
      </w:r>
      <w:r w:rsidR="00B16B40" w:rsidRPr="00945ACC">
        <w:rPr>
          <w:color w:val="000000" w:themeColor="text1"/>
        </w:rPr>
        <w:t xml:space="preserve">questions about their experiences during the two Phases, </w:t>
      </w:r>
      <w:proofErr w:type="gramStart"/>
      <w:r w:rsidR="00B16B40" w:rsidRPr="00945ACC">
        <w:rPr>
          <w:color w:val="000000" w:themeColor="text1"/>
        </w:rPr>
        <w:t>i.e.</w:t>
      </w:r>
      <w:proofErr w:type="gramEnd"/>
      <w:r w:rsidR="00B16B40" w:rsidRPr="00945ACC">
        <w:rPr>
          <w:color w:val="000000" w:themeColor="text1"/>
        </w:rPr>
        <w:t xml:space="preserve"> Phase 1, </w:t>
      </w:r>
      <w:r w:rsidR="00885112" w:rsidRPr="00945ACC">
        <w:rPr>
          <w:color w:val="000000" w:themeColor="text1"/>
        </w:rPr>
        <w:t xml:space="preserve">i.e. recalling their experience </w:t>
      </w:r>
      <w:r w:rsidR="00B16B40" w:rsidRPr="00945ACC">
        <w:rPr>
          <w:color w:val="000000" w:themeColor="text1"/>
        </w:rPr>
        <w:t xml:space="preserve">from the 10th of March until the 3rd of May, and Phase 2, from the 4th of May until the day the questionnaire was filled in. </w:t>
      </w:r>
    </w:p>
    <w:p w14:paraId="697880F6" w14:textId="48B18A8B" w:rsidR="00874399" w:rsidRPr="00945ACC" w:rsidRDefault="00B16B40" w:rsidP="00885112">
      <w:pPr>
        <w:pStyle w:val="Titolo1"/>
        <w:numPr>
          <w:ilvl w:val="0"/>
          <w:numId w:val="2"/>
        </w:numPr>
      </w:pPr>
      <w:r w:rsidRPr="00945ACC">
        <w:t>Materials and methods</w:t>
      </w:r>
    </w:p>
    <w:p w14:paraId="4EF8564D" w14:textId="77777777" w:rsidR="00874399" w:rsidRPr="00945ACC" w:rsidRDefault="00B16B40">
      <w:pPr>
        <w:pStyle w:val="Titolo2"/>
      </w:pPr>
      <w:r w:rsidRPr="00945ACC">
        <w:t>2.1. Participants</w:t>
      </w:r>
    </w:p>
    <w:p w14:paraId="2813A842" w14:textId="195AE83A" w:rsidR="00874399" w:rsidRPr="00945ACC" w:rsidRDefault="00B16B40" w:rsidP="00475CDB">
      <w:pPr>
        <w:rPr>
          <w:color w:val="000000" w:themeColor="text1"/>
        </w:rPr>
      </w:pPr>
      <w:r w:rsidRPr="00945ACC">
        <w:rPr>
          <w:color w:val="000000" w:themeColor="text1"/>
        </w:rPr>
        <w:t>The anonymous online Survey (hosted by Qualtrics XM Platform) was shared via social media from the 14</w:t>
      </w:r>
      <w:r w:rsidRPr="00945ACC">
        <w:rPr>
          <w:color w:val="000000" w:themeColor="text1"/>
          <w:vertAlign w:val="superscript"/>
        </w:rPr>
        <w:t>th</w:t>
      </w:r>
      <w:r w:rsidRPr="00945ACC">
        <w:rPr>
          <w:color w:val="000000" w:themeColor="text1"/>
        </w:rPr>
        <w:t xml:space="preserve"> of May to the 19</w:t>
      </w:r>
      <w:r w:rsidRPr="00945ACC">
        <w:rPr>
          <w:color w:val="000000" w:themeColor="text1"/>
          <w:vertAlign w:val="superscript"/>
        </w:rPr>
        <w:t>th</w:t>
      </w:r>
      <w:r w:rsidRPr="00945ACC">
        <w:rPr>
          <w:color w:val="000000" w:themeColor="text1"/>
        </w:rPr>
        <w:t xml:space="preserve"> of May 2020, targeting </w:t>
      </w:r>
      <w:r w:rsidR="00EE477B" w:rsidRPr="00945ACC">
        <w:rPr>
          <w:color w:val="000000" w:themeColor="text1"/>
        </w:rPr>
        <w:t>Italian resident</w:t>
      </w:r>
      <w:r w:rsidR="00457252" w:rsidRPr="00945ACC">
        <w:rPr>
          <w:color w:val="000000" w:themeColor="text1"/>
        </w:rPr>
        <w:t>s</w:t>
      </w:r>
      <w:r w:rsidR="00EE477B" w:rsidRPr="00945ACC">
        <w:rPr>
          <w:color w:val="000000" w:themeColor="text1"/>
        </w:rPr>
        <w:t xml:space="preserve"> and Italian speakers </w:t>
      </w:r>
      <w:r w:rsidRPr="00945ACC">
        <w:rPr>
          <w:color w:val="000000" w:themeColor="text1"/>
        </w:rPr>
        <w:t xml:space="preserve">18 </w:t>
      </w:r>
      <w:r w:rsidR="00EE477B" w:rsidRPr="00945ACC">
        <w:rPr>
          <w:color w:val="000000" w:themeColor="text1"/>
        </w:rPr>
        <w:t xml:space="preserve">or </w:t>
      </w:r>
      <w:r w:rsidR="00457252" w:rsidRPr="00945ACC">
        <w:rPr>
          <w:color w:val="000000" w:themeColor="text1"/>
        </w:rPr>
        <w:t>more years old</w:t>
      </w:r>
      <w:r w:rsidRPr="00945ACC">
        <w:rPr>
          <w:color w:val="000000" w:themeColor="text1"/>
        </w:rPr>
        <w:t xml:space="preserve">. </w:t>
      </w:r>
      <w:r w:rsidR="006E1C67" w:rsidRPr="00945ACC">
        <w:rPr>
          <w:color w:val="000000" w:themeColor="text1"/>
        </w:rPr>
        <w:t xml:space="preserve">Participants were invited to complete a survey on the changes </w:t>
      </w:r>
      <w:r w:rsidR="00A325E3" w:rsidRPr="00945ACC">
        <w:rPr>
          <w:color w:val="000000" w:themeColor="text1"/>
        </w:rPr>
        <w:t>in</w:t>
      </w:r>
      <w:r w:rsidR="006E1C67" w:rsidRPr="00945ACC">
        <w:rPr>
          <w:color w:val="000000" w:themeColor="text1"/>
        </w:rPr>
        <w:t xml:space="preserve"> eating behaviours during the lockdown. </w:t>
      </w:r>
      <w:r w:rsidRPr="00945ACC">
        <w:rPr>
          <w:color w:val="000000" w:themeColor="text1"/>
        </w:rPr>
        <w:t xml:space="preserve">There was no compensation for participating in the study. The study protocol was approved by the Ethics Committee of the University of Padova and was conducted in accordance with the Declaration of Helsinki. All respondents read the written consent form and explicitly agreed to participate before starting the survey. </w:t>
      </w:r>
    </w:p>
    <w:p w14:paraId="152AAF1E" w14:textId="565742AD" w:rsidR="00874399" w:rsidRPr="00945ACC" w:rsidRDefault="00B16B40" w:rsidP="00475CDB">
      <w:pPr>
        <w:rPr>
          <w:color w:val="000000" w:themeColor="text1"/>
        </w:rPr>
      </w:pPr>
      <w:r w:rsidRPr="00945ACC">
        <w:rPr>
          <w:color w:val="000000" w:themeColor="text1"/>
        </w:rPr>
        <w:t xml:space="preserve">A total of 635 participants started the survey. From </w:t>
      </w:r>
      <w:r w:rsidR="00912DD3" w:rsidRPr="00945ACC">
        <w:rPr>
          <w:color w:val="000000" w:themeColor="text1"/>
        </w:rPr>
        <w:t xml:space="preserve">this </w:t>
      </w:r>
      <w:r w:rsidRPr="00945ACC">
        <w:rPr>
          <w:color w:val="000000" w:themeColor="text1"/>
        </w:rPr>
        <w:t xml:space="preserve">sample, we excluded 194 participants because they did not complete the survey, 7 because of missed information (five because of missed information about gender), five because of pregnancy, two because they reported having been infected by COVID- 19, and 23 because they spent part or all of the lockdown outside the Italian territory. Moreover, 35 </w:t>
      </w:r>
      <w:r w:rsidRPr="00945ACC">
        <w:rPr>
          <w:color w:val="000000" w:themeColor="text1"/>
        </w:rPr>
        <w:lastRenderedPageBreak/>
        <w:t>participants were excluded from the main analyses because they reported currently having or having had an eating disorder in the past</w:t>
      </w:r>
      <w:r w:rsidR="001B1A4F" w:rsidRPr="00945ACC">
        <w:rPr>
          <w:color w:val="000000" w:themeColor="text1"/>
        </w:rPr>
        <w:t>; we report in the</w:t>
      </w:r>
      <w:r w:rsidRPr="00945ACC">
        <w:rPr>
          <w:color w:val="000000" w:themeColor="text1"/>
        </w:rPr>
        <w:t xml:space="preserve"> </w:t>
      </w:r>
      <w:r w:rsidR="0098722C" w:rsidRPr="00945ACC">
        <w:rPr>
          <w:color w:val="000000" w:themeColor="text1"/>
        </w:rPr>
        <w:t>s</w:t>
      </w:r>
      <w:r w:rsidRPr="00945ACC">
        <w:rPr>
          <w:color w:val="000000" w:themeColor="text1"/>
        </w:rPr>
        <w:t xml:space="preserve">upplementary </w:t>
      </w:r>
      <w:r w:rsidR="0098722C" w:rsidRPr="00945ACC">
        <w:rPr>
          <w:color w:val="000000" w:themeColor="text1"/>
        </w:rPr>
        <w:t>results</w:t>
      </w:r>
      <w:r w:rsidRPr="00945ACC">
        <w:rPr>
          <w:color w:val="000000" w:themeColor="text1"/>
        </w:rPr>
        <w:t xml:space="preserve"> the analyses </w:t>
      </w:r>
      <w:r w:rsidR="001B1A4F" w:rsidRPr="00945ACC">
        <w:rPr>
          <w:color w:val="000000" w:themeColor="text1"/>
        </w:rPr>
        <w:t>run separately on</w:t>
      </w:r>
      <w:r w:rsidRPr="00945ACC">
        <w:rPr>
          <w:color w:val="000000" w:themeColor="text1"/>
        </w:rPr>
        <w:t xml:space="preserve"> this sample.  </w:t>
      </w:r>
    </w:p>
    <w:p w14:paraId="218CBBC9" w14:textId="77777777" w:rsidR="00874399" w:rsidRPr="00945ACC" w:rsidRDefault="00B16B40">
      <w:pPr>
        <w:pStyle w:val="Titolo2"/>
      </w:pPr>
      <w:r w:rsidRPr="00945ACC">
        <w:t>2.2. Measures</w:t>
      </w:r>
    </w:p>
    <w:p w14:paraId="2F0CD61A" w14:textId="6C17A5E2" w:rsidR="00874399" w:rsidRPr="00945ACC" w:rsidRDefault="00B16B40" w:rsidP="00475CDB">
      <w:pPr>
        <w:rPr>
          <w:color w:val="000000" w:themeColor="text1"/>
        </w:rPr>
      </w:pPr>
      <w:r w:rsidRPr="00945ACC">
        <w:rPr>
          <w:color w:val="000000" w:themeColor="text1"/>
        </w:rPr>
        <w:t>The online survey was divided in</w:t>
      </w:r>
      <w:r w:rsidR="00912DD3" w:rsidRPr="00945ACC">
        <w:rPr>
          <w:color w:val="000000" w:themeColor="text1"/>
        </w:rPr>
        <w:t>to</w:t>
      </w:r>
      <w:r w:rsidRPr="00945ACC">
        <w:rPr>
          <w:color w:val="000000" w:themeColor="text1"/>
        </w:rPr>
        <w:t xml:space="preserve"> three part</w:t>
      </w:r>
      <w:r w:rsidR="00A325E3" w:rsidRPr="00945ACC">
        <w:rPr>
          <w:color w:val="000000" w:themeColor="text1"/>
        </w:rPr>
        <w:t>s.</w:t>
      </w:r>
      <w:r w:rsidRPr="00945ACC">
        <w:rPr>
          <w:color w:val="000000" w:themeColor="text1"/>
        </w:rPr>
        <w:t xml:space="preserve"> </w:t>
      </w:r>
      <w:r w:rsidR="00A325E3" w:rsidRPr="00945ACC">
        <w:rPr>
          <w:color w:val="000000" w:themeColor="text1"/>
        </w:rPr>
        <w:t xml:space="preserve">In </w:t>
      </w:r>
      <w:r w:rsidRPr="00945ACC">
        <w:rPr>
          <w:color w:val="000000" w:themeColor="text1"/>
        </w:rPr>
        <w:t>the first part</w:t>
      </w:r>
      <w:r w:rsidR="00A325E3" w:rsidRPr="00945ACC">
        <w:rPr>
          <w:color w:val="000000" w:themeColor="text1"/>
        </w:rPr>
        <w:t>,</w:t>
      </w:r>
      <w:r w:rsidRPr="00945ACC">
        <w:rPr>
          <w:color w:val="000000" w:themeColor="text1"/>
        </w:rPr>
        <w:t xml:space="preserve"> participants answered questions regarding socio-demographic information (age, gender, education, family income, body weight</w:t>
      </w:r>
      <w:r w:rsidR="00A627CE" w:rsidRPr="00945ACC">
        <w:rPr>
          <w:color w:val="000000" w:themeColor="text1"/>
        </w:rPr>
        <w:t xml:space="preserve"> </w:t>
      </w:r>
      <w:r w:rsidRPr="00945ACC">
        <w:rPr>
          <w:color w:val="000000" w:themeColor="text1"/>
        </w:rPr>
        <w:t>and height, pregnancy, presence of pathologies, type of occupation before the lockdown, presence of eating disorders or history of eating disorders, COVID-19</w:t>
      </w:r>
      <w:r w:rsidR="00457252" w:rsidRPr="00945ACC">
        <w:rPr>
          <w:color w:val="000000" w:themeColor="text1"/>
        </w:rPr>
        <w:t xml:space="preserve"> infection</w:t>
      </w:r>
      <w:r w:rsidRPr="00945ACC">
        <w:rPr>
          <w:color w:val="000000" w:themeColor="text1"/>
        </w:rPr>
        <w:t xml:space="preserve">) and filled in the Toronto Alexithymia Scale (TAS-20; </w:t>
      </w:r>
      <w:r w:rsidRPr="00945ACC">
        <w:rPr>
          <w:color w:val="000000" w:themeColor="text1"/>
        </w:rPr>
        <w:fldChar w:fldCharType="begin" w:fldLock="1"/>
      </w:r>
      <w:r w:rsidRPr="00945ACC">
        <w:rPr>
          <w:color w:val="000000" w:themeColor="text1"/>
        </w:rPr>
        <w:instrText>ADDIN CSL_CITATION {"citationItems":[{"id":"ITEM-1","itemData":{"ISSN":"0022-3999","author":[{"dropping-particle":"","family":"Bressi","given":"Cinzia","non-dropping-particle":"","parse-names":false,"suffix":""},{"dropping-particle":"","family":"Taylor","given":"Graeme","non-dropping-particle":"","parse-names":false,"suffix":""},{"dropping-particle":"","family":"Parker","given":"James","non-dropping-particle":"","parse-names":false,"suffix":""},{"dropping-particle":"","family":"Bressi","given":"Sergio","non-dropping-particle":"","parse-names":false,"suffix":""},{"dropping-particle":"","family":"Brambilla","given":"Virginia","non-dropping-particle":"","parse-names":false,"suffix":""},{"dropping-particle":"","family":"Aguglia","given":"Eugenio","non-dropping-particle":"","parse-names":false,"suffix":""},{"dropping-particle":"","family":"Allegranti","given":"Ida","non-dropping-particle":"","parse-names":false,"suffix":""},{"dropping-particle":"","family":"Bongiorno","given":"Antonio","non-dropping-particle":"","parse-names":false,"suffix":""},{"dropping-particle":"","family":"Giberti","given":"Franco","non-dropping-particle":"","parse-names":false,"suffix":""},{"dropping-particle":"","family":"Bucca","given":"Maurizio","non-dropping-particle":"","parse-names":false,"suffix":""}],"container-title":"Journal of psychosomatic research","id":"ITEM-1","issue":"6","issued":{"date-parts":[["1996"]]},"page":"551-559","publisher":"Elsevier","title":"Cross validation of the factor structure of the 20-item Toronto Alexithymia Scale: an Italian multicenter study","type":"article-journal","volume":"41"},"uris":["http://www.mendeley.com/documents/?uuid=614c8a48-26d2-4673-a0b7-d3d7232899cf"]}],"mendeley":{"formattedCitation":"(Bressi et al., 1996)","manualFormatting":"Bressi et al., 1996)","plainTextFormattedCitation":"(Bressi et al., 1996)","previouslyFormattedCitation":"(Bressi et al., 1996)"},"properties":{"noteIndex":0},"schema":"https://github.com/citation-style-language/schema/raw/master/csl-citation.json"}</w:instrText>
      </w:r>
      <w:r w:rsidRPr="00945ACC">
        <w:rPr>
          <w:color w:val="000000" w:themeColor="text1"/>
        </w:rPr>
        <w:fldChar w:fldCharType="separate"/>
      </w:r>
      <w:r w:rsidRPr="00945ACC">
        <w:rPr>
          <w:noProof/>
          <w:color w:val="000000" w:themeColor="text1"/>
        </w:rPr>
        <w:t>Bressi et al., 1996)</w:t>
      </w:r>
      <w:r w:rsidRPr="00945ACC">
        <w:rPr>
          <w:color w:val="000000" w:themeColor="text1"/>
        </w:rPr>
        <w:fldChar w:fldCharType="end"/>
      </w:r>
      <w:r w:rsidRPr="00945ACC">
        <w:rPr>
          <w:color w:val="000000" w:themeColor="text1"/>
        </w:rPr>
        <w:t xml:space="preserve">. The second and the third parts included questions and questionnaires that referred respectively to </w:t>
      </w:r>
      <w:r w:rsidR="001B1A4F" w:rsidRPr="00945ACC">
        <w:rPr>
          <w:color w:val="000000" w:themeColor="text1"/>
        </w:rPr>
        <w:t xml:space="preserve">the </w:t>
      </w:r>
      <w:r w:rsidRPr="00945ACC">
        <w:rPr>
          <w:color w:val="000000" w:themeColor="text1"/>
        </w:rPr>
        <w:t>first and second Phase</w:t>
      </w:r>
      <w:r w:rsidR="00A325E3" w:rsidRPr="00945ACC">
        <w:rPr>
          <w:color w:val="000000" w:themeColor="text1"/>
        </w:rPr>
        <w:t>s</w:t>
      </w:r>
      <w:r w:rsidRPr="00945ACC">
        <w:rPr>
          <w:color w:val="000000" w:themeColor="text1"/>
        </w:rPr>
        <w:t xml:space="preserve"> of the lockdown. They included questions regarding the present home residence (dimensions of the house, presence of an external space such as a garden or a balcony), the number of people living with the participant (including the type and the quality of the relationships), the Type of Occupation (TO; home working or not-working, desk job, public-facing job, </w:t>
      </w:r>
      <w:r w:rsidR="00912DD3" w:rsidRPr="00945ACC">
        <w:rPr>
          <w:color w:val="000000" w:themeColor="text1"/>
        </w:rPr>
        <w:t xml:space="preserve">a </w:t>
      </w:r>
      <w:r w:rsidRPr="00945ACC">
        <w:rPr>
          <w:color w:val="000000" w:themeColor="text1"/>
        </w:rPr>
        <w:t xml:space="preserve">job in contact with COVID patients), and how occupation changed from the previous Phase (not working anymore, working less, working more or no changes). </w:t>
      </w:r>
      <w:r w:rsidR="00912DD3" w:rsidRPr="00945ACC">
        <w:rPr>
          <w:color w:val="000000" w:themeColor="text1"/>
        </w:rPr>
        <w:t>Also</w:t>
      </w:r>
      <w:r w:rsidRPr="00945ACC">
        <w:rPr>
          <w:color w:val="000000" w:themeColor="text1"/>
        </w:rPr>
        <w:t xml:space="preserve">, both parts included the 7-Item Binge-Eating Disorder Screener (BEDS-7, </w:t>
      </w:r>
      <w:r w:rsidRPr="00945ACC">
        <w:rPr>
          <w:color w:val="000000" w:themeColor="text1"/>
        </w:rPr>
        <w:fldChar w:fldCharType="begin" w:fldLock="1"/>
      </w:r>
      <w:r w:rsidRPr="00945ACC">
        <w:rPr>
          <w:color w:val="000000" w:themeColor="text1"/>
        </w:rPr>
        <w:instrText>ADDIN CSL_CITATION {"citationItems":[{"id":"ITEM-1","itemData":{"author":[{"dropping-particle":"","family":"Herman","given":"Barry K","non-dropping-particle":"","parse-names":false,"suffix":""},{"dropping-particle":"","family":"Deal","given":"Linda S","non-dropping-particle":"","parse-names":false,"suffix":""},{"dropping-particle":"","family":"DiBenedetti","given":"Dana B","non-dropping-particle":"","parse-names":false,"suffix":""},{"dropping-particle":"","family":"Nelson","given":"Lauren","non-dropping-particle":"","parse-names":false,"suffix":""},{"dropping-particle":"","family":"Fehnel","given":"Sheri E","non-dropping-particle":"","parse-names":false,"suffix":""},{"dropping-particle":"","family":"Brown","given":"T Michelle","non-dropping-particle":"","parse-names":false,"suffix":""}],"container-title":"The primary care companion for CNS disorders","id":"ITEM-1","issue":"2","issued":{"date-parts":[["2016"]]},"publisher":"Physicians Postgraduate Press, Inc.","title":"Development of the 7-item binge-eating disorder screener (BEDS-7)","type":"article-journal","volume":"18"},"uris":["http://www.mendeley.com/documents/?uuid=699bc7d0-fbeb-498b-98f9-c7f305de7316"]}],"mendeley":{"formattedCitation":"(Herman et al., 2016)","manualFormatting":"Herman et al., 2016)","plainTextFormattedCitation":"(Herman et al., 2016)","previouslyFormattedCitation":"(Herman et al., 2016)"},"properties":{"noteIndex":0},"schema":"https://github.com/citation-style-language/schema/raw/master/csl-citation.json"}</w:instrText>
      </w:r>
      <w:r w:rsidRPr="00945ACC">
        <w:rPr>
          <w:color w:val="000000" w:themeColor="text1"/>
        </w:rPr>
        <w:fldChar w:fldCharType="separate"/>
      </w:r>
      <w:r w:rsidRPr="00945ACC">
        <w:rPr>
          <w:noProof/>
          <w:color w:val="000000" w:themeColor="text1"/>
        </w:rPr>
        <w:t>Herman et al., 2016)</w:t>
      </w:r>
      <w:r w:rsidRPr="00945ACC">
        <w:rPr>
          <w:color w:val="000000" w:themeColor="text1"/>
        </w:rPr>
        <w:fldChar w:fldCharType="end"/>
      </w:r>
      <w:r w:rsidRPr="00945ACC">
        <w:rPr>
          <w:color w:val="000000" w:themeColor="text1"/>
        </w:rPr>
        <w:t xml:space="preserve">, the subsection of the Dutch Eating </w:t>
      </w:r>
      <w:proofErr w:type="spellStart"/>
      <w:r w:rsidRPr="00945ACC">
        <w:rPr>
          <w:color w:val="000000" w:themeColor="text1"/>
        </w:rPr>
        <w:t>Behavior</w:t>
      </w:r>
      <w:proofErr w:type="spellEnd"/>
      <w:r w:rsidRPr="00945ACC">
        <w:rPr>
          <w:color w:val="000000" w:themeColor="text1"/>
        </w:rPr>
        <w:t xml:space="preserve"> Questionnaire investigating Emotional Eating (DEBQ; </w:t>
      </w:r>
      <w:r w:rsidRPr="00945ACC">
        <w:rPr>
          <w:color w:val="000000" w:themeColor="text1"/>
        </w:rPr>
        <w:fldChar w:fldCharType="begin" w:fldLock="1"/>
      </w:r>
      <w:r w:rsidRPr="00945ACC">
        <w:rPr>
          <w:color w:val="000000" w:themeColor="text1"/>
        </w:rPr>
        <w:instrText>ADDIN CSL_CITATION {"citationItems":[{"id":"ITEM-1","itemData":{"ISSN":"0195-6663","author":[{"dropping-particle":"","family":"Dakanalis","given":"Antonios","non-dropping-particle":"","parse-names":false,"suffix":""},{"dropping-particle":"","family":"Zanetti","given":"M Assunta","non-dropping-particle":"","parse-names":false,"suffix":""},{"dropping-particle":"","family":"Clerici","given":"Massimo","non-dropping-particle":"","parse-names":false,"suffix":""},{"dropping-particle":"","family":"Madeddu","given":"Fabio","non-dropping-particle":"","parse-names":false,"suffix":""},{"dropping-particle":"","family":"Riva","given":"Giuseppe","non-dropping-particle":"","parse-names":false,"suffix":""},{"dropping-particle":"","family":"Caccialanza","given":"Riccardo","non-dropping-particle":"","parse-names":false,"suffix":""}],"container-title":"Appetite","id":"ITEM-1","issued":{"date-parts":[["2013"]]},"page":"187-195","publisher":"Elsevier","title":"Italian version of the Dutch Eating Behavior Questionnaire. Psychometric proprieties and measurement invariance across sex, BMI-status and age","type":"article-journal","volume":"71"},"uris":["http://www.mendeley.com/documents/?uuid=af4be4dc-12ae-43b8-bc93-eee1a381f0ab"]}],"mendeley":{"formattedCitation":"(Dakanalis et al., 2013)","manualFormatting":"Dakanalis et al., 2013)","plainTextFormattedCitation":"(Dakanalis et al., 2013)","previouslyFormattedCitation":"(Dakanalis et al., 2013)"},"properties":{"noteIndex":0},"schema":"https://github.com/citation-style-language/schema/raw/master/csl-citation.json"}</w:instrText>
      </w:r>
      <w:r w:rsidRPr="00945ACC">
        <w:rPr>
          <w:color w:val="000000" w:themeColor="text1"/>
        </w:rPr>
        <w:fldChar w:fldCharType="separate"/>
      </w:r>
      <w:r w:rsidRPr="00945ACC">
        <w:rPr>
          <w:noProof/>
          <w:color w:val="000000" w:themeColor="text1"/>
        </w:rPr>
        <w:t>Dakanalis et al., 2013)</w:t>
      </w:r>
      <w:r w:rsidRPr="00945ACC">
        <w:rPr>
          <w:color w:val="000000" w:themeColor="text1"/>
        </w:rPr>
        <w:fldChar w:fldCharType="end"/>
      </w:r>
      <w:r w:rsidRPr="00945ACC">
        <w:rPr>
          <w:color w:val="000000" w:themeColor="text1"/>
        </w:rPr>
        <w:t xml:space="preserve">, the Patient Health Questionnaire (PHQ-2; </w:t>
      </w:r>
      <w:r w:rsidRPr="00945ACC">
        <w:rPr>
          <w:color w:val="000000" w:themeColor="text1"/>
        </w:rPr>
        <w:fldChar w:fldCharType="begin" w:fldLock="1"/>
      </w:r>
      <w:r w:rsidRPr="00945ACC">
        <w:rPr>
          <w:color w:val="000000" w:themeColor="text1"/>
        </w:rPr>
        <w:instrText>ADDIN CSL_CITATION {"citationItems":[{"id":"ITEM-1","itemData":{"ISSN":"0025-7079","author":[{"dropping-particle":"","family":"Kroenke","given":"Kurt","non-dropping-particle":"","parse-names":false,"suffix":""},{"dropping-particle":"","family":"Spitzer","given":"Robert L","non-dropping-particle":"","parse-names":false,"suffix":""},{"dropping-particle":"","family":"Williams","given":"Janet B W","non-dropping-particle":"","parse-names":false,"suffix":""}],"container-title":"Medical care","id":"ITEM-1","issued":{"date-parts":[["2003"]]},"page":"1284-1292","publisher":"JSTOR","title":"The Patient Health Questionnaire-2: validity of a two-item depression screener","type":"article-journal"},"uris":["http://www.mendeley.com/documents/?uuid=918bd847-5760-4d3d-9949-a531ea689bd8"]}],"mendeley":{"formattedCitation":"(Kroenke, Spitzer, &amp; Williams, 2003)","manualFormatting":"Kroenke, Spitzer, &amp; Williams, 2003)","plainTextFormattedCitation":"(Kroenke, Spitzer, &amp; Williams, 2003)","previouslyFormattedCitation":"(Kroenke, Spitzer, &amp; Williams, 2003)"},"properties":{"noteIndex":0},"schema":"https://github.com/citation-style-language/schema/raw/master/csl-citation.json"}</w:instrText>
      </w:r>
      <w:r w:rsidRPr="00945ACC">
        <w:rPr>
          <w:color w:val="000000" w:themeColor="text1"/>
        </w:rPr>
        <w:fldChar w:fldCharType="separate"/>
      </w:r>
      <w:r w:rsidRPr="00945ACC">
        <w:rPr>
          <w:noProof/>
          <w:color w:val="000000" w:themeColor="text1"/>
        </w:rPr>
        <w:t>Kroenke, Spitzer, &amp; Williams, 2003)</w:t>
      </w:r>
      <w:r w:rsidRPr="00945ACC">
        <w:rPr>
          <w:color w:val="000000" w:themeColor="text1"/>
        </w:rPr>
        <w:fldChar w:fldCharType="end"/>
      </w:r>
      <w:r w:rsidRPr="00945ACC">
        <w:rPr>
          <w:color w:val="000000" w:themeColor="text1"/>
        </w:rPr>
        <w:t xml:space="preserve">, investigating depressive symptoms, the Generalized Anxiety Disorder scale (GAD-2; </w:t>
      </w:r>
      <w:r w:rsidRPr="00945ACC">
        <w:rPr>
          <w:color w:val="000000" w:themeColor="text1"/>
        </w:rPr>
        <w:fldChar w:fldCharType="begin" w:fldLock="1"/>
      </w:r>
      <w:r w:rsidRPr="00945ACC">
        <w:rPr>
          <w:color w:val="000000" w:themeColor="text1"/>
        </w:rPr>
        <w:instrText>ADDIN CSL_CITATION {"citationItems":[{"id":"ITEM-1","itemData":{"ISSN":"0003-4819","author":[{"dropping-particle":"","family":"Kroenke","given":"Kurt","non-dropping-particle":"","parse-names":false,"suffix":""},{"dropping-particle":"","family":"Spitzer","given":"Robert L","non-dropping-particle":"","parse-names":false,"suffix":""},{"dropping-particle":"","family":"Williams","given":"Janet B W","non-dropping-particle":"","parse-names":false,"suffix":""},{"dropping-particle":"","family":"Monahan","given":"Patrick O","non-dropping-particle":"","parse-names":false,"suffix":""},{"dropping-particle":"","family":"Löwe","given":"Bernd","non-dropping-particle":"","parse-names":false,"suffix":""}],"container-title":"Annals of internal medicine","id":"ITEM-1","issue":"5","issued":{"date-parts":[["2007"]]},"page":"317-325","publisher":"American College of Physicians","title":"Anxiety disorders in primary care: prevalence, impairment, comorbidity, and detection","type":"article-journal","volume":"146"},"uris":["http://www.mendeley.com/documents/?uuid=3df48feb-8e1b-4d77-83bc-136f17bc5953"]}],"mendeley":{"formattedCitation":"(Kroenke, Spitzer, Williams, Monahan, &amp; Löwe, 2007)","manualFormatting":"Kroenke, Spitzer, Williams, Monahan, &amp; Löwe, 2007)","plainTextFormattedCitation":"(Kroenke, Spitzer, Williams, Monahan, &amp; Löwe, 2007)","previouslyFormattedCitation":"(Kroenke, Spitzer, Williams, Monahan, &amp; Löwe, 2007)"},"properties":{"noteIndex":0},"schema":"https://github.com/citation-style-language/schema/raw/master/csl-citation.json"}</w:instrText>
      </w:r>
      <w:r w:rsidRPr="00945ACC">
        <w:rPr>
          <w:color w:val="000000" w:themeColor="text1"/>
        </w:rPr>
        <w:fldChar w:fldCharType="separate"/>
      </w:r>
      <w:r w:rsidRPr="00945ACC">
        <w:rPr>
          <w:noProof/>
          <w:color w:val="000000" w:themeColor="text1"/>
        </w:rPr>
        <w:t>Kroenke, Spitzer, Williams, Monahan, &amp; Löwe, 2007)</w:t>
      </w:r>
      <w:r w:rsidRPr="00945ACC">
        <w:rPr>
          <w:color w:val="000000" w:themeColor="text1"/>
        </w:rPr>
        <w:fldChar w:fldCharType="end"/>
      </w:r>
      <w:r w:rsidRPr="00945ACC">
        <w:rPr>
          <w:color w:val="000000" w:themeColor="text1"/>
        </w:rPr>
        <w:t xml:space="preserve">, and the Perceived Stress Scale (PSS-10; </w:t>
      </w:r>
      <w:r w:rsidRPr="00945ACC">
        <w:rPr>
          <w:color w:val="000000" w:themeColor="text1"/>
        </w:rPr>
        <w:fldChar w:fldCharType="begin" w:fldLock="1"/>
      </w:r>
      <w:r w:rsidRPr="00945ACC">
        <w:rPr>
          <w:color w:val="000000" w:themeColor="text1"/>
        </w:rPr>
        <w:instrText>ADDIN CSL_CITATION {"citationItems":[{"id":"ITEM-1","itemData":{"ISSN":"1936-4733","author":[{"dropping-particle":"","family":"Mondo","given":"Marina","non-dropping-particle":"","parse-names":false,"suffix":""},{"dropping-particle":"","family":"Sechi","given":"Cristina","non-dropping-particle":"","parse-names":false,"suffix":""},{"dropping-particle":"","family":"Cabras","given":"Cristina","non-dropping-particle":"","parse-names":false,"suffix":""}],"container-title":"Current Psychology","id":"ITEM-1","issued":{"date-parts":[["2019"]]},"page":"1-9","publisher":"Springer","title":"Psychometric evaluation of three versions of the Italian perceived stress scale","type":"article-journal"},"uris":["http://www.mendeley.com/documents/?uuid=93dda886-1954-4799-9d1c-a47547b9f051"]}],"mendeley":{"formattedCitation":"(Mondo, Sechi, &amp; Cabras, 2019)","manualFormatting":"Mondo, Sechi, &amp; Cabras, 2019)","plainTextFormattedCitation":"(Mondo, Sechi, &amp; Cabras, 2019)","previouslyFormattedCitation":"(Mondo, Sechi, &amp; Cabras, 2019)"},"properties":{"noteIndex":0},"schema":"https://github.com/citation-style-language/schema/raw/master/csl-citation.json"}</w:instrText>
      </w:r>
      <w:r w:rsidRPr="00945ACC">
        <w:rPr>
          <w:color w:val="000000" w:themeColor="text1"/>
        </w:rPr>
        <w:fldChar w:fldCharType="separate"/>
      </w:r>
      <w:r w:rsidRPr="00945ACC">
        <w:rPr>
          <w:noProof/>
          <w:color w:val="000000" w:themeColor="text1"/>
        </w:rPr>
        <w:t>Mondo, Sechi, &amp; Cabras, 2019)</w:t>
      </w:r>
      <w:r w:rsidRPr="00945ACC">
        <w:rPr>
          <w:color w:val="000000" w:themeColor="text1"/>
        </w:rPr>
        <w:fldChar w:fldCharType="end"/>
      </w:r>
      <w:r w:rsidRPr="00945ACC">
        <w:rPr>
          <w:color w:val="000000" w:themeColor="text1"/>
        </w:rPr>
        <w:t>.</w:t>
      </w:r>
    </w:p>
    <w:p w14:paraId="1A7E733F" w14:textId="77777777" w:rsidR="00874399" w:rsidRPr="00945ACC" w:rsidRDefault="00B16B40">
      <w:pPr>
        <w:pStyle w:val="Titolo3"/>
      </w:pPr>
      <w:r w:rsidRPr="00945ACC">
        <w:t>2.2.1 Questionnaires</w:t>
      </w:r>
    </w:p>
    <w:p w14:paraId="0017FC86" w14:textId="392EC2BF" w:rsidR="00874399" w:rsidRPr="00945ACC" w:rsidRDefault="00B16B40" w:rsidP="00475CDB">
      <w:pPr>
        <w:rPr>
          <w:color w:val="000000" w:themeColor="text1"/>
        </w:rPr>
      </w:pPr>
      <w:r w:rsidRPr="00945ACC">
        <w:rPr>
          <w:color w:val="000000" w:themeColor="text1"/>
        </w:rPr>
        <w:t xml:space="preserve">The TAS-20 is a self-report scale measuring the general level of alexithymia. Each item is scored from 1 (strongly disagree) to 5 (strongly agree), for a total score of 100. The cut-off for alexithymia is 61 </w:t>
      </w:r>
      <w:r w:rsidRPr="00945ACC">
        <w:rPr>
          <w:color w:val="000000" w:themeColor="text1"/>
        </w:rPr>
        <w:fldChar w:fldCharType="begin" w:fldLock="1"/>
      </w:r>
      <w:r w:rsidRPr="00945ACC">
        <w:rPr>
          <w:color w:val="000000" w:themeColor="text1"/>
        </w:rPr>
        <w:instrText>ADDIN CSL_CITATION {"citationItems":[{"id":"ITEM-1","itemData":{"ISSN":"0022-3999","author":[{"dropping-particle":"","family":"Bressi","given":"Cinzia","non-dropping-particle":"","parse-names":false,"suffix":""},{"dropping-particle":"","family":"Taylor","given":"Graeme","non-dropping-particle":"","parse-names":false,"suffix":""},{"dropping-particle":"","family":"Parker","given":"James","non-dropping-particle":"","parse-names":false,"suffix":""},{"dropping-particle":"","family":"Bressi","given":"Sergio","non-dropping-particle":"","parse-names":false,"suffix":""},{"dropping-particle":"","family":"Brambilla","given":"Virginia","non-dropping-particle":"","parse-names":false,"suffix":""},{"dropping-particle":"","family":"Aguglia","given":"Eugenio","non-dropping-particle":"","parse-names":false,"suffix":""},{"dropping-particle":"","family":"Allegranti","given":"Ida","non-dropping-particle":"","parse-names":false,"suffix":""},{"dropping-particle":"","family":"Bongiorno","given":"Antonio","non-dropping-particle":"","parse-names":false,"suffix":""},{"dropping-particle":"","family":"Giberti","given":"Franco","non-dropping-particle":"","parse-names":false,"suffix":""},{"dropping-particle":"","family":"Bucca","given":"Maurizio","non-dropping-particle":"","parse-names":false,"suffix":""}],"container-title":"Journal of psychosomatic research","id":"ITEM-1","issue":"6","issued":{"date-parts":[["1996"]]},"page":"551-559","publisher":"Elsevier","title":"Cross validation of the factor structure of the 20-item Toronto Alexithymia Scale: an Italian multicenter study","type":"article-journal","volume":"41"},"uris":["http://www.mendeley.com/documents/?uuid=614c8a48-26d2-4673-a0b7-d3d7232899cf"]}],"mendeley":{"formattedCitation":"(Bressi et al., 1996)","plainTextFormattedCitation":"(Bressi et al., 1996)","previouslyFormattedCitation":"(Bressi et al., 1996)"},"properties":{"noteIndex":0},"schema":"https://github.com/citation-style-language/schema/raw/master/csl-citation.json"}</w:instrText>
      </w:r>
      <w:r w:rsidRPr="00945ACC">
        <w:rPr>
          <w:color w:val="000000" w:themeColor="text1"/>
        </w:rPr>
        <w:fldChar w:fldCharType="separate"/>
      </w:r>
      <w:r w:rsidRPr="00945ACC">
        <w:rPr>
          <w:noProof/>
          <w:color w:val="000000" w:themeColor="text1"/>
        </w:rPr>
        <w:t>(Bressi et al., 1996)</w:t>
      </w:r>
      <w:r w:rsidRPr="00945ACC">
        <w:rPr>
          <w:color w:val="000000" w:themeColor="text1"/>
        </w:rPr>
        <w:fldChar w:fldCharType="end"/>
      </w:r>
      <w:r w:rsidRPr="00945ACC">
        <w:rPr>
          <w:color w:val="000000" w:themeColor="text1"/>
        </w:rPr>
        <w:t xml:space="preserve">. To assess the presence of binge eating during each Phase, we included the 7-Item Binge-Eating Disorder Screener (BEDS-7). Only if participants answered “yes” to the first question, inquiring into having experienced episodes characterized by eating an amount of food definitely larger </w:t>
      </w:r>
      <w:r w:rsidRPr="00945ACC">
        <w:rPr>
          <w:color w:val="000000" w:themeColor="text1"/>
        </w:rPr>
        <w:lastRenderedPageBreak/>
        <w:t xml:space="preserve">than most people would eat in the same period of time, and to the second question, describing a sense of lack of control over eating during these episodes, the other 5 questions, which inquired into the features of the binging episodes (as per </w:t>
      </w:r>
      <w:r w:rsidR="00A325E3" w:rsidRPr="00945ACC">
        <w:rPr>
          <w:color w:val="000000" w:themeColor="text1"/>
        </w:rPr>
        <w:t xml:space="preserve">the </w:t>
      </w:r>
      <w:r w:rsidRPr="00945ACC">
        <w:rPr>
          <w:color w:val="000000" w:themeColor="text1"/>
        </w:rPr>
        <w:t xml:space="preserve">description of the binge eating disorder in the DSM-5;  American Psychiatric Association, 2013), were presented. The total score ranged from 0 to 5: if one of the first two questions was answered negatively or none of the 5 criteria was selected, the score was 0; if both the first two questions were answered positively, the score was equal to the number of criteria met </w:t>
      </w:r>
      <w:r w:rsidRPr="00945ACC">
        <w:rPr>
          <w:color w:val="000000" w:themeColor="text1"/>
        </w:rPr>
        <w:fldChar w:fldCharType="begin" w:fldLock="1"/>
      </w:r>
      <w:r w:rsidRPr="00945ACC">
        <w:rPr>
          <w:color w:val="000000" w:themeColor="text1"/>
        </w:rPr>
        <w:instrText>ADDIN CSL_CITATION {"citationItems":[{"id":"ITEM-1","itemData":{"ISSN":"1049-8931","author":[{"dropping-particle":"","family":"Shankman","given":"Stewart A","non-dropping-particle":"","parse-names":false,"suffix":""},{"dropping-particle":"","family":"Funkhouser","given":"Carter J","non-dropping-particle":"","parse-names":false,"suffix":""},{"dropping-particle":"","family":"Klein","given":"Daniel N","non-dropping-particle":"","parse-names":false,"suffix":""},{"dropping-particle":"","family":"Davila","given":"Joanne","non-dropping-particle":"","parse-names":false,"suffix":""},{"dropping-particle":"","family":"Lerner","given":"Debra","non-dropping-particle":"","parse-names":false,"suffix":""},{"dropping-particle":"","family":"Hee","given":"Danelle","non-dropping-particle":"","parse-names":false,"suffix":""}],"container-title":"International journal of methods in psychiatric research","id":"ITEM-1","issue":"1","issued":{"date-parts":[["2018"]]},"page":"e1590","publisher":"Wiley Online Library","title":"Reliability and validity of severity dimensions of psychopathology assessed using the Structured Clinical Interview for DSM‐5 (SCID)","type":"article-journal","volume":"27"},"uris":["http://www.mendeley.com/documents/?uuid=bc20336f-d040-4bd5-a609-358f96972871"]}],"mendeley":{"formattedCitation":"(Shankman et al., 2018)","plainTextFormattedCitation":"(Shankman et al., 2018)","previouslyFormattedCitation":"(Shankman et al., 2018)"},"properties":{"noteIndex":0},"schema":"https://github.com/citation-style-language/schema/raw/master/csl-citation.json"}</w:instrText>
      </w:r>
      <w:r w:rsidRPr="00945ACC">
        <w:rPr>
          <w:color w:val="000000" w:themeColor="text1"/>
        </w:rPr>
        <w:fldChar w:fldCharType="separate"/>
      </w:r>
      <w:r w:rsidRPr="00945ACC">
        <w:rPr>
          <w:noProof/>
          <w:color w:val="000000" w:themeColor="text1"/>
        </w:rPr>
        <w:t>(Shankman et al., 2018)</w:t>
      </w:r>
      <w:r w:rsidRPr="00945ACC">
        <w:rPr>
          <w:color w:val="000000" w:themeColor="text1"/>
        </w:rPr>
        <w:fldChar w:fldCharType="end"/>
      </w:r>
      <w:r w:rsidRPr="00945ACC">
        <w:rPr>
          <w:color w:val="000000" w:themeColor="text1"/>
        </w:rPr>
        <w:t xml:space="preserve">. </w:t>
      </w:r>
      <w:sdt>
        <w:sdtPr>
          <w:rPr>
            <w:color w:val="000000" w:themeColor="text1"/>
          </w:rPr>
          <w:tag w:val="goog_rdk_0"/>
          <w:id w:val="350152213"/>
        </w:sdtPr>
        <w:sdtEndPr/>
        <w:sdtContent/>
      </w:sdt>
      <w:sdt>
        <w:sdtPr>
          <w:rPr>
            <w:color w:val="000000" w:themeColor="text1"/>
          </w:rPr>
          <w:tag w:val="goog_rdk_1"/>
          <w:id w:val="427468743"/>
        </w:sdtPr>
        <w:sdtEndPr/>
        <w:sdtContent/>
      </w:sdt>
      <w:r w:rsidRPr="00945ACC">
        <w:rPr>
          <w:color w:val="000000" w:themeColor="text1"/>
        </w:rPr>
        <w:t xml:space="preserve">The DEBQ is a self-report questionnaire that contains 33 items, rated on a 5-point Likert scale (from “never” to “very often”; </w:t>
      </w:r>
      <w:r w:rsidRPr="00945ACC">
        <w:rPr>
          <w:color w:val="000000" w:themeColor="text1"/>
        </w:rPr>
        <w:fldChar w:fldCharType="begin" w:fldLock="1"/>
      </w:r>
      <w:r w:rsidRPr="00945ACC">
        <w:rPr>
          <w:color w:val="000000" w:themeColor="text1"/>
        </w:rPr>
        <w:instrText>ADDIN CSL_CITATION {"citationItems":[{"id":"ITEM-1","itemData":{"ISSN":"0195-6663","author":[{"dropping-particle":"","family":"Dakanalis","given":"Antonios","non-dropping-particle":"","parse-names":false,"suffix":""},{"dropping-particle":"","family":"Zanetti","given":"M Assunta","non-dropping-particle":"","parse-names":false,"suffix":""},{"dropping-particle":"","family":"Clerici","given":"Massimo","non-dropping-particle":"","parse-names":false,"suffix":""},{"dropping-particle":"","family":"Madeddu","given":"Fabio","non-dropping-particle":"","parse-names":false,"suffix":""},{"dropping-particle":"","family":"Riva","given":"Giuseppe","non-dropping-particle":"","parse-names":false,"suffix":""},{"dropping-particle":"","family":"Caccialanza","given":"Riccardo","non-dropping-particle":"","parse-names":false,"suffix":""}],"container-title":"Appetite","id":"ITEM-1","issued":{"date-parts":[["2013"]]},"page":"187-195","publisher":"Elsevier","title":"Italian version of the Dutch Eating Behavior Questionnaire. Psychometric proprieties and measurement invariance across sex, BMI-status and age","type":"article-journal","volume":"71"},"uris":["http://www.mendeley.com/documents/?uuid=af4be4dc-12ae-43b8-bc93-eee1a381f0ab"]}],"mendeley":{"formattedCitation":"(Dakanalis et al., 2013)","manualFormatting":"Dakanalis et al., 2013)","plainTextFormattedCitation":"(Dakanalis et al., 2013)","previouslyFormattedCitation":"(Dakanalis et al., 2013)"},"properties":{"noteIndex":0},"schema":"https://github.com/citation-style-language/schema/raw/master/csl-citation.json"}</w:instrText>
      </w:r>
      <w:r w:rsidRPr="00945ACC">
        <w:rPr>
          <w:color w:val="000000" w:themeColor="text1"/>
        </w:rPr>
        <w:fldChar w:fldCharType="separate"/>
      </w:r>
      <w:r w:rsidRPr="00945ACC">
        <w:rPr>
          <w:noProof/>
          <w:color w:val="000000" w:themeColor="text1"/>
        </w:rPr>
        <w:t>Dakanalis et al., 2013)</w:t>
      </w:r>
      <w:r w:rsidRPr="00945ACC">
        <w:rPr>
          <w:color w:val="000000" w:themeColor="text1"/>
        </w:rPr>
        <w:fldChar w:fldCharType="end"/>
      </w:r>
      <w:r w:rsidRPr="00945ACC">
        <w:rPr>
          <w:color w:val="000000" w:themeColor="text1"/>
        </w:rPr>
        <w:t xml:space="preserve">. In this study, we administered only the “emotional eating” subscale which included 13 items (e.g., “Do you have a desire to eat when you are irritated?”). The PHQ-2 is a two-item screening tool inquiring about the frequency of depressed mood and anhedonia over the previous two weeks. Each item is scored from 0, “not at all”, to 3, “nearly every day”. A PHQ-2 ≥ 3 showed a sensitivity of 83% for major depression </w:t>
      </w:r>
      <w:r w:rsidRPr="00945ACC">
        <w:rPr>
          <w:color w:val="000000" w:themeColor="text1"/>
        </w:rPr>
        <w:fldChar w:fldCharType="begin" w:fldLock="1"/>
      </w:r>
      <w:r w:rsidRPr="00945ACC">
        <w:rPr>
          <w:color w:val="000000" w:themeColor="text1"/>
        </w:rPr>
        <w:instrText>ADDIN CSL_CITATION {"citationItems":[{"id":"ITEM-1","itemData":{"ISSN":"0025-7079","author":[{"dropping-particle":"","family":"Kroenke","given":"Kurt","non-dropping-particle":"","parse-names":false,"suffix":""},{"dropping-particle":"","family":"Spitzer","given":"Robert L","non-dropping-particle":"","parse-names":false,"suffix":""},{"dropping-particle":"","family":"Williams","given":"Janet B W","non-dropping-particle":"","parse-names":false,"suffix":""}],"container-title":"Medical care","id":"ITEM-1","issued":{"date-parts":[["2003"]]},"page":"1284-1292","publisher":"JSTOR","title":"The Patient Health Questionnaire-2: validity of a two-item depression screener","type":"article-journal"},"uris":["http://www.mendeley.com/documents/?uuid=918bd847-5760-4d3d-9949-a531ea689bd8"]}],"mendeley":{"formattedCitation":"(Kroenke et al., 2003)","plainTextFormattedCitation":"(Kroenke et al., 2003)","previouslyFormattedCitation":"(Kroenke et al., 2003)"},"properties":{"noteIndex":0},"schema":"https://github.com/citation-style-language/schema/raw/master/csl-citation.json"}</w:instrText>
      </w:r>
      <w:r w:rsidRPr="00945ACC">
        <w:rPr>
          <w:color w:val="000000" w:themeColor="text1"/>
        </w:rPr>
        <w:fldChar w:fldCharType="separate"/>
      </w:r>
      <w:r w:rsidRPr="00945ACC">
        <w:rPr>
          <w:noProof/>
          <w:color w:val="000000" w:themeColor="text1"/>
        </w:rPr>
        <w:t>(Kroenke et al., 2003)</w:t>
      </w:r>
      <w:r w:rsidRPr="00945ACC">
        <w:rPr>
          <w:color w:val="000000" w:themeColor="text1"/>
        </w:rPr>
        <w:fldChar w:fldCharType="end"/>
      </w:r>
      <w:r w:rsidRPr="00945ACC">
        <w:rPr>
          <w:color w:val="000000" w:themeColor="text1"/>
        </w:rPr>
        <w:t xml:space="preserve">. The GAD-2 scale is represented by the first 2 items of the GAD-7 and it describes core anxiety symptoms. Each item is scored from 0, “not at all”, to 3, “nearly every day”, and total scores range from 0 to 6; 3 is considered the cut-off for anxiety disorder </w:t>
      </w:r>
      <w:r w:rsidRPr="00945ACC">
        <w:rPr>
          <w:color w:val="000000" w:themeColor="text1"/>
        </w:rPr>
        <w:fldChar w:fldCharType="begin" w:fldLock="1"/>
      </w:r>
      <w:r w:rsidRPr="00945ACC">
        <w:rPr>
          <w:color w:val="000000" w:themeColor="text1"/>
        </w:rPr>
        <w:instrText>ADDIN CSL_CITATION {"citationItems":[{"id":"ITEM-1","itemData":{"ISSN":"0003-4819","author":[{"dropping-particle":"","family":"Kroenke","given":"Kurt","non-dropping-particle":"","parse-names":false,"suffix":""},{"dropping-particle":"","family":"Spitzer","given":"Robert L","non-dropping-particle":"","parse-names":false,"suffix":""},{"dropping-particle":"","family":"Williams","given":"Janet B W","non-dropping-particle":"","parse-names":false,"suffix":""},{"dropping-particle":"","family":"Monahan","given":"Patrick O","non-dropping-particle":"","parse-names":false,"suffix":""},{"dropping-particle":"","family":"Löwe","given":"Bernd","non-dropping-particle":"","parse-names":false,"suffix":""}],"container-title":"Annals of internal medicine","id":"ITEM-1","issue":"5","issued":{"date-parts":[["2007"]]},"page":"317-325","publisher":"American College of Physicians","title":"Anxiety disorders in primary care: prevalence, impairment, comorbidity, and detection","type":"article-journal","volume":"146"},"uris":["http://www.mendeley.com/documents/?uuid=3df48feb-8e1b-4d77-83bc-136f17bc5953"]}],"mendeley":{"formattedCitation":"(Kroenke et al., 2007)","plainTextFormattedCitation":"(Kroenke et al., 2007)","previouslyFormattedCitation":"(Kroenke et al., 2007)"},"properties":{"noteIndex":0},"schema":"https://github.com/citation-style-language/schema/raw/master/csl-citation.json"}</w:instrText>
      </w:r>
      <w:r w:rsidRPr="00945ACC">
        <w:rPr>
          <w:color w:val="000000" w:themeColor="text1"/>
        </w:rPr>
        <w:fldChar w:fldCharType="separate"/>
      </w:r>
      <w:r w:rsidRPr="00945ACC">
        <w:rPr>
          <w:noProof/>
          <w:color w:val="000000" w:themeColor="text1"/>
        </w:rPr>
        <w:t>(Kroenke et al., 2007)</w:t>
      </w:r>
      <w:r w:rsidRPr="00945ACC">
        <w:rPr>
          <w:color w:val="000000" w:themeColor="text1"/>
        </w:rPr>
        <w:fldChar w:fldCharType="end"/>
      </w:r>
      <w:r w:rsidRPr="00945ACC">
        <w:rPr>
          <w:color w:val="000000" w:themeColor="text1"/>
        </w:rPr>
        <w:t xml:space="preserve">. The PSS-10 is a ten-item scale </w:t>
      </w:r>
      <w:r w:rsidR="00A325E3" w:rsidRPr="00945ACC">
        <w:rPr>
          <w:color w:val="000000" w:themeColor="text1"/>
        </w:rPr>
        <w:t xml:space="preserve">that </w:t>
      </w:r>
      <w:r w:rsidRPr="00945ACC">
        <w:rPr>
          <w:color w:val="000000" w:themeColor="text1"/>
        </w:rPr>
        <w:t xml:space="preserve">evaluates thoughts and feelings related to stressful events that occurred one month before. It has six negatively- and four positively-stated items rated on a 5-point Likert scale ranging from 0, “never”, to 4, “very often”. Higher scores indicate higher levels of perceived stress </w:t>
      </w:r>
      <w:r w:rsidRPr="00945ACC">
        <w:rPr>
          <w:color w:val="000000" w:themeColor="text1"/>
        </w:rPr>
        <w:fldChar w:fldCharType="begin" w:fldLock="1"/>
      </w:r>
      <w:r w:rsidRPr="00945ACC">
        <w:rPr>
          <w:color w:val="000000" w:themeColor="text1"/>
        </w:rPr>
        <w:instrText>ADDIN CSL_CITATION {"citationItems":[{"id":"ITEM-1","itemData":{"ISSN":"1936-4733","author":[{"dropping-particle":"","family":"Mondo","given":"Marina","non-dropping-particle":"","parse-names":false,"suffix":""},{"dropping-particle":"","family":"Sechi","given":"Cristina","non-dropping-particle":"","parse-names":false,"suffix":""},{"dropping-particle":"","family":"Cabras","given":"Cristina","non-dropping-particle":"","parse-names":false,"suffix":""}],"container-title":"Current Psychology","id":"ITEM-1","issued":{"date-parts":[["2019"]]},"page":"1-9","publisher":"Springer","title":"Psychometric evaluation of three versions of the Italian perceived stress scale","type":"article-journal"},"uris":["http://www.mendeley.com/documents/?uuid=93dda886-1954-4799-9d1c-a47547b9f051"]}],"mendeley":{"formattedCitation":"(Mondo et al., 2019)","plainTextFormattedCitation":"(Mondo et al., 2019)","previouslyFormattedCitation":"(Mondo et al., 2019)"},"properties":{"noteIndex":0},"schema":"https://github.com/citation-style-language/schema/raw/master/csl-citation.json"}</w:instrText>
      </w:r>
      <w:r w:rsidRPr="00945ACC">
        <w:rPr>
          <w:color w:val="000000" w:themeColor="text1"/>
        </w:rPr>
        <w:fldChar w:fldCharType="separate"/>
      </w:r>
      <w:r w:rsidRPr="00945ACC">
        <w:rPr>
          <w:noProof/>
          <w:color w:val="000000" w:themeColor="text1"/>
        </w:rPr>
        <w:t>(Mondo et al., 2019)</w:t>
      </w:r>
      <w:r w:rsidRPr="00945ACC">
        <w:rPr>
          <w:color w:val="000000" w:themeColor="text1"/>
        </w:rPr>
        <w:fldChar w:fldCharType="end"/>
      </w:r>
      <w:r w:rsidRPr="00945ACC">
        <w:rPr>
          <w:color w:val="000000" w:themeColor="text1"/>
        </w:rPr>
        <w:t xml:space="preserve">. </w:t>
      </w:r>
      <w:r w:rsidR="006E1C67" w:rsidRPr="00945ACC">
        <w:rPr>
          <w:color w:val="000000" w:themeColor="text1"/>
        </w:rPr>
        <w:t xml:space="preserve">Differing from the validated procedure, for the specific purposes of this study, the DEBQ, </w:t>
      </w:r>
      <w:r w:rsidR="00F142E6" w:rsidRPr="00945ACC">
        <w:rPr>
          <w:color w:val="000000" w:themeColor="text1"/>
        </w:rPr>
        <w:t>the BEDS-7</w:t>
      </w:r>
      <w:r w:rsidR="006E1C67" w:rsidRPr="00945ACC">
        <w:rPr>
          <w:color w:val="000000" w:themeColor="text1"/>
        </w:rPr>
        <w:t>, the PHQ-2, the GAD-2</w:t>
      </w:r>
      <w:r w:rsidR="00F142E6" w:rsidRPr="00945ACC">
        <w:rPr>
          <w:color w:val="000000" w:themeColor="text1"/>
        </w:rPr>
        <w:t>,</w:t>
      </w:r>
      <w:r w:rsidR="006E1C67" w:rsidRPr="00945ACC">
        <w:rPr>
          <w:color w:val="000000" w:themeColor="text1"/>
        </w:rPr>
        <w:t xml:space="preserve"> and the PSS-10</w:t>
      </w:r>
      <w:r w:rsidR="00F142E6" w:rsidRPr="00945ACC">
        <w:rPr>
          <w:color w:val="000000" w:themeColor="text1"/>
        </w:rPr>
        <w:t xml:space="preserve"> were repeated twice</w:t>
      </w:r>
      <w:r w:rsidR="006E1C67" w:rsidRPr="00945ACC">
        <w:rPr>
          <w:color w:val="000000" w:themeColor="text1"/>
        </w:rPr>
        <w:t xml:space="preserve"> to collect </w:t>
      </w:r>
      <w:r w:rsidR="00F142E6" w:rsidRPr="00945ACC">
        <w:rPr>
          <w:color w:val="000000" w:themeColor="text1"/>
        </w:rPr>
        <w:t>participants’</w:t>
      </w:r>
      <w:r w:rsidR="006E1C67" w:rsidRPr="00945ACC">
        <w:rPr>
          <w:color w:val="000000" w:themeColor="text1"/>
        </w:rPr>
        <w:t xml:space="preserve"> experience</w:t>
      </w:r>
      <w:r w:rsidR="00F142E6" w:rsidRPr="00945ACC">
        <w:rPr>
          <w:color w:val="000000" w:themeColor="text1"/>
        </w:rPr>
        <w:t>s</w:t>
      </w:r>
      <w:r w:rsidR="006E1C67" w:rsidRPr="00945ACC">
        <w:rPr>
          <w:color w:val="000000" w:themeColor="text1"/>
        </w:rPr>
        <w:t xml:space="preserve"> in the two phases</w:t>
      </w:r>
      <w:r w:rsidR="00F142E6" w:rsidRPr="00945ACC">
        <w:rPr>
          <w:color w:val="000000" w:themeColor="text1"/>
        </w:rPr>
        <w:t>: once to record their current experience and once asking them to recollect their experience one week prior.</w:t>
      </w:r>
    </w:p>
    <w:p w14:paraId="333F62D8" w14:textId="77777777" w:rsidR="00874399" w:rsidRPr="00945ACC" w:rsidRDefault="00B16B40">
      <w:pPr>
        <w:pStyle w:val="Titolo3"/>
      </w:pPr>
      <w:r w:rsidRPr="00945ACC">
        <w:t>2.2.2. Indices</w:t>
      </w:r>
    </w:p>
    <w:p w14:paraId="21BFBADC" w14:textId="15A60853" w:rsidR="00874399" w:rsidRPr="00945ACC" w:rsidRDefault="00912DD3" w:rsidP="00475CDB">
      <w:pPr>
        <w:rPr>
          <w:color w:val="000000" w:themeColor="text1"/>
        </w:rPr>
      </w:pPr>
      <w:r w:rsidRPr="00945ACC">
        <w:rPr>
          <w:color w:val="000000" w:themeColor="text1"/>
        </w:rPr>
        <w:t>To simplify</w:t>
      </w:r>
      <w:r w:rsidR="00B16B40" w:rsidRPr="00945ACC">
        <w:rPr>
          <w:color w:val="000000" w:themeColor="text1"/>
        </w:rPr>
        <w:t xml:space="preserve"> statistical analyses, we combined some measures into indexes. </w:t>
      </w:r>
      <w:r w:rsidR="007A4252" w:rsidRPr="00945ACC">
        <w:rPr>
          <w:color w:val="000000" w:themeColor="text1"/>
        </w:rPr>
        <w:t>We computed the BMI dividing the body weight by the square of the body height (</w:t>
      </w:r>
      <w:r w:rsidR="007A4252" w:rsidRPr="00945ACC">
        <w:rPr>
          <w:color w:val="000000" w:themeColor="text1"/>
        </w:rPr>
        <w:fldChar w:fldCharType="begin" w:fldLock="1"/>
      </w:r>
      <w:r w:rsidR="007A4252" w:rsidRPr="00945ACC">
        <w:rPr>
          <w:color w:val="000000" w:themeColor="text1"/>
        </w:rPr>
        <w:instrText>ADDIN CSL_CITATION {"citationItems":[{"id":"ITEM-1","itemData":{"author":[{"dropping-particle":"","family":"World Health Organization","given":"","non-dropping-particle":"","parse-names":false,"suffix":""}],"id":"ITEM-1","issued":{"date-parts":[["2018","9","20"]]},"title":"Obesity and overweight, Key facts","type":"article"},"uris":["http://www.mendeley.com/documents/?uuid=e2987f0a-3f85-4f5f-ad35-063fc553adb7"]}],"mendeley":{"formattedCitation":"(World Health Organization, 2018)","manualFormatting":"World Health Organization, 2018)","plainTextFormattedCitation":"(World Health Organization, 2018)","previouslyFormattedCitation":"(World Health Organization, 2018)"},"properties":{"noteIndex":0},"schema":"https://github.com/citation-style-language/schema/raw/master/csl-citation.json"}</w:instrText>
      </w:r>
      <w:r w:rsidR="007A4252" w:rsidRPr="00945ACC">
        <w:rPr>
          <w:color w:val="000000" w:themeColor="text1"/>
        </w:rPr>
        <w:fldChar w:fldCharType="separate"/>
      </w:r>
      <w:r w:rsidR="007A4252" w:rsidRPr="00945ACC">
        <w:rPr>
          <w:noProof/>
          <w:color w:val="000000" w:themeColor="text1"/>
        </w:rPr>
        <w:t>World Health Organization, 2018)</w:t>
      </w:r>
      <w:r w:rsidR="007A4252" w:rsidRPr="00945ACC">
        <w:rPr>
          <w:color w:val="000000" w:themeColor="text1"/>
        </w:rPr>
        <w:fldChar w:fldCharType="end"/>
      </w:r>
      <w:r w:rsidR="007A4252" w:rsidRPr="00945ACC">
        <w:rPr>
          <w:color w:val="000000" w:themeColor="text1"/>
        </w:rPr>
        <w:t xml:space="preserve">, as a measure of body weight status. </w:t>
      </w:r>
      <w:r w:rsidR="00265186" w:rsidRPr="00945ACC">
        <w:rPr>
          <w:color w:val="000000" w:themeColor="text1"/>
        </w:rPr>
        <w:t xml:space="preserve">We defined </w:t>
      </w:r>
      <w:r w:rsidR="00B16B40" w:rsidRPr="00945ACC">
        <w:rPr>
          <w:color w:val="000000" w:themeColor="text1"/>
        </w:rPr>
        <w:t xml:space="preserve">Quality of Life (QL) </w:t>
      </w:r>
      <w:r w:rsidR="00265186" w:rsidRPr="00945ACC">
        <w:rPr>
          <w:color w:val="000000" w:themeColor="text1"/>
        </w:rPr>
        <w:t>as</w:t>
      </w:r>
      <w:r w:rsidR="00B16B40" w:rsidRPr="00945ACC">
        <w:rPr>
          <w:color w:val="000000" w:themeColor="text1"/>
        </w:rPr>
        <w:t xml:space="preserve"> a measure that combines the </w:t>
      </w:r>
      <w:r w:rsidR="00B16B40" w:rsidRPr="00945ACC">
        <w:rPr>
          <w:color w:val="000000" w:themeColor="text1"/>
        </w:rPr>
        <w:lastRenderedPageBreak/>
        <w:t>quantity and quality of the personal space at home and the family income. It was computed as the standard deviation from the population mean of m</w:t>
      </w:r>
      <w:r w:rsidR="00B16B40" w:rsidRPr="00945ACC">
        <w:rPr>
          <w:color w:val="000000" w:themeColor="text1"/>
          <w:vertAlign w:val="superscript"/>
        </w:rPr>
        <w:t>2</w:t>
      </w:r>
      <w:r w:rsidR="00B16B40" w:rsidRPr="00945ACC">
        <w:rPr>
          <w:color w:val="000000" w:themeColor="text1"/>
        </w:rPr>
        <w:t xml:space="preserve"> available per person in the house, to which a unit was added per each number of accesses to an external space (such as a balcony, a garden</w:t>
      </w:r>
      <w:r w:rsidR="00A325E3" w:rsidRPr="00945ACC">
        <w:rPr>
          <w:color w:val="000000" w:themeColor="text1"/>
        </w:rPr>
        <w:t>,</w:t>
      </w:r>
      <w:r w:rsidR="00B16B40" w:rsidRPr="00945ACC">
        <w:rPr>
          <w:color w:val="000000" w:themeColor="text1"/>
        </w:rPr>
        <w:t xml:space="preserve"> or a courtyard), and one more unit was added if the family income was greater than 36.000 euro. </w:t>
      </w:r>
      <w:r w:rsidR="00265186" w:rsidRPr="00945ACC">
        <w:rPr>
          <w:color w:val="000000" w:themeColor="text1"/>
        </w:rPr>
        <w:t xml:space="preserve">We defined </w:t>
      </w:r>
      <w:r w:rsidR="00B16B40" w:rsidRPr="00945ACC">
        <w:rPr>
          <w:color w:val="000000" w:themeColor="text1"/>
        </w:rPr>
        <w:t xml:space="preserve">Quality of the Relationships (QR) </w:t>
      </w:r>
      <w:r w:rsidR="00265186" w:rsidRPr="00945ACC">
        <w:rPr>
          <w:color w:val="000000" w:themeColor="text1"/>
        </w:rPr>
        <w:t>as</w:t>
      </w:r>
      <w:r w:rsidR="00B16B40" w:rsidRPr="00945ACC">
        <w:rPr>
          <w:color w:val="000000" w:themeColor="text1"/>
        </w:rPr>
        <w:t xml:space="preserve"> a measure that combines the quality of the relationships and the relationship type (</w:t>
      </w:r>
      <w:proofErr w:type="gramStart"/>
      <w:r w:rsidR="00265186" w:rsidRPr="00945ACC">
        <w:rPr>
          <w:color w:val="000000" w:themeColor="text1"/>
        </w:rPr>
        <w:t>e.g.</w:t>
      </w:r>
      <w:proofErr w:type="gramEnd"/>
      <w:r w:rsidR="00265186" w:rsidRPr="00945ACC">
        <w:rPr>
          <w:color w:val="000000" w:themeColor="text1"/>
        </w:rPr>
        <w:t xml:space="preserve"> </w:t>
      </w:r>
      <w:r w:rsidR="00B16B40" w:rsidRPr="00945ACC">
        <w:rPr>
          <w:color w:val="000000" w:themeColor="text1"/>
        </w:rPr>
        <w:t xml:space="preserve">parents, partner, friends) that each respondent experienced with the people they were living with. Participants rated how good the relationship with each cohabitant was: -3 “not good all”, -1 “okay”, 1 “quite good”, 3 “very good”. This score was then multiplied by a coefficient depending on the relationship type: 1 for partners, by 0.85 for parents, 0.70 for siblings, 0.55 for friends, 0.4 for relatives, 0.25 for housemates. The relationships scores of multiple cohabitants were then averaged per each respondent. Respondents who were living alone were given a score of 0, equal to having neutral relationships. The Workload (WL) was computed to measure the workload in each Phase, from not employed to working full time, and was rated from 0 to 2. The Changes in Workload (CW) is the measure of how much the workload changed compared to before the lockdown, and it was rated from -1.5 to 0.5, with 0 indicating no change in workload. </w:t>
      </w:r>
    </w:p>
    <w:p w14:paraId="5370487C" w14:textId="77777777" w:rsidR="00874399" w:rsidRPr="00945ACC" w:rsidRDefault="00B16B40">
      <w:pPr>
        <w:pStyle w:val="Titolo2"/>
        <w:rPr>
          <w:rFonts w:ascii="Arial" w:eastAsia="Arial" w:hAnsi="Arial" w:cs="Arial"/>
        </w:rPr>
      </w:pPr>
      <w:r w:rsidRPr="00945ACC">
        <w:t>2.3 Statistical analyses</w:t>
      </w:r>
    </w:p>
    <w:p w14:paraId="1599B097" w14:textId="6F0E6392" w:rsidR="00874399" w:rsidRPr="00945ACC" w:rsidRDefault="00874A1B">
      <w:pPr>
        <w:jc w:val="both"/>
        <w:rPr>
          <w:color w:val="000000" w:themeColor="text1"/>
        </w:rPr>
      </w:pPr>
      <w:r w:rsidRPr="00945ACC">
        <w:rPr>
          <w:color w:val="000000" w:themeColor="text1"/>
        </w:rPr>
        <w:t xml:space="preserve">Analyses were designed to test our predefined hypotheses that the </w:t>
      </w:r>
      <w:r w:rsidR="0051506D" w:rsidRPr="00945ACC">
        <w:rPr>
          <w:color w:val="000000" w:themeColor="text1"/>
        </w:rPr>
        <w:t>lockdown rigidity</w:t>
      </w:r>
      <w:r w:rsidRPr="00945ACC">
        <w:rPr>
          <w:color w:val="000000" w:themeColor="text1"/>
        </w:rPr>
        <w:t xml:space="preserve"> would influence emotional and social well-being and to investigate the effect of these cumulative factors on eating habits</w:t>
      </w:r>
      <w:r w:rsidR="00B16B40" w:rsidRPr="00945ACC">
        <w:rPr>
          <w:color w:val="000000" w:themeColor="text1"/>
        </w:rPr>
        <w:t xml:space="preserve">. Data </w:t>
      </w:r>
      <w:r w:rsidR="00A325E3" w:rsidRPr="00945ACC">
        <w:rPr>
          <w:color w:val="000000" w:themeColor="text1"/>
        </w:rPr>
        <w:t xml:space="preserve">were </w:t>
      </w:r>
      <w:r w:rsidR="00B16B40" w:rsidRPr="00945ACC">
        <w:rPr>
          <w:color w:val="000000" w:themeColor="text1"/>
        </w:rPr>
        <w:t xml:space="preserve">cleaned and </w:t>
      </w:r>
      <w:proofErr w:type="spellStart"/>
      <w:r w:rsidR="00B16B40" w:rsidRPr="00945ACC">
        <w:rPr>
          <w:color w:val="000000" w:themeColor="text1"/>
        </w:rPr>
        <w:t>analyzed</w:t>
      </w:r>
      <w:proofErr w:type="spellEnd"/>
      <w:r w:rsidR="00B16B40" w:rsidRPr="00945ACC">
        <w:rPr>
          <w:color w:val="000000" w:themeColor="text1"/>
        </w:rPr>
        <w:t xml:space="preserve"> using the software R </w:t>
      </w:r>
      <w:r w:rsidR="00B16B40" w:rsidRPr="00945ACC">
        <w:rPr>
          <w:color w:val="000000" w:themeColor="text1"/>
        </w:rPr>
        <w:fldChar w:fldCharType="begin" w:fldLock="1"/>
      </w:r>
      <w:r w:rsidR="00B16B40" w:rsidRPr="00945ACC">
        <w:rPr>
          <w:color w:val="000000" w:themeColor="text1"/>
        </w:rPr>
        <w:instrText>ADDIN CSL_CITATION {"citationItems":[{"id":"ITEM-1","itemData":{"author":[{"dropping-particle":"","family":"Team","given":"R Core","non-dropping-particle":"","parse-names":false,"suffix":""}],"edition":"3.4.3","id":"ITEM-1","issued":{"date-parts":[["2017"]]},"publisher":"R Foundation for Statistical Computing","publisher-place":"Vienna, Austria","title":"R: A language and environment for statistical computing","type":"article"},"uris":["http://www.mendeley.com/documents/?uuid=5c2a4b9c-5f5c-4b06-9a6a-4c053e4c7efe"]}],"mendeley":{"formattedCitation":"(Team, 2017)","plainTextFormattedCitation":"(Team, 2017)","previouslyFormattedCitation":"(Team, 2017)"},"properties":{"noteIndex":0},"schema":"https://github.com/citation-style-language/schema/raw/master/csl-citation.json"}</w:instrText>
      </w:r>
      <w:r w:rsidR="00B16B40" w:rsidRPr="00945ACC">
        <w:rPr>
          <w:color w:val="000000" w:themeColor="text1"/>
        </w:rPr>
        <w:fldChar w:fldCharType="separate"/>
      </w:r>
      <w:r w:rsidR="00B16B40" w:rsidRPr="00945ACC">
        <w:rPr>
          <w:noProof/>
          <w:color w:val="000000" w:themeColor="text1"/>
        </w:rPr>
        <w:t>(Team, 2017)</w:t>
      </w:r>
      <w:r w:rsidR="00B16B40" w:rsidRPr="00945ACC">
        <w:rPr>
          <w:color w:val="000000" w:themeColor="text1"/>
        </w:rPr>
        <w:fldChar w:fldCharType="end"/>
      </w:r>
      <w:r w:rsidR="00B16B40" w:rsidRPr="00945ACC">
        <w:rPr>
          <w:color w:val="000000" w:themeColor="text1"/>
        </w:rPr>
        <w:t xml:space="preserve">. All continuous variables were </w:t>
      </w:r>
      <w:proofErr w:type="spellStart"/>
      <w:r w:rsidR="00B16B40" w:rsidRPr="00945ACC">
        <w:rPr>
          <w:color w:val="000000" w:themeColor="text1"/>
        </w:rPr>
        <w:t>centered</w:t>
      </w:r>
      <w:proofErr w:type="spellEnd"/>
      <w:r w:rsidR="00B16B40" w:rsidRPr="00945ACC">
        <w:rPr>
          <w:color w:val="000000" w:themeColor="text1"/>
        </w:rPr>
        <w:t xml:space="preserve"> and scaled, and participants who deviated more than 4 standard deviations from the mean of any continuous predictor were removed from the sample (N=</w:t>
      </w:r>
      <w:r w:rsidR="00B35674" w:rsidRPr="00945ACC">
        <w:rPr>
          <w:color w:val="000000" w:themeColor="text1"/>
        </w:rPr>
        <w:t>5</w:t>
      </w:r>
      <w:r w:rsidR="00B16B40" w:rsidRPr="00945ACC">
        <w:rPr>
          <w:color w:val="000000" w:themeColor="text1"/>
        </w:rPr>
        <w:t xml:space="preserve">). The final sample was constituted </w:t>
      </w:r>
      <w:r w:rsidR="00912DD3" w:rsidRPr="00945ACC">
        <w:rPr>
          <w:color w:val="000000" w:themeColor="text1"/>
        </w:rPr>
        <w:t xml:space="preserve">of </w:t>
      </w:r>
      <w:r w:rsidR="00B16B40" w:rsidRPr="00945ACC">
        <w:rPr>
          <w:color w:val="000000" w:themeColor="text1"/>
        </w:rPr>
        <w:t>365 participants</w:t>
      </w:r>
      <w:r w:rsidR="00F142E6" w:rsidRPr="00945ACC">
        <w:rPr>
          <w:color w:val="000000" w:themeColor="text1"/>
        </w:rPr>
        <w:t>, having excluded any participant with a current or past eating disorder</w:t>
      </w:r>
      <w:r w:rsidR="00B16B40" w:rsidRPr="00945ACC">
        <w:rPr>
          <w:color w:val="000000" w:themeColor="text1"/>
        </w:rPr>
        <w:t xml:space="preserve">. A second database that included only participants who had or had had a self-reported eating disorder (N=35) was created, to conduct separate additional analyses (reported in the supplementary </w:t>
      </w:r>
      <w:r w:rsidR="0098722C" w:rsidRPr="00945ACC">
        <w:rPr>
          <w:color w:val="000000" w:themeColor="text1"/>
        </w:rPr>
        <w:t>results</w:t>
      </w:r>
      <w:r w:rsidR="00B16B40" w:rsidRPr="00945ACC">
        <w:rPr>
          <w:color w:val="000000" w:themeColor="text1"/>
        </w:rPr>
        <w:t>).</w:t>
      </w:r>
    </w:p>
    <w:p w14:paraId="441847C7" w14:textId="3DA7DEB5" w:rsidR="00874399" w:rsidRPr="00945ACC" w:rsidRDefault="00B16B40" w:rsidP="00475CDB">
      <w:pPr>
        <w:rPr>
          <w:color w:val="000000" w:themeColor="text1"/>
        </w:rPr>
      </w:pPr>
      <w:r w:rsidRPr="00945ACC">
        <w:rPr>
          <w:color w:val="000000" w:themeColor="text1"/>
        </w:rPr>
        <w:t xml:space="preserve">Descriptive analyses on the experimental measures were run using t-tests (stats package; R Core Team, 2017). The </w:t>
      </w:r>
      <w:r w:rsidR="00537AB0" w:rsidRPr="00945ACC">
        <w:rPr>
          <w:color w:val="000000" w:themeColor="text1"/>
        </w:rPr>
        <w:t xml:space="preserve">DEBQ </w:t>
      </w:r>
      <w:r w:rsidRPr="00945ACC">
        <w:rPr>
          <w:color w:val="000000" w:themeColor="text1"/>
        </w:rPr>
        <w:t xml:space="preserve">emotional eating and BEDS-7 scales were investigated through two separate linear </w:t>
      </w:r>
      <w:r w:rsidRPr="00945ACC">
        <w:rPr>
          <w:color w:val="000000" w:themeColor="text1"/>
        </w:rPr>
        <w:lastRenderedPageBreak/>
        <w:t>mixed models (LMMs) with the same predictors. LMMs were computed using the “</w:t>
      </w:r>
      <w:proofErr w:type="spellStart"/>
      <w:r w:rsidRPr="00945ACC">
        <w:rPr>
          <w:color w:val="000000" w:themeColor="text1"/>
        </w:rPr>
        <w:t>lmer</w:t>
      </w:r>
      <w:proofErr w:type="spellEnd"/>
      <w:r w:rsidRPr="00945ACC">
        <w:rPr>
          <w:color w:val="000000" w:themeColor="text1"/>
        </w:rPr>
        <w:t xml:space="preserve">” function (lme4 package, </w:t>
      </w:r>
      <w:r w:rsidRPr="00945ACC">
        <w:rPr>
          <w:color w:val="000000" w:themeColor="text1"/>
        </w:rPr>
        <w:fldChar w:fldCharType="begin" w:fldLock="1"/>
      </w:r>
      <w:r w:rsidRPr="00945ACC">
        <w:rPr>
          <w:color w:val="000000" w:themeColor="text1"/>
        </w:rPr>
        <w:instrText>ADDIN CSL_CITATION {"citationItems":[{"id":"ITEM-1","itemData":{"DOI":"10.18637/jss.v067.i01","author":[{"dropping-particle":"","family":"Bates","given":"Douglas","non-dropping-particle":"","parse-names":false,"suffix":""},{"dropping-particle":"","family":"Mächler","given":"Martin","non-dropping-particle":"","parse-names":false,"suffix":""},{"dropping-particle":"","family":"Bolker","given":"Ben","non-dropping-particle":"","parse-names":false,"suffix":""},{"dropping-particle":"","family":"Walker","given":"Steve","non-dropping-particle":"","parse-names":false,"suffix":""}],"container-title":"Journal of Statistical Software","id":"ITEM-1","issue":"1","issued":{"date-parts":[["2015"]]},"page":"1-48","title":"Fitting Linear Mixed-Effects Models Using {lme4}","type":"article-journal","volume":"67"},"uris":["http://www.mendeley.com/documents/?uuid=2c773e15-746c-41a1-9632-943768c64d91"]}],"mendeley":{"formattedCitation":"(Bates, Mächler, Bolker, &amp; Walker, 2015)","manualFormatting":"Bates, Mächler, Bolker, &amp; Walker, 2015)","plainTextFormattedCitation":"(Bates, Mächler, Bolker, &amp; Walker, 2015)","previouslyFormattedCitation":"(Bates, Mächler, Bolker, &amp; Walker, 2015)"},"properties":{"noteIndex":0},"schema":"https://github.com/citation-style-language/schema/raw/master/csl-citation.json"}</w:instrText>
      </w:r>
      <w:r w:rsidRPr="00945ACC">
        <w:rPr>
          <w:color w:val="000000" w:themeColor="text1"/>
        </w:rPr>
        <w:fldChar w:fldCharType="separate"/>
      </w:r>
      <w:r w:rsidRPr="00945ACC">
        <w:rPr>
          <w:noProof/>
          <w:color w:val="000000" w:themeColor="text1"/>
        </w:rPr>
        <w:t>Bates, Mächler, Bolker, &amp; Walker, 2015)</w:t>
      </w:r>
      <w:r w:rsidRPr="00945ACC">
        <w:rPr>
          <w:color w:val="000000" w:themeColor="text1"/>
        </w:rPr>
        <w:fldChar w:fldCharType="end"/>
      </w:r>
      <w:r w:rsidRPr="00945ACC">
        <w:rPr>
          <w:color w:val="000000" w:themeColor="text1"/>
        </w:rPr>
        <w:t xml:space="preserve"> and explored using the </w:t>
      </w:r>
      <w:proofErr w:type="spellStart"/>
      <w:r w:rsidRPr="00945ACC">
        <w:rPr>
          <w:color w:val="000000" w:themeColor="text1"/>
        </w:rPr>
        <w:t>Anova</w:t>
      </w:r>
      <w:proofErr w:type="spellEnd"/>
      <w:r w:rsidRPr="00945ACC">
        <w:rPr>
          <w:color w:val="000000" w:themeColor="text1"/>
        </w:rPr>
        <w:t xml:space="preserve"> function type 3 of the car package </w:t>
      </w:r>
      <w:r w:rsidRPr="00945ACC">
        <w:rPr>
          <w:color w:val="000000" w:themeColor="text1"/>
        </w:rPr>
        <w:fldChar w:fldCharType="begin" w:fldLock="1"/>
      </w:r>
      <w:r w:rsidRPr="00945ACC">
        <w:rPr>
          <w:color w:val="000000" w:themeColor="text1"/>
        </w:rPr>
        <w:instrText>ADDIN CSL_CITATION {"citationItems":[{"id":"ITEM-1","itemData":{"author":[{"dropping-particle":"","family":"Fox","given":"John","non-dropping-particle":"","parse-names":false,"suffix":""},{"dropping-particle":"","family":"Weisberg","given":"Sanford","non-dropping-particle":"","parse-names":false,"suffix":""},{"dropping-particle":"","family":"Price","given":"Brad","non-dropping-particle":"","parse-names":false,"suffix":""}],"id":"ITEM-1","issued":{"date-parts":[["2019"]]},"note":"R package version 3.0-3","title":"carData: Companion to Applied Regression Data Sets","type":"article"},"uris":["http://www.mendeley.com/documents/?uuid=ed853638-ef7d-4733-9587-3ea0f0ae447a"]}],"mendeley":{"formattedCitation":"(Fox, Weisberg, &amp; Price, 2019)","plainTextFormattedCitation":"(Fox, Weisberg, &amp; Price, 2019)","previouslyFormattedCitation":"(Fox, Weisberg, &amp; Price, 2019)"},"properties":{"noteIndex":0},"schema":"https://github.com/citation-style-language/schema/raw/master/csl-citation.json"}</w:instrText>
      </w:r>
      <w:r w:rsidRPr="00945ACC">
        <w:rPr>
          <w:color w:val="000000" w:themeColor="text1"/>
        </w:rPr>
        <w:fldChar w:fldCharType="separate"/>
      </w:r>
      <w:r w:rsidRPr="00945ACC">
        <w:rPr>
          <w:noProof/>
          <w:color w:val="000000" w:themeColor="text1"/>
        </w:rPr>
        <w:t>(Fox, Weisberg, &amp; Price, 2019)</w:t>
      </w:r>
      <w:r w:rsidRPr="00945ACC">
        <w:rPr>
          <w:color w:val="000000" w:themeColor="text1"/>
        </w:rPr>
        <w:fldChar w:fldCharType="end"/>
      </w:r>
      <w:r w:rsidRPr="00945ACC">
        <w:rPr>
          <w:color w:val="000000" w:themeColor="text1"/>
        </w:rPr>
        <w:t xml:space="preserve">. Predictors consisted </w:t>
      </w:r>
      <w:r w:rsidR="00912DD3" w:rsidRPr="00945ACC">
        <w:rPr>
          <w:color w:val="000000" w:themeColor="text1"/>
        </w:rPr>
        <w:t xml:space="preserve">of </w:t>
      </w:r>
      <w:r w:rsidRPr="00945ACC">
        <w:rPr>
          <w:color w:val="000000" w:themeColor="text1"/>
        </w:rPr>
        <w:t>four categories: the lockdown Phase (first or second), personal traits that did not vary with the lockdown, and emotional states and social variables during the two Phases of the lockdown. Personal traits included participants’ BMI</w:t>
      </w:r>
      <w:r w:rsidR="00E03173" w:rsidRPr="00945ACC">
        <w:rPr>
          <w:color w:val="000000" w:themeColor="text1"/>
        </w:rPr>
        <w:t xml:space="preserve"> </w:t>
      </w:r>
      <w:r w:rsidRPr="00945ACC">
        <w:rPr>
          <w:color w:val="000000" w:themeColor="text1"/>
        </w:rPr>
        <w:t>and TAS score</w:t>
      </w:r>
      <w:r w:rsidR="00912DD3" w:rsidRPr="00945ACC">
        <w:rPr>
          <w:color w:val="000000" w:themeColor="text1"/>
        </w:rPr>
        <w:t>s</w:t>
      </w:r>
      <w:r w:rsidRPr="00945ACC">
        <w:rPr>
          <w:color w:val="000000" w:themeColor="text1"/>
        </w:rPr>
        <w:t>. Emotional variables included the GAD, PHQ</w:t>
      </w:r>
      <w:r w:rsidR="00912DD3" w:rsidRPr="00945ACC">
        <w:rPr>
          <w:color w:val="000000" w:themeColor="text1"/>
        </w:rPr>
        <w:t xml:space="preserve">, </w:t>
      </w:r>
      <w:r w:rsidRPr="00945ACC">
        <w:rPr>
          <w:color w:val="000000" w:themeColor="text1"/>
        </w:rPr>
        <w:t>and PSS questionnaires scores. Social variables included the aggregated variables QL, QR, OC, WL,</w:t>
      </w:r>
      <w:r w:rsidR="00A325E3" w:rsidRPr="00945ACC">
        <w:rPr>
          <w:color w:val="000000" w:themeColor="text1"/>
        </w:rPr>
        <w:t xml:space="preserve"> </w:t>
      </w:r>
      <w:r w:rsidR="00912DD3" w:rsidRPr="00945ACC">
        <w:rPr>
          <w:color w:val="000000" w:themeColor="text1"/>
        </w:rPr>
        <w:t>and</w:t>
      </w:r>
      <w:r w:rsidRPr="00945ACC">
        <w:rPr>
          <w:color w:val="000000" w:themeColor="text1"/>
        </w:rPr>
        <w:t xml:space="preserve"> TO. To explore the interaction between personal, emotional, and social characteristics in influencing emotional eating and bingeing in the two Phases of the lockdown, each of these categories was put in interaction with the other categories. To avoid overly complicated and uninterpretable models, interactions between items of the same category were not computed, and only second-level interactions were entered into the models. A random intercept for participant ID was added to account for within-subject measures, and two further intercepts for sex and age were included in the initial models:</w:t>
      </w:r>
    </w:p>
    <w:p w14:paraId="72867C99" w14:textId="77777777" w:rsidR="00874399" w:rsidRPr="00945ACC" w:rsidRDefault="00B16B40">
      <w:pPr>
        <w:rPr>
          <w:i/>
          <w:color w:val="000000" w:themeColor="text1"/>
        </w:rPr>
      </w:pPr>
      <w:r w:rsidRPr="00945ACC">
        <w:rPr>
          <w:i/>
          <w:color w:val="000000" w:themeColor="text1"/>
        </w:rPr>
        <w:t>~ Phase * (BMI + TAS-20) + Phase * (GAD + PSS + PHQ) + Phase * (QL + QR + WL + CW + TO) + (BMI + TAS-20) * (GAD + PSS + PHQ) + (BMI + TAS-20) * (QL + QR + WL + CW + TO) + (GAD + PSS + PHQ) * (QL + QR + WL + CW + TO) + (1|ID) + (1|Gender) + (1|Age)</w:t>
      </w:r>
    </w:p>
    <w:p w14:paraId="2C66FB96" w14:textId="3A867FC6" w:rsidR="00874399" w:rsidRPr="00945ACC" w:rsidRDefault="00B16B40" w:rsidP="00475CDB">
      <w:pPr>
        <w:rPr>
          <w:color w:val="000000" w:themeColor="text1"/>
        </w:rPr>
      </w:pPr>
      <w:r w:rsidRPr="00945ACC">
        <w:rPr>
          <w:color w:val="000000" w:themeColor="text1"/>
        </w:rPr>
        <w:t>To ensure that each random intercept and each personal trait, emotional states</w:t>
      </w:r>
      <w:r w:rsidR="00457252" w:rsidRPr="00945ACC">
        <w:rPr>
          <w:color w:val="000000" w:themeColor="text1"/>
        </w:rPr>
        <w:t>,</w:t>
      </w:r>
      <w:r w:rsidRPr="00945ACC">
        <w:rPr>
          <w:color w:val="000000" w:themeColor="text1"/>
        </w:rPr>
        <w:t xml:space="preserve"> and social predictor measure improved the models’ fit, one factor at a time was removed from the model, and the resulting model was compared with the initial one on the basis of the AIC criterion </w:t>
      </w:r>
      <w:r w:rsidRPr="00945ACC">
        <w:rPr>
          <w:color w:val="000000" w:themeColor="text1"/>
        </w:rPr>
        <w:fldChar w:fldCharType="begin" w:fldLock="1"/>
      </w:r>
      <w:r w:rsidRPr="00945ACC">
        <w:rPr>
          <w:color w:val="000000" w:themeColor="text1"/>
        </w:rPr>
        <w:instrText>ADDIN CSL_CITATION {"citationItems":[{"id":"ITEM-1","itemData":{"ISSN":"0169-5347","author":[{"dropping-particle":"","family":"Bolker","given":"Benjamin M","non-dropping-particle":"","parse-names":false,"suffix":""},{"dropping-particle":"","family":"Brooks","given":"Mollie E","non-dropping-particle":"","parse-names":false,"suffix":""},{"dropping-particle":"","family":"Clark","given":"Connie J","non-dropping-particle":"","parse-names":false,"suffix":""},{"dropping-particle":"","family":"Geange","given":"Shane W","non-dropping-particle":"","parse-names":false,"suffix":""},{"dropping-particle":"","family":"Poulsen","given":"John R","non-dropping-particle":"","parse-names":false,"suffix":""},{"dropping-particle":"","family":"Stevens","given":"M Henry H","non-dropping-particle":"","parse-names":false,"suffix":""},{"dropping-particle":"","family":"White","given":"Jada-Simone S","non-dropping-particle":"","parse-names":false,"suffix":""}],"container-title":"Trends in ecology &amp; evolution","id":"ITEM-1","issue":"3","issued":{"date-parts":[["2009"]]},"page":"127-135","publisher":"Elsevier","title":"Generalized linear mixed models: a practical guide for ecology and evolution","type":"article-journal","volume":"24"},"uris":["http://www.mendeley.com/documents/?uuid=e1817a23-82ed-4211-8cdf-c4f9650b4444"]}],"mendeley":{"formattedCitation":"(Bolker et al., 2009)","plainTextFormattedCitation":"(Bolker et al., 2009)","previouslyFormattedCitation":"(Bolker et al., 2009)"},"properties":{"noteIndex":0},"schema":"https://github.com/citation-style-language/schema/raw/master/csl-citation.json"}</w:instrText>
      </w:r>
      <w:r w:rsidRPr="00945ACC">
        <w:rPr>
          <w:color w:val="000000" w:themeColor="text1"/>
        </w:rPr>
        <w:fldChar w:fldCharType="separate"/>
      </w:r>
      <w:r w:rsidRPr="00945ACC">
        <w:rPr>
          <w:noProof/>
          <w:color w:val="000000" w:themeColor="text1"/>
        </w:rPr>
        <w:t>(Bolker et al., 2009)</w:t>
      </w:r>
      <w:r w:rsidRPr="00945ACC">
        <w:rPr>
          <w:color w:val="000000" w:themeColor="text1"/>
        </w:rPr>
        <w:fldChar w:fldCharType="end"/>
      </w:r>
      <w:r w:rsidRPr="00945ACC">
        <w:rPr>
          <w:color w:val="000000" w:themeColor="text1"/>
        </w:rPr>
        <w:t>, using the “</w:t>
      </w:r>
      <w:proofErr w:type="spellStart"/>
      <w:r w:rsidRPr="00945ACC">
        <w:rPr>
          <w:color w:val="000000" w:themeColor="text1"/>
        </w:rPr>
        <w:t>anova</w:t>
      </w:r>
      <w:proofErr w:type="spellEnd"/>
      <w:r w:rsidRPr="00945ACC">
        <w:rPr>
          <w:color w:val="000000" w:themeColor="text1"/>
        </w:rPr>
        <w:t>” function (</w:t>
      </w:r>
      <w:proofErr w:type="spellStart"/>
      <w:r w:rsidRPr="00945ACC">
        <w:rPr>
          <w:color w:val="000000" w:themeColor="text1"/>
        </w:rPr>
        <w:t>lmerTest</w:t>
      </w:r>
      <w:proofErr w:type="spellEnd"/>
      <w:r w:rsidRPr="00945ACC">
        <w:rPr>
          <w:color w:val="000000" w:themeColor="text1"/>
        </w:rPr>
        <w:t xml:space="preserve"> package, </w:t>
      </w:r>
      <w:r w:rsidRPr="00945ACC">
        <w:rPr>
          <w:color w:val="000000" w:themeColor="text1"/>
        </w:rPr>
        <w:fldChar w:fldCharType="begin" w:fldLock="1"/>
      </w:r>
      <w:r w:rsidRPr="00945ACC">
        <w:rPr>
          <w:color w:val="000000" w:themeColor="text1"/>
        </w:rPr>
        <w:instrText>ADDIN CSL_CITATION {"citationItems":[{"id":"ITEM-1","itemData":{"DOI":"10.18637/jss.v082.i13","author":[{"dropping-particle":"","family":"Kuznetsova","given":"Aleksandra","non-dropping-particle":"","parse-names":false,"suffix":""},{"dropping-particle":"","family":"Brockhoff","given":"Per B","non-dropping-particle":"","parse-names":false,"suffix":""},{"dropping-particle":"","family":"Christensen","given":"Rune H B","non-dropping-particle":"","parse-names":false,"suffix":""}],"container-title":"Journal of Statistical Software","id":"ITEM-1","issue":"13","issued":{"date-parts":[["2017","10","15"]]},"language":"en-US","title":"lmerTest Package: Tests in Linear Mixed Effects Models","type":"article-journal","volume":"82"},"uris":["http://www.mendeley.com/documents/?uuid=fe338f67-a4a8-4ce0-a9b2-066b2d895cc1"]}],"mendeley":{"formattedCitation":"(Kuznetsova, Brockhoff, &amp; Christensen, 2017)","manualFormatting":"Kuznetsova, Brockhoff, &amp; Christensen, 2017)","plainTextFormattedCitation":"(Kuznetsova, Brockhoff, &amp; Christensen, 2017)","previouslyFormattedCitation":"(Kuznetsova, Brockhoff, &amp; Christensen, 2017)"},"properties":{"noteIndex":0},"schema":"https://github.com/citation-style-language/schema/raw/master/csl-citation.json"}</w:instrText>
      </w:r>
      <w:r w:rsidRPr="00945ACC">
        <w:rPr>
          <w:color w:val="000000" w:themeColor="text1"/>
        </w:rPr>
        <w:fldChar w:fldCharType="separate"/>
      </w:r>
      <w:r w:rsidRPr="00945ACC">
        <w:rPr>
          <w:noProof/>
          <w:color w:val="000000" w:themeColor="text1"/>
        </w:rPr>
        <w:t>Kuznetsova, Brockhoff, &amp; Christensen, 2017)</w:t>
      </w:r>
      <w:r w:rsidRPr="00945ACC">
        <w:rPr>
          <w:color w:val="000000" w:themeColor="text1"/>
        </w:rPr>
        <w:fldChar w:fldCharType="end"/>
      </w:r>
      <w:r w:rsidRPr="00945ACC">
        <w:rPr>
          <w:color w:val="000000" w:themeColor="text1"/>
        </w:rPr>
        <w:t xml:space="preserve">. The random intercept for participant ID was always kept in the models to ensure the correct computation of within-subject measures. Factors that did not significantly improve the model’s fit were removed, starting with the ones with the highest </w:t>
      </w:r>
      <w:r w:rsidRPr="00945ACC">
        <w:rPr>
          <w:i/>
          <w:color w:val="000000" w:themeColor="text1"/>
        </w:rPr>
        <w:t>p</w:t>
      </w:r>
      <w:r w:rsidRPr="00945ACC">
        <w:rPr>
          <w:color w:val="000000" w:themeColor="text1"/>
        </w:rPr>
        <w:t xml:space="preserve"> value (indicating the lowest chance that the factor improved the model’s fit) and repeating the procedure until all the factors included in the models significantly improved their fit. Post-hoc tests of interactions that included categorical factors were corrected using </w:t>
      </w:r>
      <w:proofErr w:type="spellStart"/>
      <w:r w:rsidRPr="00945ACC">
        <w:rPr>
          <w:color w:val="000000" w:themeColor="text1"/>
        </w:rPr>
        <w:t>Benjamini</w:t>
      </w:r>
      <w:proofErr w:type="spellEnd"/>
      <w:r w:rsidRPr="00945ACC">
        <w:rPr>
          <w:color w:val="000000" w:themeColor="text1"/>
        </w:rPr>
        <w:t xml:space="preserve"> &amp; Hochberg’s False Discovery Rate method </w:t>
      </w:r>
      <w:r w:rsidRPr="00945ACC">
        <w:rPr>
          <w:color w:val="000000" w:themeColor="text1"/>
        </w:rPr>
        <w:fldChar w:fldCharType="begin" w:fldLock="1"/>
      </w:r>
      <w:r w:rsidRPr="00945ACC">
        <w:rPr>
          <w:color w:val="000000" w:themeColor="text1"/>
        </w:rPr>
        <w:instrText>ADDIN CSL_CITATION {"citationItems":[{"id":"ITEM-1","itemData":{"ISSN":"0035-9246","abstract":"[The common approach to the multiplicity problem calls for controlling the familywise error rate (FWER). This approach, though, has faults, and we point out a few. A different approach to problems of multiple significance testing is presented. It calls for controlling the expected proportion of falsely rejected hypotheses-the false discovery rate. This error rate is equivalent to the FWER when all hypotheses are true but is smaller otherwise. Therefore, in problems where the control of the false discovery rate rather than that of the FWER is desired, there is potential for a gain in power. A simple sequential Bonferroni-type procedure is proved to control the false discovery rate for independent test statistics, and a simulation study shows that the gain in power is substantial. The use of the new procedure and the appropriateness of the criterion are illustrated with examples.]","author":[{"dropping-particle":"","family":"Benjamini","given":"Yoav","non-dropping-particle":"","parse-names":false,"suffix":""},{"dropping-particle":"","family":"Hochberg","given":"Yosef","non-dropping-particle":"","parse-names":false,"suffix":""}],"container-title":"Journal of the Royal Statistical Society. Series B (Methodological)","id":"ITEM-1","issue":"1","issued":{"date-parts":[["1995","4","29"]]},"page":"289-300","title":"Controlling the False Discovery Rate: A Practical and Powerful Approach to Multiple Testing","type":"article-journal","volume":"57"},"uris":["http://www.mendeley.com/documents/?uuid=5e91ab45-e4da-47e5-9323-accdf874d3b1"]}],"mendeley":{"formattedCitation":"(Benjamini &amp; Hochberg, 1995)","plainTextFormattedCitation":"(Benjamini &amp; Hochberg, 1995)","previouslyFormattedCitation":"(Benjamini &amp; Hochberg, 1995)"},"properties":{"noteIndex":0},"schema":"https://github.com/citation-style-language/schema/raw/master/csl-citation.json"}</w:instrText>
      </w:r>
      <w:r w:rsidRPr="00945ACC">
        <w:rPr>
          <w:color w:val="000000" w:themeColor="text1"/>
        </w:rPr>
        <w:fldChar w:fldCharType="separate"/>
      </w:r>
      <w:r w:rsidRPr="00945ACC">
        <w:rPr>
          <w:noProof/>
          <w:color w:val="000000" w:themeColor="text1"/>
        </w:rPr>
        <w:t>(Benjamini &amp; Hochberg, 1995)</w:t>
      </w:r>
      <w:r w:rsidRPr="00945ACC">
        <w:rPr>
          <w:color w:val="000000" w:themeColor="text1"/>
        </w:rPr>
        <w:fldChar w:fldCharType="end"/>
      </w:r>
      <w:r w:rsidRPr="00945ACC">
        <w:rPr>
          <w:color w:val="000000" w:themeColor="text1"/>
        </w:rPr>
        <w:t xml:space="preserve">, and interactions including </w:t>
      </w:r>
      <w:r w:rsidRPr="00945ACC">
        <w:rPr>
          <w:color w:val="000000" w:themeColor="text1"/>
        </w:rPr>
        <w:lastRenderedPageBreak/>
        <w:t xml:space="preserve">continuous factors were </w:t>
      </w:r>
      <w:proofErr w:type="spellStart"/>
      <w:r w:rsidRPr="00945ACC">
        <w:rPr>
          <w:color w:val="000000" w:themeColor="text1"/>
        </w:rPr>
        <w:t>analyzed</w:t>
      </w:r>
      <w:proofErr w:type="spellEnd"/>
      <w:r w:rsidRPr="00945ACC">
        <w:rPr>
          <w:color w:val="000000" w:themeColor="text1"/>
        </w:rPr>
        <w:t xml:space="preserve"> according to Aiken &amp; West’s method </w:t>
      </w:r>
      <w:r w:rsidRPr="00945ACC">
        <w:rPr>
          <w:color w:val="000000" w:themeColor="text1"/>
        </w:rPr>
        <w:fldChar w:fldCharType="begin" w:fldLock="1"/>
      </w:r>
      <w:r w:rsidRPr="00945ACC">
        <w:rPr>
          <w:color w:val="000000" w:themeColor="text1"/>
        </w:rPr>
        <w:instrText>ADDIN CSL_CITATION {"citationItems":[{"id":"ITEM-1","itemData":{"ISBN":"0761907122","author":[{"dropping-particle":"","family":"Aiken","given":"Leona S","non-dropping-particle":"","parse-names":false,"suffix":""},{"dropping-particle":"","family":"West","given":"Stephen G","non-dropping-particle":"","parse-names":false,"suffix":""},{"dropping-particle":"","family":"Reno","given":"Raymond R","non-dropping-particle":"","parse-names":false,"suffix":""}],"id":"ITEM-1","issued":{"date-parts":[["1991"]]},"publisher":"Sage","title":"Multiple regression: Testing and interpreting interactions","type":"book"},"uris":["http://www.mendeley.com/documents/?uuid=a2508ce9-f16a-4ef3-aebe-7e3ca80cf14b"]}],"mendeley":{"formattedCitation":"(Aiken, West, &amp; Reno, 1991)","plainTextFormattedCitation":"(Aiken, West, &amp; Reno, 1991)","previouslyFormattedCitation":"(Aiken, West, &amp; Reno, 1991)"},"properties":{"noteIndex":0},"schema":"https://github.com/citation-style-language/schema/raw/master/csl-citation.json"}</w:instrText>
      </w:r>
      <w:r w:rsidRPr="00945ACC">
        <w:rPr>
          <w:color w:val="000000" w:themeColor="text1"/>
        </w:rPr>
        <w:fldChar w:fldCharType="separate"/>
      </w:r>
      <w:r w:rsidRPr="00945ACC">
        <w:rPr>
          <w:noProof/>
          <w:color w:val="000000" w:themeColor="text1"/>
        </w:rPr>
        <w:t>(Aiken, West, &amp; Reno, 1991)</w:t>
      </w:r>
      <w:r w:rsidRPr="00945ACC">
        <w:rPr>
          <w:color w:val="000000" w:themeColor="text1"/>
        </w:rPr>
        <w:fldChar w:fldCharType="end"/>
      </w:r>
      <w:r w:rsidRPr="00945ACC">
        <w:rPr>
          <w:color w:val="000000" w:themeColor="text1"/>
        </w:rPr>
        <w:t>. The same procedures were used in the supplementary analysis run on the eating disorders dataset.</w:t>
      </w:r>
    </w:p>
    <w:p w14:paraId="05CE62AB" w14:textId="77777777" w:rsidR="00874399" w:rsidRPr="00945ACC" w:rsidRDefault="00B16B40" w:rsidP="00FA3F56">
      <w:pPr>
        <w:pStyle w:val="Titolo1"/>
        <w:numPr>
          <w:ilvl w:val="0"/>
          <w:numId w:val="2"/>
        </w:numPr>
      </w:pPr>
      <w:r w:rsidRPr="00945ACC">
        <w:t>Results</w:t>
      </w:r>
    </w:p>
    <w:p w14:paraId="59ABDDF0" w14:textId="6480E561" w:rsidR="00874399" w:rsidRPr="00945ACC" w:rsidRDefault="00B16B40">
      <w:pPr>
        <w:pStyle w:val="Titolo2"/>
      </w:pPr>
      <w:bookmarkStart w:id="1" w:name="_heading=h.f1csip1aprok" w:colFirst="0" w:colLast="0"/>
      <w:bookmarkEnd w:id="1"/>
      <w:r w:rsidRPr="00945ACC">
        <w:t xml:space="preserve">3.1. </w:t>
      </w:r>
      <w:r w:rsidR="00265186" w:rsidRPr="00945ACC">
        <w:t xml:space="preserve"> Sample characteristics</w:t>
      </w:r>
    </w:p>
    <w:p w14:paraId="316E1349" w14:textId="71C14DAB" w:rsidR="00874399" w:rsidRDefault="0034789B" w:rsidP="00475CDB">
      <w:pPr>
        <w:rPr>
          <w:color w:val="000000" w:themeColor="text1"/>
        </w:rPr>
      </w:pPr>
      <w:r w:rsidRPr="00945ACC">
        <w:rPr>
          <w:color w:val="000000" w:themeColor="text1"/>
        </w:rPr>
        <w:t>The main sample</w:t>
      </w:r>
      <w:r w:rsidR="0092001B" w:rsidRPr="00945ACC">
        <w:rPr>
          <w:color w:val="000000" w:themeColor="text1"/>
        </w:rPr>
        <w:t xml:space="preserve"> (n = 365)</w:t>
      </w:r>
      <w:r w:rsidRPr="00945ACC">
        <w:rPr>
          <w:color w:val="000000" w:themeColor="text1"/>
        </w:rPr>
        <w:t xml:space="preserve"> included only respondents who declared not having a current or past eating disorder. </w:t>
      </w:r>
      <w:r w:rsidR="00332135" w:rsidRPr="00945ACC">
        <w:rPr>
          <w:color w:val="000000" w:themeColor="text1"/>
        </w:rPr>
        <w:t xml:space="preserve">See Table 1 for the </w:t>
      </w:r>
      <w:r w:rsidR="0092001B" w:rsidRPr="00945ACC">
        <w:rPr>
          <w:color w:val="000000" w:themeColor="text1"/>
        </w:rPr>
        <w:t xml:space="preserve">mean and standard deviations of demographic and psychological characteristics. </w:t>
      </w:r>
      <w:r w:rsidR="00B16B40" w:rsidRPr="00945ACC">
        <w:rPr>
          <w:color w:val="000000" w:themeColor="text1"/>
        </w:rPr>
        <w:t>Fifty-five participants reported that, before the lockdown, they had a part-time job, 166 that they had a full-time job, 106 reported to be students, and 39 that they were not employed (retired or unemployed). During the lockdown, the type of occupation slightly changed between Phase 1 and 2: in Phase 1, 280 respondents were home working or not working, 50 were employed at a desk job and not working from home, 23 were employed in public-facing jobs and 12 had jobs which put them in contact with COVID patients; in Phase 2, 221 were home working or not working, 96 were employed at a desk job and not working from home, 39 were employed in public-facing jobs and 9 had jobs that put them in contact with COVID patients. For the variables measured in the two Phases, we compared the mean, SD</w:t>
      </w:r>
      <w:r w:rsidR="00912DD3" w:rsidRPr="00945ACC">
        <w:rPr>
          <w:color w:val="000000" w:themeColor="text1"/>
        </w:rPr>
        <w:t>,</w:t>
      </w:r>
      <w:r w:rsidR="00B16B40" w:rsidRPr="00945ACC">
        <w:rPr>
          <w:color w:val="000000" w:themeColor="text1"/>
        </w:rPr>
        <w:t xml:space="preserve"> and cut-off for each Phase; see Table 1 and Figure 1 for these descriptive results. </w:t>
      </w:r>
      <w:r w:rsidR="00227BA2" w:rsidRPr="00945ACC">
        <w:rPr>
          <w:color w:val="000000" w:themeColor="text1"/>
        </w:rPr>
        <w:t xml:space="preserve">We then compared our data </w:t>
      </w:r>
      <w:r w:rsidR="007112F6" w:rsidRPr="00945ACC">
        <w:rPr>
          <w:color w:val="000000" w:themeColor="text1"/>
        </w:rPr>
        <w:t xml:space="preserve">on emotional eating </w:t>
      </w:r>
      <w:r w:rsidR="00227BA2" w:rsidRPr="00945ACC">
        <w:rPr>
          <w:color w:val="000000" w:themeColor="text1"/>
        </w:rPr>
        <w:t xml:space="preserve">with the normative data from </w:t>
      </w:r>
      <w:r w:rsidR="004A155E" w:rsidRPr="00945ACC">
        <w:rPr>
          <w:color w:val="000000" w:themeColor="text1"/>
        </w:rPr>
        <w:fldChar w:fldCharType="begin" w:fldLock="1"/>
      </w:r>
      <w:r w:rsidR="004A155E" w:rsidRPr="00945ACC">
        <w:rPr>
          <w:color w:val="000000" w:themeColor="text1"/>
        </w:rPr>
        <w:instrText>ADDIN CSL_CITATION {"citationItems":[{"id":"ITEM-1","itemData":{"ISSN":"0195-6663","author":[{"dropping-particle":"","family":"Dakanalis","given":"Antonios","non-dropping-particle":"","parse-names":false,"suffix":""},{"dropping-particle":"","family":"Zanetti","given":"M Assunta","non-dropping-particle":"","parse-names":false,"suffix":""},{"dropping-particle":"","family":"Clerici","given":"Massimo","non-dropping-particle":"","parse-names":false,"suffix":""},{"dropping-particle":"","family":"Madeddu","given":"Fabio","non-dropping-particle":"","parse-names":false,"suffix":""},{"dropping-particle":"","family":"Riva","given":"Giuseppe","non-dropping-particle":"","parse-names":false,"suffix":""},{"dropping-particle":"","family":"Caccialanza","given":"Riccardo","non-dropping-particle":"","parse-names":false,"suffix":""}],"container-title":"Appetite","id":"ITEM-1","issued":{"date-parts":[["2013"]]},"page":"187-195","publisher":"Elsevier","title":"Italian version of the Dutch Eating Behavior Questionnaire. Psychometric proprieties and measurement invariance across sex, BMI-status and age","type":"article-journal","volume":"71"},"uris":["http://www.mendeley.com/documents/?uuid=af4be4dc-12ae-43b8-bc93-eee1a381f0ab"]}],"mendeley":{"formattedCitation":"(Dakanalis et al., 2013)","manualFormatting":"Dakanalis et al. (2013","plainTextFormattedCitation":"(Dakanalis et al., 2013)"},"properties":{"noteIndex":0},"schema":"https://github.com/citation-style-language/schema/raw/master/csl-citation.json"}</w:instrText>
      </w:r>
      <w:r w:rsidR="004A155E" w:rsidRPr="00945ACC">
        <w:rPr>
          <w:color w:val="000000" w:themeColor="text1"/>
        </w:rPr>
        <w:fldChar w:fldCharType="separate"/>
      </w:r>
      <w:r w:rsidR="004A155E" w:rsidRPr="00945ACC">
        <w:rPr>
          <w:noProof/>
          <w:color w:val="000000" w:themeColor="text1"/>
        </w:rPr>
        <w:t>Dakanalis et al. (2013</w:t>
      </w:r>
      <w:r w:rsidR="004A155E" w:rsidRPr="00945ACC">
        <w:rPr>
          <w:color w:val="000000" w:themeColor="text1"/>
        </w:rPr>
        <w:fldChar w:fldCharType="end"/>
      </w:r>
      <w:r w:rsidR="007112F6" w:rsidRPr="00945ACC">
        <w:rPr>
          <w:color w:val="000000" w:themeColor="text1"/>
        </w:rPr>
        <w:t>; see Table 1</w:t>
      </w:r>
      <w:r w:rsidR="005F5697" w:rsidRPr="00945ACC">
        <w:rPr>
          <w:color w:val="000000" w:themeColor="text1"/>
        </w:rPr>
        <w:t xml:space="preserve">) </w:t>
      </w:r>
      <w:proofErr w:type="spellStart"/>
      <w:r w:rsidR="005F5697" w:rsidRPr="00945ACC">
        <w:rPr>
          <w:color w:val="000000" w:themeColor="text1"/>
        </w:rPr>
        <w:t>th</w:t>
      </w:r>
      <w:r w:rsidR="007112F6" w:rsidRPr="00945ACC">
        <w:rPr>
          <w:color w:val="000000" w:themeColor="text1"/>
        </w:rPr>
        <w:t>r</w:t>
      </w:r>
      <w:r w:rsidR="005F5697" w:rsidRPr="00945ACC">
        <w:rPr>
          <w:color w:val="000000" w:themeColor="text1"/>
        </w:rPr>
        <w:t>ough</w:t>
      </w:r>
      <w:r w:rsidR="007112F6" w:rsidRPr="00945ACC">
        <w:rPr>
          <w:color w:val="000000" w:themeColor="text1"/>
        </w:rPr>
        <w:t>t</w:t>
      </w:r>
      <w:proofErr w:type="spellEnd"/>
      <w:r w:rsidR="005F5697" w:rsidRPr="00945ACC">
        <w:rPr>
          <w:color w:val="000000" w:themeColor="text1"/>
        </w:rPr>
        <w:t xml:space="preserve"> </w:t>
      </w:r>
      <w:proofErr w:type="spellStart"/>
      <w:r w:rsidR="005F5697" w:rsidRPr="00945ACC">
        <w:rPr>
          <w:color w:val="000000" w:themeColor="text1"/>
        </w:rPr>
        <w:t>t.test</w:t>
      </w:r>
      <w:r w:rsidR="007112F6" w:rsidRPr="00945ACC">
        <w:rPr>
          <w:color w:val="000000" w:themeColor="text1"/>
        </w:rPr>
        <w:t>s</w:t>
      </w:r>
      <w:proofErr w:type="spellEnd"/>
      <w:r w:rsidR="007112F6" w:rsidRPr="00945ACC">
        <w:rPr>
          <w:color w:val="000000" w:themeColor="text1"/>
        </w:rPr>
        <w:t xml:space="preserve"> and found that emotional eating was significantly higher than normative data in Phase 1 [t(1282) = 7.85, p &lt; 0.001] but not in Phase 2 [t(1282) = -0.58, p = 0.562]. </w:t>
      </w:r>
      <w:r w:rsidR="004A155E" w:rsidRPr="00945ACC">
        <w:rPr>
          <w:color w:val="000000" w:themeColor="text1"/>
        </w:rPr>
        <w:t xml:space="preserve">We also compared the prevalence of binge eating in our data with the normative data </w:t>
      </w:r>
      <w:r w:rsidR="004A155E" w:rsidRPr="00945ACC">
        <w:rPr>
          <w:color w:val="000000" w:themeColor="text1"/>
        </w:rPr>
        <w:fldChar w:fldCharType="begin" w:fldLock="1"/>
      </w:r>
      <w:r w:rsidR="004A155E" w:rsidRPr="00945ACC">
        <w:rPr>
          <w:color w:val="000000" w:themeColor="text1"/>
        </w:rPr>
        <w:instrText>ADDIN CSL_CITATION {"citationItems":[{"id":"ITEM-1","itemData":{"ISSN":"0006-3223","author":[{"dropping-particle":"","family":"Kessler","given":"Ronald C","non-dropping-particle":"","parse-names":false,"suffix":""},{"dropping-particle":"","family":"Berglund","given":"Patricia A","non-dropping-particle":"","parse-names":false,"suffix":""},{"dropping-particle":"","family":"Chiu","given":"Wai Tat","non-dropping-particle":"","parse-names":false,"suffix":""},{"dropping-particle":"","family":"Deitz","given":"Anne C","non-dropping-particle":"","parse-names":false,"suffix":""},{"dropping-particle":"","family":"Hudson","given":"James I","non-dropping-particle":"","parse-names":false,"suffix":""},{"dropping-particle":"","family":"Shahly","given":"Victoria","non-dropping-particle":"","parse-names":false,"suffix":""},{"dropping-particle":"","family":"Aguilar-Gaxiola","given":"Sergio","non-dropping-particle":"","parse-names":false,"suffix":""},{"dropping-particle":"","family":"Alonso","given":"Jordi","non-dropping-particle":"","parse-names":false,"suffix":""},{"dropping-particle":"","family":"Angermeyer","given":"Matthias C","non-dropping-particle":"","parse-names":false,"suffix":""},{"dropping-particle":"","family":"Benjet","given":"Corina","non-dropping-particle":"","parse-names":false,"suffix":""}],"container-title":"Biological psychiatry","id":"ITEM-1","issue":"9","issued":{"date-parts":[["2013"]]},"page":"904-914","publisher":"Elsevier","title":"The prevalence and correlates of binge eating disorder in the World Health Organization World Mental Health Surveys","type":"article-journal","volume":"73"},"uris":["http://www.mendeley.com/documents/?uuid=65774d31-0afc-45e3-a12d-ea91e5c5bd1d"]}],"mendeley":{"formattedCitation":"(Kessler et al., 2013)","manualFormatting":"(Kessler et al., 2013; see Table 1)","plainTextFormattedCitation":"(Kessler et al., 2013)","previouslyFormattedCitation":"(Kessler et al., 2013)"},"properties":{"noteIndex":0},"schema":"https://github.com/citation-style-language/schema/raw/master/csl-citation.json"}</w:instrText>
      </w:r>
      <w:r w:rsidR="004A155E" w:rsidRPr="00945ACC">
        <w:rPr>
          <w:color w:val="000000" w:themeColor="text1"/>
        </w:rPr>
        <w:fldChar w:fldCharType="separate"/>
      </w:r>
      <w:r w:rsidR="004A155E" w:rsidRPr="00945ACC">
        <w:rPr>
          <w:noProof/>
          <w:color w:val="000000" w:themeColor="text1"/>
        </w:rPr>
        <w:t>(Kessler et al., 2013; see Table 1)</w:t>
      </w:r>
      <w:r w:rsidR="004A155E" w:rsidRPr="00945ACC">
        <w:rPr>
          <w:color w:val="000000" w:themeColor="text1"/>
        </w:rPr>
        <w:fldChar w:fldCharType="end"/>
      </w:r>
      <w:r w:rsidR="004A155E" w:rsidRPr="00945ACC">
        <w:rPr>
          <w:color w:val="000000" w:themeColor="text1"/>
        </w:rPr>
        <w:t xml:space="preserve"> and found a significantly higher prevalence of binge eating both in Phase 1 [χ</w:t>
      </w:r>
      <w:r w:rsidR="004A155E" w:rsidRPr="00945ACC">
        <w:rPr>
          <w:color w:val="000000" w:themeColor="text1"/>
          <w:vertAlign w:val="superscript"/>
        </w:rPr>
        <w:t>2</w:t>
      </w:r>
      <w:r w:rsidR="004A155E" w:rsidRPr="00945ACC">
        <w:rPr>
          <w:color w:val="000000" w:themeColor="text1"/>
        </w:rPr>
        <w:t xml:space="preserve"> (1) = 17.25, p &lt; 0.001] and in Phase 2 [χ</w:t>
      </w:r>
      <w:r w:rsidR="004A155E" w:rsidRPr="00945ACC">
        <w:rPr>
          <w:color w:val="000000" w:themeColor="text1"/>
          <w:vertAlign w:val="superscript"/>
        </w:rPr>
        <w:t>2</w:t>
      </w:r>
      <w:r w:rsidR="004A155E" w:rsidRPr="00945ACC">
        <w:rPr>
          <w:color w:val="000000" w:themeColor="text1"/>
        </w:rPr>
        <w:t xml:space="preserve"> (1) = 12.67, p &lt; 0.001]. </w:t>
      </w:r>
    </w:p>
    <w:p w14:paraId="1FCD8F5C" w14:textId="2C01882D" w:rsidR="00945ACC" w:rsidRDefault="00945ACC" w:rsidP="00475CDB">
      <w:pPr>
        <w:rPr>
          <w:color w:val="000000" w:themeColor="text1"/>
        </w:rPr>
      </w:pPr>
    </w:p>
    <w:p w14:paraId="51D1F253" w14:textId="7E4A3B08" w:rsidR="00945ACC" w:rsidRDefault="00945ACC" w:rsidP="00475CDB">
      <w:pPr>
        <w:rPr>
          <w:color w:val="000000" w:themeColor="text1"/>
        </w:rPr>
      </w:pPr>
    </w:p>
    <w:p w14:paraId="00C79CCB" w14:textId="77777777" w:rsidR="00945ACC" w:rsidRPr="00945ACC" w:rsidRDefault="00945ACC" w:rsidP="00475CDB">
      <w:pPr>
        <w:rPr>
          <w:color w:val="000000" w:themeColor="text1"/>
        </w:rPr>
      </w:pPr>
    </w:p>
    <w:p w14:paraId="50D122AB" w14:textId="04D6C708" w:rsidR="00945ACC" w:rsidRDefault="00945ACC" w:rsidP="00945ACC">
      <w:pPr>
        <w:spacing w:line="360" w:lineRule="auto"/>
        <w:rPr>
          <w:b/>
          <w:bCs/>
          <w:color w:val="000000" w:themeColor="text1"/>
        </w:rPr>
      </w:pPr>
      <w:r w:rsidRPr="00945ACC">
        <w:rPr>
          <w:b/>
          <w:bCs/>
          <w:color w:val="000000" w:themeColor="text1"/>
        </w:rPr>
        <w:lastRenderedPageBreak/>
        <w:t>Table 1. Mean and SD (Standard Deviation) of demographic and psychological variables of the main sample without participants reporting any current or past eating disorder. For PHQ and GAD, the percentages of participants above the cut-off for each Phase are reported.</w:t>
      </w:r>
    </w:p>
    <w:p w14:paraId="3E9E229F" w14:textId="77777777" w:rsidR="00945ACC" w:rsidRPr="00945ACC" w:rsidRDefault="00945ACC" w:rsidP="00945ACC">
      <w:pPr>
        <w:spacing w:line="360" w:lineRule="auto"/>
        <w:rPr>
          <w:b/>
          <w:bCs/>
          <w:color w:val="000000" w:themeColor="text1"/>
        </w:rPr>
      </w:pPr>
    </w:p>
    <w:tbl>
      <w:tblPr>
        <w:tblStyle w:val="a"/>
        <w:tblW w:w="8364"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694"/>
        <w:gridCol w:w="1691"/>
        <w:gridCol w:w="10"/>
        <w:gridCol w:w="1407"/>
        <w:gridCol w:w="2562"/>
      </w:tblGrid>
      <w:tr w:rsidR="00945ACC" w:rsidRPr="00945ACC" w14:paraId="016C6F70" w14:textId="77777777" w:rsidTr="00452C0C">
        <w:trPr>
          <w:trHeight w:val="170"/>
          <w:jc w:val="center"/>
        </w:trPr>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2BDBE8" w14:textId="77777777" w:rsidR="00945ACC" w:rsidRPr="00945ACC" w:rsidRDefault="00945ACC" w:rsidP="00945ACC">
            <w:pPr>
              <w:snapToGrid w:val="0"/>
              <w:spacing w:line="240" w:lineRule="auto"/>
              <w:contextualSpacing/>
              <w:rPr>
                <w:b/>
                <w:bCs/>
                <w:color w:val="000000" w:themeColor="text1"/>
              </w:rPr>
            </w:pPr>
            <w:r w:rsidRPr="00945ACC">
              <w:rPr>
                <w:b/>
                <w:bCs/>
                <w:color w:val="000000" w:themeColor="text1"/>
              </w:rPr>
              <w:t xml:space="preserve">Sample </w:t>
            </w:r>
          </w:p>
        </w:tc>
        <w:tc>
          <w:tcPr>
            <w:tcW w:w="5670" w:type="dxa"/>
            <w:gridSpan w:val="4"/>
            <w:tcBorders>
              <w:top w:val="single" w:sz="8" w:space="0" w:color="000000"/>
              <w:bottom w:val="single" w:sz="8" w:space="0" w:color="000000"/>
              <w:right w:val="single" w:sz="8" w:space="0" w:color="000000"/>
            </w:tcBorders>
            <w:tcMar>
              <w:top w:w="100" w:type="dxa"/>
              <w:left w:w="100" w:type="dxa"/>
              <w:bottom w:w="100" w:type="dxa"/>
              <w:right w:w="100" w:type="dxa"/>
            </w:tcMar>
          </w:tcPr>
          <w:p w14:paraId="67A00854" w14:textId="77777777" w:rsidR="00945ACC" w:rsidRPr="00945ACC" w:rsidRDefault="00945ACC" w:rsidP="00945ACC">
            <w:pPr>
              <w:snapToGrid w:val="0"/>
              <w:spacing w:line="240" w:lineRule="auto"/>
              <w:contextualSpacing/>
              <w:rPr>
                <w:color w:val="000000" w:themeColor="text1"/>
              </w:rPr>
            </w:pPr>
            <w:r w:rsidRPr="00945ACC">
              <w:rPr>
                <w:color w:val="000000" w:themeColor="text1"/>
              </w:rPr>
              <w:t>N = 365</w:t>
            </w:r>
          </w:p>
        </w:tc>
      </w:tr>
      <w:tr w:rsidR="00945ACC" w:rsidRPr="00945ACC" w14:paraId="4F9493BA" w14:textId="77777777" w:rsidTr="00452C0C">
        <w:trPr>
          <w:trHeight w:val="170"/>
          <w:jc w:val="center"/>
        </w:trPr>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FBDBE7" w14:textId="77777777" w:rsidR="00945ACC" w:rsidRPr="00945ACC" w:rsidRDefault="00945ACC" w:rsidP="00945ACC">
            <w:pPr>
              <w:snapToGrid w:val="0"/>
              <w:spacing w:line="240" w:lineRule="auto"/>
              <w:contextualSpacing/>
              <w:rPr>
                <w:b/>
                <w:bCs/>
                <w:color w:val="000000" w:themeColor="text1"/>
              </w:rPr>
            </w:pPr>
            <w:r w:rsidRPr="00945ACC">
              <w:rPr>
                <w:b/>
                <w:bCs/>
                <w:color w:val="000000" w:themeColor="text1"/>
              </w:rPr>
              <w:t>Gender</w:t>
            </w:r>
          </w:p>
        </w:tc>
        <w:tc>
          <w:tcPr>
            <w:tcW w:w="5670" w:type="dxa"/>
            <w:gridSpan w:val="4"/>
            <w:tcBorders>
              <w:top w:val="single" w:sz="8" w:space="0" w:color="000000"/>
              <w:bottom w:val="single" w:sz="8" w:space="0" w:color="000000"/>
              <w:right w:val="single" w:sz="8" w:space="0" w:color="000000"/>
            </w:tcBorders>
            <w:tcMar>
              <w:top w:w="100" w:type="dxa"/>
              <w:left w:w="100" w:type="dxa"/>
              <w:bottom w:w="100" w:type="dxa"/>
              <w:right w:w="100" w:type="dxa"/>
            </w:tcMar>
          </w:tcPr>
          <w:p w14:paraId="542FF9F2" w14:textId="77777777" w:rsidR="00945ACC" w:rsidRPr="00945ACC" w:rsidRDefault="00945ACC" w:rsidP="00945ACC">
            <w:pPr>
              <w:snapToGrid w:val="0"/>
              <w:spacing w:line="240" w:lineRule="auto"/>
              <w:contextualSpacing/>
              <w:rPr>
                <w:color w:val="000000" w:themeColor="text1"/>
              </w:rPr>
            </w:pPr>
            <w:r w:rsidRPr="00945ACC">
              <w:rPr>
                <w:color w:val="000000" w:themeColor="text1"/>
              </w:rPr>
              <w:t>267 women (73.1%)</w:t>
            </w:r>
          </w:p>
        </w:tc>
      </w:tr>
      <w:tr w:rsidR="00945ACC" w:rsidRPr="00945ACC" w14:paraId="22ADF402" w14:textId="77777777" w:rsidTr="00452C0C">
        <w:trPr>
          <w:trHeight w:val="170"/>
          <w:jc w:val="center"/>
        </w:trPr>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F4261B" w14:textId="77777777" w:rsidR="00945ACC" w:rsidRPr="00945ACC" w:rsidRDefault="00945ACC" w:rsidP="00945ACC">
            <w:pPr>
              <w:snapToGrid w:val="0"/>
              <w:spacing w:line="240" w:lineRule="auto"/>
              <w:contextualSpacing/>
              <w:rPr>
                <w:b/>
                <w:bCs/>
                <w:color w:val="000000" w:themeColor="text1"/>
              </w:rPr>
            </w:pPr>
            <w:r w:rsidRPr="00945ACC">
              <w:rPr>
                <w:b/>
                <w:bCs/>
                <w:color w:val="000000" w:themeColor="text1"/>
              </w:rPr>
              <w:t>Age</w:t>
            </w:r>
          </w:p>
        </w:tc>
        <w:tc>
          <w:tcPr>
            <w:tcW w:w="5670" w:type="dxa"/>
            <w:gridSpan w:val="4"/>
            <w:tcBorders>
              <w:top w:val="single" w:sz="8" w:space="0" w:color="000000"/>
              <w:bottom w:val="single" w:sz="8" w:space="0" w:color="000000"/>
              <w:right w:val="single" w:sz="8" w:space="0" w:color="000000"/>
            </w:tcBorders>
            <w:tcMar>
              <w:top w:w="100" w:type="dxa"/>
              <w:left w:w="100" w:type="dxa"/>
              <w:bottom w:w="100" w:type="dxa"/>
              <w:right w:w="100" w:type="dxa"/>
            </w:tcMar>
          </w:tcPr>
          <w:p w14:paraId="5E66A3FC" w14:textId="77777777" w:rsidR="00945ACC" w:rsidRPr="00945ACC" w:rsidRDefault="00945ACC" w:rsidP="00945ACC">
            <w:pPr>
              <w:snapToGrid w:val="0"/>
              <w:spacing w:line="240" w:lineRule="auto"/>
              <w:contextualSpacing/>
              <w:rPr>
                <w:color w:val="000000" w:themeColor="text1"/>
              </w:rPr>
            </w:pPr>
            <w:r w:rsidRPr="00945ACC">
              <w:rPr>
                <w:color w:val="000000" w:themeColor="text1"/>
              </w:rPr>
              <w:t>mean = 35.09, SD = 13.59 (18 - 74 years)</w:t>
            </w:r>
          </w:p>
        </w:tc>
      </w:tr>
      <w:tr w:rsidR="00945ACC" w:rsidRPr="00945ACC" w14:paraId="72E4EF19" w14:textId="77777777" w:rsidTr="00452C0C">
        <w:trPr>
          <w:trHeight w:val="170"/>
          <w:jc w:val="center"/>
        </w:trPr>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76B511" w14:textId="77777777" w:rsidR="00945ACC" w:rsidRPr="00945ACC" w:rsidRDefault="00945ACC" w:rsidP="00945ACC">
            <w:pPr>
              <w:snapToGrid w:val="0"/>
              <w:spacing w:line="240" w:lineRule="auto"/>
              <w:contextualSpacing/>
              <w:rPr>
                <w:b/>
                <w:bCs/>
                <w:color w:val="000000" w:themeColor="text1"/>
              </w:rPr>
            </w:pPr>
            <w:r w:rsidRPr="00945ACC">
              <w:rPr>
                <w:b/>
                <w:bCs/>
                <w:color w:val="000000" w:themeColor="text1"/>
              </w:rPr>
              <w:t>BMI</w:t>
            </w:r>
          </w:p>
        </w:tc>
        <w:tc>
          <w:tcPr>
            <w:tcW w:w="5670" w:type="dxa"/>
            <w:gridSpan w:val="4"/>
            <w:tcBorders>
              <w:top w:val="single" w:sz="8" w:space="0" w:color="000000"/>
              <w:bottom w:val="single" w:sz="8" w:space="0" w:color="000000"/>
              <w:right w:val="single" w:sz="8" w:space="0" w:color="000000"/>
            </w:tcBorders>
            <w:tcMar>
              <w:top w:w="100" w:type="dxa"/>
              <w:left w:w="100" w:type="dxa"/>
              <w:bottom w:w="100" w:type="dxa"/>
              <w:right w:w="100" w:type="dxa"/>
            </w:tcMar>
          </w:tcPr>
          <w:p w14:paraId="130CF378" w14:textId="77777777" w:rsidR="00945ACC" w:rsidRPr="00945ACC" w:rsidRDefault="00945ACC" w:rsidP="00945ACC">
            <w:pPr>
              <w:snapToGrid w:val="0"/>
              <w:spacing w:line="240" w:lineRule="auto"/>
              <w:contextualSpacing/>
              <w:rPr>
                <w:color w:val="000000" w:themeColor="text1"/>
              </w:rPr>
            </w:pPr>
            <w:r w:rsidRPr="00945ACC">
              <w:rPr>
                <w:color w:val="000000" w:themeColor="text1"/>
              </w:rPr>
              <w:t>mean = 23.08, SD = 3.81 (15.05 - 37.50)</w:t>
            </w:r>
          </w:p>
        </w:tc>
      </w:tr>
      <w:tr w:rsidR="00945ACC" w:rsidRPr="00945ACC" w14:paraId="6B03D6F6" w14:textId="77777777" w:rsidTr="00452C0C">
        <w:trPr>
          <w:trHeight w:val="170"/>
          <w:jc w:val="center"/>
        </w:trPr>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B58E3D" w14:textId="77777777" w:rsidR="00945ACC" w:rsidRPr="00945ACC" w:rsidRDefault="00945ACC" w:rsidP="00945ACC">
            <w:pPr>
              <w:snapToGrid w:val="0"/>
              <w:spacing w:line="240" w:lineRule="auto"/>
              <w:contextualSpacing/>
              <w:rPr>
                <w:b/>
                <w:bCs/>
                <w:color w:val="000000" w:themeColor="text1"/>
              </w:rPr>
            </w:pPr>
            <w:r w:rsidRPr="00945ACC">
              <w:rPr>
                <w:b/>
                <w:bCs/>
                <w:color w:val="000000" w:themeColor="text1"/>
              </w:rPr>
              <w:t>TAS-20</w:t>
            </w:r>
          </w:p>
        </w:tc>
        <w:tc>
          <w:tcPr>
            <w:tcW w:w="5670" w:type="dxa"/>
            <w:gridSpan w:val="4"/>
            <w:tcBorders>
              <w:top w:val="single" w:sz="8" w:space="0" w:color="000000"/>
              <w:bottom w:val="single" w:sz="8" w:space="0" w:color="000000"/>
              <w:right w:val="single" w:sz="8" w:space="0" w:color="000000"/>
            </w:tcBorders>
            <w:tcMar>
              <w:top w:w="100" w:type="dxa"/>
              <w:left w:w="100" w:type="dxa"/>
              <w:bottom w:w="100" w:type="dxa"/>
              <w:right w:w="100" w:type="dxa"/>
            </w:tcMar>
          </w:tcPr>
          <w:p w14:paraId="771E933F" w14:textId="77777777" w:rsidR="00945ACC" w:rsidRPr="00945ACC" w:rsidRDefault="00945ACC" w:rsidP="00945ACC">
            <w:pPr>
              <w:snapToGrid w:val="0"/>
              <w:spacing w:line="240" w:lineRule="auto"/>
              <w:contextualSpacing/>
              <w:rPr>
                <w:color w:val="000000" w:themeColor="text1"/>
              </w:rPr>
            </w:pPr>
            <w:r w:rsidRPr="00945ACC">
              <w:rPr>
                <w:color w:val="000000" w:themeColor="text1"/>
              </w:rPr>
              <w:t>mean = 46.21, SD = 11.70 (0 – 100)</w:t>
            </w:r>
          </w:p>
        </w:tc>
      </w:tr>
      <w:tr w:rsidR="00945ACC" w:rsidRPr="00945ACC" w14:paraId="3E8C4AFB" w14:textId="77777777" w:rsidTr="00452C0C">
        <w:trPr>
          <w:trHeight w:val="170"/>
          <w:jc w:val="center"/>
        </w:trPr>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5A9DF8" w14:textId="77777777" w:rsidR="00945ACC" w:rsidRPr="00945ACC" w:rsidRDefault="00945ACC" w:rsidP="00945ACC">
            <w:pPr>
              <w:snapToGrid w:val="0"/>
              <w:spacing w:line="240" w:lineRule="auto"/>
              <w:contextualSpacing/>
              <w:rPr>
                <w:b/>
                <w:bCs/>
                <w:color w:val="000000" w:themeColor="text1"/>
              </w:rPr>
            </w:pPr>
            <w:r w:rsidRPr="00945ACC">
              <w:rPr>
                <w:b/>
                <w:bCs/>
                <w:color w:val="000000" w:themeColor="text1"/>
              </w:rPr>
              <w:t xml:space="preserve"> </w:t>
            </w:r>
          </w:p>
        </w:tc>
        <w:tc>
          <w:tcPr>
            <w:tcW w:w="1691" w:type="dxa"/>
            <w:tcBorders>
              <w:bottom w:val="single" w:sz="8" w:space="0" w:color="000000"/>
              <w:right w:val="single" w:sz="8" w:space="0" w:color="000000"/>
            </w:tcBorders>
            <w:tcMar>
              <w:top w:w="100" w:type="dxa"/>
              <w:left w:w="100" w:type="dxa"/>
              <w:bottom w:w="100" w:type="dxa"/>
              <w:right w:w="100" w:type="dxa"/>
            </w:tcMar>
          </w:tcPr>
          <w:p w14:paraId="686AFDA5" w14:textId="77777777" w:rsidR="00945ACC" w:rsidRPr="00945ACC" w:rsidRDefault="00945ACC" w:rsidP="00945ACC">
            <w:pPr>
              <w:snapToGrid w:val="0"/>
              <w:spacing w:line="240" w:lineRule="auto"/>
              <w:contextualSpacing/>
              <w:rPr>
                <w:b/>
                <w:bCs/>
                <w:color w:val="000000" w:themeColor="text1"/>
              </w:rPr>
            </w:pPr>
            <w:r w:rsidRPr="00945ACC">
              <w:rPr>
                <w:b/>
                <w:bCs/>
                <w:color w:val="000000" w:themeColor="text1"/>
              </w:rPr>
              <w:t>Phase 1</w:t>
            </w:r>
          </w:p>
        </w:tc>
        <w:tc>
          <w:tcPr>
            <w:tcW w:w="1417" w:type="dxa"/>
            <w:gridSpan w:val="2"/>
            <w:tcBorders>
              <w:top w:val="single" w:sz="8" w:space="0" w:color="000000"/>
              <w:bottom w:val="single" w:sz="8" w:space="0" w:color="000000"/>
              <w:right w:val="single" w:sz="8" w:space="0" w:color="000000"/>
            </w:tcBorders>
          </w:tcPr>
          <w:p w14:paraId="6B9198E0" w14:textId="77777777" w:rsidR="00945ACC" w:rsidRPr="00945ACC" w:rsidRDefault="00945ACC" w:rsidP="00945ACC">
            <w:pPr>
              <w:snapToGrid w:val="0"/>
              <w:spacing w:line="240" w:lineRule="auto"/>
              <w:contextualSpacing/>
              <w:rPr>
                <w:b/>
                <w:bCs/>
                <w:color w:val="000000" w:themeColor="text1"/>
              </w:rPr>
            </w:pPr>
            <w:r w:rsidRPr="00945ACC">
              <w:rPr>
                <w:b/>
                <w:bCs/>
                <w:color w:val="000000" w:themeColor="text1"/>
              </w:rPr>
              <w:t>Phase 2</w:t>
            </w:r>
          </w:p>
        </w:tc>
        <w:tc>
          <w:tcPr>
            <w:tcW w:w="2562" w:type="dxa"/>
            <w:tcBorders>
              <w:top w:val="single" w:sz="8" w:space="0" w:color="000000"/>
              <w:bottom w:val="single" w:sz="8" w:space="0" w:color="000000"/>
              <w:right w:val="single" w:sz="8" w:space="0" w:color="000000"/>
            </w:tcBorders>
          </w:tcPr>
          <w:p w14:paraId="4BA2C5D5" w14:textId="77777777" w:rsidR="00945ACC" w:rsidRPr="00945ACC" w:rsidRDefault="00945ACC" w:rsidP="00945ACC">
            <w:pPr>
              <w:snapToGrid w:val="0"/>
              <w:spacing w:line="240" w:lineRule="auto"/>
              <w:contextualSpacing/>
              <w:rPr>
                <w:b/>
                <w:bCs/>
                <w:color w:val="000000" w:themeColor="text1"/>
              </w:rPr>
            </w:pPr>
            <w:r w:rsidRPr="00945ACC">
              <w:rPr>
                <w:b/>
                <w:bCs/>
                <w:color w:val="000000" w:themeColor="text1"/>
              </w:rPr>
              <w:t>Phase comparisons</w:t>
            </w:r>
          </w:p>
        </w:tc>
      </w:tr>
      <w:tr w:rsidR="00945ACC" w:rsidRPr="00945ACC" w14:paraId="3ABDB2F5" w14:textId="77777777" w:rsidTr="00452C0C">
        <w:trPr>
          <w:trHeight w:val="170"/>
          <w:jc w:val="center"/>
        </w:trPr>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25476B" w14:textId="77777777" w:rsidR="00945ACC" w:rsidRPr="00945ACC" w:rsidRDefault="00945ACC" w:rsidP="00945ACC">
            <w:pPr>
              <w:snapToGrid w:val="0"/>
              <w:spacing w:line="240" w:lineRule="auto"/>
              <w:contextualSpacing/>
              <w:rPr>
                <w:b/>
                <w:bCs/>
                <w:color w:val="000000" w:themeColor="text1"/>
              </w:rPr>
            </w:pPr>
          </w:p>
        </w:tc>
        <w:tc>
          <w:tcPr>
            <w:tcW w:w="1701" w:type="dxa"/>
            <w:gridSpan w:val="2"/>
            <w:tcBorders>
              <w:bottom w:val="single" w:sz="8" w:space="0" w:color="000000"/>
              <w:right w:val="single" w:sz="8" w:space="0" w:color="000000"/>
            </w:tcBorders>
            <w:tcMar>
              <w:top w:w="100" w:type="dxa"/>
              <w:left w:w="100" w:type="dxa"/>
              <w:bottom w:w="100" w:type="dxa"/>
              <w:right w:w="100" w:type="dxa"/>
            </w:tcMar>
          </w:tcPr>
          <w:p w14:paraId="5C318B3E" w14:textId="77777777" w:rsidR="00945ACC" w:rsidRPr="00945ACC" w:rsidRDefault="00945ACC" w:rsidP="00945ACC">
            <w:pPr>
              <w:snapToGrid w:val="0"/>
              <w:spacing w:line="240" w:lineRule="auto"/>
              <w:contextualSpacing/>
              <w:rPr>
                <w:b/>
                <w:bCs/>
                <w:color w:val="000000" w:themeColor="text1"/>
              </w:rPr>
            </w:pPr>
            <w:r w:rsidRPr="00945ACC">
              <w:rPr>
                <w:b/>
                <w:bCs/>
                <w:color w:val="000000" w:themeColor="text1"/>
              </w:rPr>
              <w:t>Mean (SD)</w:t>
            </w:r>
          </w:p>
        </w:tc>
        <w:tc>
          <w:tcPr>
            <w:tcW w:w="1407" w:type="dxa"/>
            <w:tcBorders>
              <w:bottom w:val="single" w:sz="8" w:space="0" w:color="000000"/>
              <w:right w:val="single" w:sz="8" w:space="0" w:color="000000"/>
            </w:tcBorders>
            <w:tcMar>
              <w:top w:w="100" w:type="dxa"/>
              <w:left w:w="100" w:type="dxa"/>
              <w:bottom w:w="100" w:type="dxa"/>
              <w:right w:w="100" w:type="dxa"/>
            </w:tcMar>
          </w:tcPr>
          <w:p w14:paraId="73B7AC47" w14:textId="77777777" w:rsidR="00945ACC" w:rsidRPr="00945ACC" w:rsidRDefault="00945ACC" w:rsidP="00945ACC">
            <w:pPr>
              <w:snapToGrid w:val="0"/>
              <w:spacing w:line="240" w:lineRule="auto"/>
              <w:contextualSpacing/>
              <w:rPr>
                <w:b/>
                <w:bCs/>
                <w:color w:val="000000" w:themeColor="text1"/>
              </w:rPr>
            </w:pPr>
            <w:r w:rsidRPr="00945ACC">
              <w:rPr>
                <w:b/>
                <w:bCs/>
                <w:color w:val="000000" w:themeColor="text1"/>
              </w:rPr>
              <w:t>Mean (SD)</w:t>
            </w:r>
          </w:p>
        </w:tc>
        <w:tc>
          <w:tcPr>
            <w:tcW w:w="2562"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8590911" w14:textId="77777777" w:rsidR="00945ACC" w:rsidRPr="00945ACC" w:rsidRDefault="00945ACC" w:rsidP="00945ACC">
            <w:pPr>
              <w:snapToGrid w:val="0"/>
              <w:spacing w:line="240" w:lineRule="auto"/>
              <w:contextualSpacing/>
              <w:rPr>
                <w:b/>
                <w:bCs/>
                <w:color w:val="000000" w:themeColor="text1"/>
              </w:rPr>
            </w:pPr>
          </w:p>
        </w:tc>
      </w:tr>
      <w:tr w:rsidR="00945ACC" w:rsidRPr="00945ACC" w14:paraId="4399EBCA" w14:textId="77777777" w:rsidTr="00452C0C">
        <w:trPr>
          <w:trHeight w:val="170"/>
          <w:jc w:val="center"/>
        </w:trPr>
        <w:tc>
          <w:tcPr>
            <w:tcW w:w="2694" w:type="dxa"/>
            <w:tcBorders>
              <w:top w:val="single" w:sz="8" w:space="0" w:color="000000"/>
              <w:left w:val="single" w:sz="8" w:space="0" w:color="000000"/>
              <w:right w:val="single" w:sz="8" w:space="0" w:color="000000"/>
            </w:tcBorders>
            <w:tcMar>
              <w:top w:w="100" w:type="dxa"/>
              <w:left w:w="100" w:type="dxa"/>
              <w:bottom w:w="100" w:type="dxa"/>
              <w:right w:w="100" w:type="dxa"/>
            </w:tcMar>
          </w:tcPr>
          <w:p w14:paraId="1A873C6B" w14:textId="77777777" w:rsidR="00945ACC" w:rsidRPr="00945ACC" w:rsidRDefault="00945ACC" w:rsidP="00945ACC">
            <w:pPr>
              <w:snapToGrid w:val="0"/>
              <w:spacing w:line="240" w:lineRule="auto"/>
              <w:contextualSpacing/>
              <w:rPr>
                <w:b/>
                <w:bCs/>
                <w:color w:val="000000" w:themeColor="text1"/>
              </w:rPr>
            </w:pPr>
            <w:r w:rsidRPr="00945ACC">
              <w:rPr>
                <w:b/>
                <w:bCs/>
                <w:color w:val="000000" w:themeColor="text1"/>
              </w:rPr>
              <w:t>DBEQ, Emotional eating</w:t>
            </w:r>
            <w:r w:rsidRPr="00945ACC">
              <w:rPr>
                <w:b/>
                <w:bCs/>
                <w:color w:val="000000" w:themeColor="text1"/>
                <w:vertAlign w:val="superscript"/>
              </w:rPr>
              <w:t>+</w:t>
            </w:r>
          </w:p>
        </w:tc>
        <w:tc>
          <w:tcPr>
            <w:tcW w:w="1701" w:type="dxa"/>
            <w:gridSpan w:val="2"/>
            <w:tcBorders>
              <w:bottom w:val="single" w:sz="8" w:space="0" w:color="000000"/>
              <w:right w:val="single" w:sz="8" w:space="0" w:color="000000"/>
            </w:tcBorders>
            <w:tcMar>
              <w:top w:w="100" w:type="dxa"/>
              <w:left w:w="100" w:type="dxa"/>
              <w:bottom w:w="100" w:type="dxa"/>
              <w:right w:w="100" w:type="dxa"/>
            </w:tcMar>
          </w:tcPr>
          <w:p w14:paraId="51259F6D" w14:textId="77777777" w:rsidR="00945ACC" w:rsidRPr="00945ACC" w:rsidRDefault="00945ACC" w:rsidP="00945ACC">
            <w:pPr>
              <w:snapToGrid w:val="0"/>
              <w:spacing w:line="240" w:lineRule="auto"/>
              <w:contextualSpacing/>
              <w:rPr>
                <w:color w:val="000000" w:themeColor="text1"/>
              </w:rPr>
            </w:pPr>
            <w:r w:rsidRPr="00945ACC">
              <w:rPr>
                <w:color w:val="000000" w:themeColor="text1"/>
              </w:rPr>
              <w:t>2.14 (0.87)</w:t>
            </w:r>
          </w:p>
        </w:tc>
        <w:tc>
          <w:tcPr>
            <w:tcW w:w="1407" w:type="dxa"/>
            <w:tcBorders>
              <w:bottom w:val="single" w:sz="8" w:space="0" w:color="000000"/>
              <w:right w:val="single" w:sz="8" w:space="0" w:color="000000"/>
            </w:tcBorders>
            <w:tcMar>
              <w:top w:w="100" w:type="dxa"/>
              <w:left w:w="100" w:type="dxa"/>
              <w:bottom w:w="100" w:type="dxa"/>
              <w:right w:w="100" w:type="dxa"/>
            </w:tcMar>
          </w:tcPr>
          <w:p w14:paraId="2B61E82C" w14:textId="77777777" w:rsidR="00945ACC" w:rsidRPr="00945ACC" w:rsidRDefault="00945ACC" w:rsidP="00945ACC">
            <w:pPr>
              <w:snapToGrid w:val="0"/>
              <w:spacing w:line="240" w:lineRule="auto"/>
              <w:contextualSpacing/>
              <w:rPr>
                <w:color w:val="000000" w:themeColor="text1"/>
              </w:rPr>
            </w:pPr>
            <w:r w:rsidRPr="00945ACC">
              <w:rPr>
                <w:color w:val="000000" w:themeColor="text1"/>
              </w:rPr>
              <w:t>1.99 (0.86)</w:t>
            </w:r>
          </w:p>
        </w:tc>
        <w:tc>
          <w:tcPr>
            <w:tcW w:w="2562" w:type="dxa"/>
            <w:tcBorders>
              <w:bottom w:val="single" w:sz="8" w:space="0" w:color="000000"/>
              <w:right w:val="single" w:sz="8" w:space="0" w:color="000000"/>
            </w:tcBorders>
            <w:tcMar>
              <w:top w:w="100" w:type="dxa"/>
              <w:left w:w="100" w:type="dxa"/>
              <w:bottom w:w="100" w:type="dxa"/>
              <w:right w:w="100" w:type="dxa"/>
            </w:tcMar>
          </w:tcPr>
          <w:p w14:paraId="6614B613" w14:textId="77777777" w:rsidR="00945ACC" w:rsidRPr="00945ACC" w:rsidRDefault="00945ACC" w:rsidP="00945ACC">
            <w:pPr>
              <w:snapToGrid w:val="0"/>
              <w:spacing w:line="240" w:lineRule="auto"/>
              <w:contextualSpacing/>
              <w:rPr>
                <w:color w:val="000000" w:themeColor="text1"/>
              </w:rPr>
            </w:pPr>
            <w:proofErr w:type="gramStart"/>
            <w:r w:rsidRPr="00945ACC">
              <w:rPr>
                <w:color w:val="000000" w:themeColor="text1"/>
              </w:rPr>
              <w:t>t(</w:t>
            </w:r>
            <w:proofErr w:type="gramEnd"/>
            <w:r w:rsidRPr="00945ACC">
              <w:rPr>
                <w:color w:val="000000" w:themeColor="text1"/>
              </w:rPr>
              <w:t xml:space="preserve">364) = 6.49, </w:t>
            </w:r>
            <w:r w:rsidRPr="00945ACC">
              <w:rPr>
                <w:b/>
                <w:color w:val="000000" w:themeColor="text1"/>
              </w:rPr>
              <w:t>p &lt; .001</w:t>
            </w:r>
          </w:p>
        </w:tc>
      </w:tr>
      <w:tr w:rsidR="00945ACC" w:rsidRPr="00945ACC" w14:paraId="68DF9EDD" w14:textId="77777777" w:rsidTr="00452C0C">
        <w:trPr>
          <w:trHeight w:val="170"/>
          <w:jc w:val="center"/>
        </w:trPr>
        <w:tc>
          <w:tcPr>
            <w:tcW w:w="2694" w:type="dxa"/>
            <w:vMerge w:val="restart"/>
            <w:tcBorders>
              <w:left w:val="single" w:sz="8" w:space="0" w:color="000000"/>
              <w:right w:val="single" w:sz="8" w:space="0" w:color="000000"/>
            </w:tcBorders>
            <w:tcMar>
              <w:top w:w="100" w:type="dxa"/>
              <w:left w:w="100" w:type="dxa"/>
              <w:bottom w:w="100" w:type="dxa"/>
              <w:right w:w="100" w:type="dxa"/>
            </w:tcMar>
          </w:tcPr>
          <w:p w14:paraId="02F78C03" w14:textId="77777777" w:rsidR="00945ACC" w:rsidRPr="00945ACC" w:rsidRDefault="00945ACC" w:rsidP="00945ACC">
            <w:pPr>
              <w:snapToGrid w:val="0"/>
              <w:spacing w:line="240" w:lineRule="auto"/>
              <w:contextualSpacing/>
              <w:rPr>
                <w:b/>
                <w:bCs/>
                <w:color w:val="000000" w:themeColor="text1"/>
              </w:rPr>
            </w:pPr>
            <w:r w:rsidRPr="00945ACC">
              <w:rPr>
                <w:b/>
                <w:bCs/>
                <w:color w:val="000000" w:themeColor="text1"/>
              </w:rPr>
              <w:t>BEDS-7</w:t>
            </w:r>
          </w:p>
          <w:p w14:paraId="6DC30A95" w14:textId="77777777" w:rsidR="00945ACC" w:rsidRPr="00945ACC" w:rsidRDefault="00945ACC" w:rsidP="00945ACC">
            <w:pPr>
              <w:snapToGrid w:val="0"/>
              <w:spacing w:line="240" w:lineRule="auto"/>
              <w:contextualSpacing/>
              <w:rPr>
                <w:b/>
                <w:bCs/>
                <w:color w:val="000000" w:themeColor="text1"/>
              </w:rPr>
            </w:pPr>
            <w:r w:rsidRPr="00945ACC">
              <w:rPr>
                <w:b/>
                <w:bCs/>
                <w:color w:val="000000" w:themeColor="text1"/>
              </w:rPr>
              <w:t>% with an episode of binge eating*</w:t>
            </w:r>
            <w:r w:rsidRPr="00945ACC">
              <w:rPr>
                <w:b/>
                <w:bCs/>
                <w:color w:val="000000" w:themeColor="text1"/>
                <w:vertAlign w:val="superscript"/>
              </w:rPr>
              <w:t>+</w:t>
            </w:r>
          </w:p>
        </w:tc>
        <w:tc>
          <w:tcPr>
            <w:tcW w:w="1701" w:type="dxa"/>
            <w:gridSpan w:val="2"/>
            <w:tcBorders>
              <w:bottom w:val="single" w:sz="8" w:space="0" w:color="000000"/>
              <w:right w:val="single" w:sz="8" w:space="0" w:color="000000"/>
            </w:tcBorders>
            <w:tcMar>
              <w:top w:w="100" w:type="dxa"/>
              <w:left w:w="100" w:type="dxa"/>
              <w:bottom w:w="100" w:type="dxa"/>
              <w:right w:w="100" w:type="dxa"/>
            </w:tcMar>
          </w:tcPr>
          <w:p w14:paraId="6E79D882" w14:textId="77777777" w:rsidR="00945ACC" w:rsidRPr="00945ACC" w:rsidRDefault="00945ACC" w:rsidP="00945ACC">
            <w:pPr>
              <w:snapToGrid w:val="0"/>
              <w:spacing w:line="240" w:lineRule="auto"/>
              <w:contextualSpacing/>
              <w:rPr>
                <w:color w:val="000000" w:themeColor="text1"/>
              </w:rPr>
            </w:pPr>
            <w:r w:rsidRPr="00945ACC">
              <w:rPr>
                <w:color w:val="000000" w:themeColor="text1"/>
              </w:rPr>
              <w:t>0.26 (0.73)</w:t>
            </w:r>
          </w:p>
        </w:tc>
        <w:tc>
          <w:tcPr>
            <w:tcW w:w="1407" w:type="dxa"/>
            <w:tcBorders>
              <w:bottom w:val="single" w:sz="8" w:space="0" w:color="000000"/>
              <w:right w:val="single" w:sz="8" w:space="0" w:color="000000"/>
            </w:tcBorders>
            <w:tcMar>
              <w:top w:w="100" w:type="dxa"/>
              <w:left w:w="100" w:type="dxa"/>
              <w:bottom w:w="100" w:type="dxa"/>
              <w:right w:w="100" w:type="dxa"/>
            </w:tcMar>
          </w:tcPr>
          <w:p w14:paraId="5373F706" w14:textId="77777777" w:rsidR="00945ACC" w:rsidRPr="00945ACC" w:rsidRDefault="00945ACC" w:rsidP="00945ACC">
            <w:pPr>
              <w:snapToGrid w:val="0"/>
              <w:spacing w:line="240" w:lineRule="auto"/>
              <w:contextualSpacing/>
              <w:rPr>
                <w:color w:val="000000" w:themeColor="text1"/>
              </w:rPr>
            </w:pPr>
            <w:r w:rsidRPr="00945ACC">
              <w:rPr>
                <w:color w:val="000000" w:themeColor="text1"/>
              </w:rPr>
              <w:t>0.16 (0.63)</w:t>
            </w:r>
          </w:p>
        </w:tc>
        <w:tc>
          <w:tcPr>
            <w:tcW w:w="2562" w:type="dxa"/>
            <w:tcBorders>
              <w:bottom w:val="single" w:sz="8" w:space="0" w:color="000000"/>
              <w:right w:val="single" w:sz="8" w:space="0" w:color="000000"/>
            </w:tcBorders>
            <w:tcMar>
              <w:top w:w="100" w:type="dxa"/>
              <w:left w:w="100" w:type="dxa"/>
              <w:bottom w:w="100" w:type="dxa"/>
              <w:right w:w="100" w:type="dxa"/>
            </w:tcMar>
          </w:tcPr>
          <w:p w14:paraId="22D88E81" w14:textId="77777777" w:rsidR="00945ACC" w:rsidRPr="00945ACC" w:rsidRDefault="00945ACC" w:rsidP="00945ACC">
            <w:pPr>
              <w:snapToGrid w:val="0"/>
              <w:spacing w:line="240" w:lineRule="auto"/>
              <w:contextualSpacing/>
              <w:rPr>
                <w:color w:val="000000" w:themeColor="text1"/>
              </w:rPr>
            </w:pPr>
            <w:proofErr w:type="gramStart"/>
            <w:r w:rsidRPr="00945ACC">
              <w:rPr>
                <w:color w:val="000000" w:themeColor="text1"/>
              </w:rPr>
              <w:t>t(</w:t>
            </w:r>
            <w:proofErr w:type="gramEnd"/>
            <w:r w:rsidRPr="00945ACC">
              <w:rPr>
                <w:color w:val="000000" w:themeColor="text1"/>
              </w:rPr>
              <w:t xml:space="preserve">364) = 3.59, </w:t>
            </w:r>
            <w:r w:rsidRPr="00945ACC">
              <w:rPr>
                <w:b/>
                <w:color w:val="000000" w:themeColor="text1"/>
              </w:rPr>
              <w:t>p &lt; .001</w:t>
            </w:r>
          </w:p>
        </w:tc>
      </w:tr>
      <w:tr w:rsidR="00945ACC" w:rsidRPr="00945ACC" w14:paraId="5D9743E4" w14:textId="77777777" w:rsidTr="00452C0C">
        <w:trPr>
          <w:trHeight w:val="170"/>
          <w:jc w:val="center"/>
        </w:trPr>
        <w:tc>
          <w:tcPr>
            <w:tcW w:w="2694"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65DE605F" w14:textId="77777777" w:rsidR="00945ACC" w:rsidRPr="00945ACC" w:rsidRDefault="00945ACC" w:rsidP="00945ACC">
            <w:pPr>
              <w:snapToGrid w:val="0"/>
              <w:spacing w:line="240" w:lineRule="auto"/>
              <w:contextualSpacing/>
              <w:rPr>
                <w:b/>
                <w:bCs/>
                <w:color w:val="000000" w:themeColor="text1"/>
              </w:rPr>
            </w:pPr>
          </w:p>
        </w:tc>
        <w:tc>
          <w:tcPr>
            <w:tcW w:w="1701" w:type="dxa"/>
            <w:gridSpan w:val="2"/>
            <w:tcBorders>
              <w:bottom w:val="single" w:sz="8" w:space="0" w:color="000000"/>
              <w:right w:val="single" w:sz="8" w:space="0" w:color="000000"/>
            </w:tcBorders>
            <w:tcMar>
              <w:top w:w="100" w:type="dxa"/>
              <w:left w:w="100" w:type="dxa"/>
              <w:bottom w:w="100" w:type="dxa"/>
              <w:right w:w="100" w:type="dxa"/>
            </w:tcMar>
          </w:tcPr>
          <w:p w14:paraId="1F23FF6B" w14:textId="77777777" w:rsidR="00945ACC" w:rsidRPr="00945ACC" w:rsidRDefault="00945ACC" w:rsidP="00945ACC">
            <w:pPr>
              <w:snapToGrid w:val="0"/>
              <w:spacing w:line="240" w:lineRule="auto"/>
              <w:contextualSpacing/>
              <w:rPr>
                <w:color w:val="000000" w:themeColor="text1"/>
              </w:rPr>
            </w:pPr>
            <w:r w:rsidRPr="00945ACC">
              <w:rPr>
                <w:color w:val="000000" w:themeColor="text1"/>
              </w:rPr>
              <w:t>3.01 % *</w:t>
            </w:r>
          </w:p>
        </w:tc>
        <w:tc>
          <w:tcPr>
            <w:tcW w:w="1407" w:type="dxa"/>
            <w:tcBorders>
              <w:bottom w:val="single" w:sz="8" w:space="0" w:color="000000"/>
              <w:right w:val="single" w:sz="8" w:space="0" w:color="000000"/>
            </w:tcBorders>
            <w:tcMar>
              <w:top w:w="100" w:type="dxa"/>
              <w:left w:w="100" w:type="dxa"/>
              <w:bottom w:w="100" w:type="dxa"/>
              <w:right w:w="100" w:type="dxa"/>
            </w:tcMar>
          </w:tcPr>
          <w:p w14:paraId="430A7CB8" w14:textId="77777777" w:rsidR="00945ACC" w:rsidRPr="00945ACC" w:rsidRDefault="00945ACC" w:rsidP="00945ACC">
            <w:pPr>
              <w:snapToGrid w:val="0"/>
              <w:spacing w:line="240" w:lineRule="auto"/>
              <w:contextualSpacing/>
              <w:rPr>
                <w:color w:val="000000" w:themeColor="text1"/>
              </w:rPr>
            </w:pPr>
            <w:r w:rsidRPr="00945ACC">
              <w:rPr>
                <w:color w:val="000000" w:themeColor="text1"/>
              </w:rPr>
              <w:t>2.46 %*</w:t>
            </w:r>
          </w:p>
        </w:tc>
        <w:tc>
          <w:tcPr>
            <w:tcW w:w="2562" w:type="dxa"/>
            <w:tcBorders>
              <w:bottom w:val="single" w:sz="8" w:space="0" w:color="000000"/>
              <w:right w:val="single" w:sz="8" w:space="0" w:color="000000"/>
            </w:tcBorders>
            <w:tcMar>
              <w:top w:w="100" w:type="dxa"/>
              <w:left w:w="100" w:type="dxa"/>
              <w:bottom w:w="100" w:type="dxa"/>
              <w:right w:w="100" w:type="dxa"/>
            </w:tcMar>
          </w:tcPr>
          <w:p w14:paraId="045F7850" w14:textId="77777777" w:rsidR="00945ACC" w:rsidRPr="00945ACC" w:rsidRDefault="00945ACC" w:rsidP="00945ACC">
            <w:pPr>
              <w:snapToGrid w:val="0"/>
              <w:spacing w:line="240" w:lineRule="auto"/>
              <w:contextualSpacing/>
              <w:rPr>
                <w:color w:val="000000" w:themeColor="text1"/>
              </w:rPr>
            </w:pPr>
          </w:p>
        </w:tc>
      </w:tr>
      <w:tr w:rsidR="00945ACC" w:rsidRPr="00945ACC" w14:paraId="1334B426" w14:textId="77777777" w:rsidTr="00452C0C">
        <w:trPr>
          <w:trHeight w:val="170"/>
          <w:jc w:val="center"/>
        </w:trPr>
        <w:tc>
          <w:tcPr>
            <w:tcW w:w="2694" w:type="dxa"/>
            <w:vMerge w:val="restart"/>
            <w:tcBorders>
              <w:left w:val="single" w:sz="8" w:space="0" w:color="000000"/>
              <w:right w:val="single" w:sz="8" w:space="0" w:color="000000"/>
            </w:tcBorders>
            <w:tcMar>
              <w:top w:w="100" w:type="dxa"/>
              <w:left w:w="100" w:type="dxa"/>
              <w:bottom w:w="100" w:type="dxa"/>
              <w:right w:w="100" w:type="dxa"/>
            </w:tcMar>
          </w:tcPr>
          <w:p w14:paraId="0F146FD3" w14:textId="77777777" w:rsidR="00945ACC" w:rsidRPr="00945ACC" w:rsidRDefault="00945ACC" w:rsidP="00945ACC">
            <w:pPr>
              <w:snapToGrid w:val="0"/>
              <w:spacing w:line="240" w:lineRule="auto"/>
              <w:contextualSpacing/>
              <w:rPr>
                <w:b/>
                <w:bCs/>
                <w:color w:val="000000" w:themeColor="text1"/>
              </w:rPr>
            </w:pPr>
            <w:r w:rsidRPr="00945ACC">
              <w:rPr>
                <w:b/>
                <w:bCs/>
                <w:color w:val="000000" w:themeColor="text1"/>
              </w:rPr>
              <w:t>PHQ</w:t>
            </w:r>
          </w:p>
          <w:p w14:paraId="1E12BE02" w14:textId="77777777" w:rsidR="00945ACC" w:rsidRPr="00945ACC" w:rsidRDefault="00945ACC" w:rsidP="00945ACC">
            <w:pPr>
              <w:snapToGrid w:val="0"/>
              <w:spacing w:line="240" w:lineRule="auto"/>
              <w:contextualSpacing/>
              <w:rPr>
                <w:b/>
                <w:bCs/>
                <w:color w:val="000000" w:themeColor="text1"/>
              </w:rPr>
            </w:pPr>
            <w:r w:rsidRPr="00945ACC">
              <w:rPr>
                <w:b/>
                <w:bCs/>
                <w:color w:val="000000" w:themeColor="text1"/>
              </w:rPr>
              <w:t>% above cut-off</w:t>
            </w:r>
          </w:p>
        </w:tc>
        <w:tc>
          <w:tcPr>
            <w:tcW w:w="1701" w:type="dxa"/>
            <w:gridSpan w:val="2"/>
            <w:tcBorders>
              <w:bottom w:val="single" w:sz="8" w:space="0" w:color="000000"/>
              <w:right w:val="single" w:sz="8" w:space="0" w:color="000000"/>
            </w:tcBorders>
            <w:tcMar>
              <w:top w:w="100" w:type="dxa"/>
              <w:left w:w="100" w:type="dxa"/>
              <w:bottom w:w="100" w:type="dxa"/>
              <w:right w:w="100" w:type="dxa"/>
            </w:tcMar>
          </w:tcPr>
          <w:p w14:paraId="501009B9" w14:textId="77777777" w:rsidR="00945ACC" w:rsidRPr="00945ACC" w:rsidRDefault="00945ACC" w:rsidP="00945ACC">
            <w:pPr>
              <w:snapToGrid w:val="0"/>
              <w:spacing w:line="240" w:lineRule="auto"/>
              <w:contextualSpacing/>
              <w:rPr>
                <w:color w:val="000000" w:themeColor="text1"/>
              </w:rPr>
            </w:pPr>
            <w:r w:rsidRPr="00945ACC">
              <w:rPr>
                <w:color w:val="000000" w:themeColor="text1"/>
              </w:rPr>
              <w:t>2.18 (1.51)</w:t>
            </w:r>
          </w:p>
        </w:tc>
        <w:tc>
          <w:tcPr>
            <w:tcW w:w="1407" w:type="dxa"/>
            <w:tcBorders>
              <w:bottom w:val="single" w:sz="8" w:space="0" w:color="000000"/>
              <w:right w:val="single" w:sz="8" w:space="0" w:color="000000"/>
            </w:tcBorders>
            <w:tcMar>
              <w:top w:w="100" w:type="dxa"/>
              <w:left w:w="100" w:type="dxa"/>
              <w:bottom w:w="100" w:type="dxa"/>
              <w:right w:w="100" w:type="dxa"/>
            </w:tcMar>
          </w:tcPr>
          <w:p w14:paraId="1251E47D" w14:textId="77777777" w:rsidR="00945ACC" w:rsidRPr="00945ACC" w:rsidRDefault="00945ACC" w:rsidP="00945ACC">
            <w:pPr>
              <w:snapToGrid w:val="0"/>
              <w:spacing w:line="240" w:lineRule="auto"/>
              <w:contextualSpacing/>
              <w:rPr>
                <w:color w:val="000000" w:themeColor="text1"/>
              </w:rPr>
            </w:pPr>
            <w:r w:rsidRPr="00945ACC">
              <w:rPr>
                <w:color w:val="000000" w:themeColor="text1"/>
              </w:rPr>
              <w:t>1.86 (1.43)</w:t>
            </w:r>
          </w:p>
        </w:tc>
        <w:tc>
          <w:tcPr>
            <w:tcW w:w="2562" w:type="dxa"/>
            <w:tcBorders>
              <w:bottom w:val="single" w:sz="8" w:space="0" w:color="000000"/>
              <w:right w:val="single" w:sz="8" w:space="0" w:color="000000"/>
            </w:tcBorders>
            <w:tcMar>
              <w:top w:w="100" w:type="dxa"/>
              <w:left w:w="100" w:type="dxa"/>
              <w:bottom w:w="100" w:type="dxa"/>
              <w:right w:w="100" w:type="dxa"/>
            </w:tcMar>
          </w:tcPr>
          <w:p w14:paraId="6AB74090" w14:textId="77777777" w:rsidR="00945ACC" w:rsidRPr="00945ACC" w:rsidRDefault="00945ACC" w:rsidP="00945ACC">
            <w:pPr>
              <w:snapToGrid w:val="0"/>
              <w:spacing w:line="240" w:lineRule="auto"/>
              <w:contextualSpacing/>
              <w:rPr>
                <w:color w:val="000000" w:themeColor="text1"/>
              </w:rPr>
            </w:pPr>
            <w:proofErr w:type="gramStart"/>
            <w:r w:rsidRPr="00945ACC">
              <w:rPr>
                <w:color w:val="000000" w:themeColor="text1"/>
              </w:rPr>
              <w:t>t(</w:t>
            </w:r>
            <w:proofErr w:type="gramEnd"/>
            <w:r w:rsidRPr="00945ACC">
              <w:rPr>
                <w:color w:val="000000" w:themeColor="text1"/>
              </w:rPr>
              <w:t xml:space="preserve">364) = 5.86, </w:t>
            </w:r>
            <w:r w:rsidRPr="00945ACC">
              <w:rPr>
                <w:b/>
                <w:color w:val="000000" w:themeColor="text1"/>
              </w:rPr>
              <w:t>p &lt; .001</w:t>
            </w:r>
          </w:p>
        </w:tc>
      </w:tr>
      <w:tr w:rsidR="00945ACC" w:rsidRPr="00945ACC" w14:paraId="3A7CBBA0" w14:textId="77777777" w:rsidTr="00452C0C">
        <w:trPr>
          <w:trHeight w:val="170"/>
          <w:jc w:val="center"/>
        </w:trPr>
        <w:tc>
          <w:tcPr>
            <w:tcW w:w="2694"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67EFD57E" w14:textId="77777777" w:rsidR="00945ACC" w:rsidRPr="00945ACC" w:rsidRDefault="00945ACC" w:rsidP="00945ACC">
            <w:pPr>
              <w:snapToGrid w:val="0"/>
              <w:spacing w:line="240" w:lineRule="auto"/>
              <w:contextualSpacing/>
              <w:rPr>
                <w:b/>
                <w:bCs/>
                <w:color w:val="000000" w:themeColor="text1"/>
              </w:rPr>
            </w:pPr>
          </w:p>
        </w:tc>
        <w:tc>
          <w:tcPr>
            <w:tcW w:w="1701" w:type="dxa"/>
            <w:gridSpan w:val="2"/>
            <w:tcBorders>
              <w:bottom w:val="single" w:sz="8" w:space="0" w:color="000000"/>
              <w:right w:val="single" w:sz="8" w:space="0" w:color="000000"/>
            </w:tcBorders>
            <w:tcMar>
              <w:top w:w="100" w:type="dxa"/>
              <w:left w:w="100" w:type="dxa"/>
              <w:bottom w:w="100" w:type="dxa"/>
              <w:right w:w="100" w:type="dxa"/>
            </w:tcMar>
          </w:tcPr>
          <w:p w14:paraId="76DE2BBF" w14:textId="77777777" w:rsidR="00945ACC" w:rsidRPr="00945ACC" w:rsidRDefault="00945ACC" w:rsidP="00945ACC">
            <w:pPr>
              <w:snapToGrid w:val="0"/>
              <w:spacing w:line="240" w:lineRule="auto"/>
              <w:contextualSpacing/>
              <w:rPr>
                <w:color w:val="000000" w:themeColor="text1"/>
              </w:rPr>
            </w:pPr>
            <w:r w:rsidRPr="00945ACC">
              <w:rPr>
                <w:color w:val="000000" w:themeColor="text1"/>
              </w:rPr>
              <w:t>32 %</w:t>
            </w:r>
          </w:p>
        </w:tc>
        <w:tc>
          <w:tcPr>
            <w:tcW w:w="1407" w:type="dxa"/>
            <w:tcBorders>
              <w:bottom w:val="single" w:sz="8" w:space="0" w:color="000000"/>
              <w:right w:val="single" w:sz="8" w:space="0" w:color="000000"/>
            </w:tcBorders>
            <w:tcMar>
              <w:top w:w="100" w:type="dxa"/>
              <w:left w:w="100" w:type="dxa"/>
              <w:bottom w:w="100" w:type="dxa"/>
              <w:right w:w="100" w:type="dxa"/>
            </w:tcMar>
          </w:tcPr>
          <w:p w14:paraId="44412A95" w14:textId="77777777" w:rsidR="00945ACC" w:rsidRPr="00945ACC" w:rsidRDefault="00945ACC" w:rsidP="00945ACC">
            <w:pPr>
              <w:snapToGrid w:val="0"/>
              <w:spacing w:line="240" w:lineRule="auto"/>
              <w:contextualSpacing/>
              <w:rPr>
                <w:color w:val="000000" w:themeColor="text1"/>
              </w:rPr>
            </w:pPr>
            <w:r w:rsidRPr="00945ACC">
              <w:rPr>
                <w:color w:val="000000" w:themeColor="text1"/>
              </w:rPr>
              <w:t xml:space="preserve"> 22 %</w:t>
            </w:r>
          </w:p>
        </w:tc>
        <w:tc>
          <w:tcPr>
            <w:tcW w:w="2562" w:type="dxa"/>
            <w:tcBorders>
              <w:bottom w:val="single" w:sz="8" w:space="0" w:color="000000"/>
              <w:right w:val="single" w:sz="8" w:space="0" w:color="000000"/>
            </w:tcBorders>
            <w:tcMar>
              <w:top w:w="100" w:type="dxa"/>
              <w:left w:w="100" w:type="dxa"/>
              <w:bottom w:w="100" w:type="dxa"/>
              <w:right w:w="100" w:type="dxa"/>
            </w:tcMar>
          </w:tcPr>
          <w:p w14:paraId="130B7B0F" w14:textId="77777777" w:rsidR="00945ACC" w:rsidRPr="00945ACC" w:rsidRDefault="00945ACC" w:rsidP="00945ACC">
            <w:pPr>
              <w:snapToGrid w:val="0"/>
              <w:spacing w:line="240" w:lineRule="auto"/>
              <w:contextualSpacing/>
              <w:rPr>
                <w:color w:val="000000" w:themeColor="text1"/>
              </w:rPr>
            </w:pPr>
            <w:r w:rsidRPr="00945ACC">
              <w:rPr>
                <w:color w:val="000000" w:themeColor="text1"/>
              </w:rPr>
              <w:t xml:space="preserve"> </w:t>
            </w:r>
          </w:p>
        </w:tc>
      </w:tr>
      <w:tr w:rsidR="00945ACC" w:rsidRPr="00945ACC" w14:paraId="78C44742" w14:textId="77777777" w:rsidTr="00452C0C">
        <w:trPr>
          <w:trHeight w:val="170"/>
          <w:jc w:val="center"/>
        </w:trPr>
        <w:tc>
          <w:tcPr>
            <w:tcW w:w="2694" w:type="dxa"/>
            <w:vMerge w:val="restart"/>
            <w:tcBorders>
              <w:left w:val="single" w:sz="8" w:space="0" w:color="000000"/>
              <w:right w:val="single" w:sz="8" w:space="0" w:color="000000"/>
            </w:tcBorders>
            <w:tcMar>
              <w:top w:w="100" w:type="dxa"/>
              <w:left w:w="100" w:type="dxa"/>
              <w:bottom w:w="100" w:type="dxa"/>
              <w:right w:w="100" w:type="dxa"/>
            </w:tcMar>
          </w:tcPr>
          <w:p w14:paraId="5E36C669" w14:textId="77777777" w:rsidR="00945ACC" w:rsidRPr="00945ACC" w:rsidRDefault="00945ACC" w:rsidP="00945ACC">
            <w:pPr>
              <w:snapToGrid w:val="0"/>
              <w:spacing w:line="240" w:lineRule="auto"/>
              <w:contextualSpacing/>
              <w:rPr>
                <w:b/>
                <w:bCs/>
                <w:color w:val="000000" w:themeColor="text1"/>
              </w:rPr>
            </w:pPr>
            <w:r w:rsidRPr="00945ACC">
              <w:rPr>
                <w:b/>
                <w:bCs/>
                <w:color w:val="000000" w:themeColor="text1"/>
              </w:rPr>
              <w:t>GAD</w:t>
            </w:r>
          </w:p>
          <w:p w14:paraId="76668973" w14:textId="77777777" w:rsidR="00945ACC" w:rsidRPr="00945ACC" w:rsidRDefault="00945ACC" w:rsidP="00945ACC">
            <w:pPr>
              <w:snapToGrid w:val="0"/>
              <w:spacing w:line="240" w:lineRule="auto"/>
              <w:contextualSpacing/>
              <w:rPr>
                <w:b/>
                <w:bCs/>
                <w:color w:val="000000" w:themeColor="text1"/>
              </w:rPr>
            </w:pPr>
            <w:r w:rsidRPr="00945ACC">
              <w:rPr>
                <w:b/>
                <w:bCs/>
                <w:color w:val="000000" w:themeColor="text1"/>
              </w:rPr>
              <w:t>% above cut-off</w:t>
            </w:r>
          </w:p>
        </w:tc>
        <w:tc>
          <w:tcPr>
            <w:tcW w:w="1701" w:type="dxa"/>
            <w:gridSpan w:val="2"/>
            <w:tcBorders>
              <w:bottom w:val="single" w:sz="8" w:space="0" w:color="000000"/>
              <w:right w:val="single" w:sz="8" w:space="0" w:color="000000"/>
            </w:tcBorders>
            <w:tcMar>
              <w:top w:w="100" w:type="dxa"/>
              <w:left w:w="100" w:type="dxa"/>
              <w:bottom w:w="100" w:type="dxa"/>
              <w:right w:w="100" w:type="dxa"/>
            </w:tcMar>
          </w:tcPr>
          <w:p w14:paraId="56B402C7" w14:textId="77777777" w:rsidR="00945ACC" w:rsidRPr="00945ACC" w:rsidRDefault="00945ACC" w:rsidP="00945ACC">
            <w:pPr>
              <w:snapToGrid w:val="0"/>
              <w:spacing w:line="240" w:lineRule="auto"/>
              <w:contextualSpacing/>
              <w:rPr>
                <w:color w:val="000000" w:themeColor="text1"/>
              </w:rPr>
            </w:pPr>
            <w:r w:rsidRPr="00945ACC">
              <w:rPr>
                <w:color w:val="000000" w:themeColor="text1"/>
              </w:rPr>
              <w:t>2.04 (1.51)</w:t>
            </w:r>
          </w:p>
        </w:tc>
        <w:tc>
          <w:tcPr>
            <w:tcW w:w="1407" w:type="dxa"/>
            <w:tcBorders>
              <w:bottom w:val="single" w:sz="8" w:space="0" w:color="000000"/>
              <w:right w:val="single" w:sz="8" w:space="0" w:color="000000"/>
            </w:tcBorders>
            <w:tcMar>
              <w:top w:w="100" w:type="dxa"/>
              <w:left w:w="100" w:type="dxa"/>
              <w:bottom w:w="100" w:type="dxa"/>
              <w:right w:w="100" w:type="dxa"/>
            </w:tcMar>
          </w:tcPr>
          <w:p w14:paraId="52DB6BD3" w14:textId="77777777" w:rsidR="00945ACC" w:rsidRPr="00945ACC" w:rsidRDefault="00945ACC" w:rsidP="00945ACC">
            <w:pPr>
              <w:snapToGrid w:val="0"/>
              <w:spacing w:line="240" w:lineRule="auto"/>
              <w:contextualSpacing/>
              <w:rPr>
                <w:color w:val="000000" w:themeColor="text1"/>
              </w:rPr>
            </w:pPr>
            <w:r w:rsidRPr="00945ACC">
              <w:rPr>
                <w:color w:val="000000" w:themeColor="text1"/>
              </w:rPr>
              <w:t>1.82 (1.52)</w:t>
            </w:r>
          </w:p>
        </w:tc>
        <w:tc>
          <w:tcPr>
            <w:tcW w:w="2562" w:type="dxa"/>
            <w:tcBorders>
              <w:bottom w:val="single" w:sz="8" w:space="0" w:color="000000"/>
              <w:right w:val="single" w:sz="8" w:space="0" w:color="000000"/>
            </w:tcBorders>
            <w:tcMar>
              <w:top w:w="100" w:type="dxa"/>
              <w:left w:w="100" w:type="dxa"/>
              <w:bottom w:w="100" w:type="dxa"/>
              <w:right w:w="100" w:type="dxa"/>
            </w:tcMar>
          </w:tcPr>
          <w:p w14:paraId="46C46E32" w14:textId="77777777" w:rsidR="00945ACC" w:rsidRPr="00945ACC" w:rsidRDefault="00945ACC" w:rsidP="00945ACC">
            <w:pPr>
              <w:snapToGrid w:val="0"/>
              <w:spacing w:line="240" w:lineRule="auto"/>
              <w:contextualSpacing/>
              <w:rPr>
                <w:color w:val="000000" w:themeColor="text1"/>
              </w:rPr>
            </w:pPr>
            <w:proofErr w:type="gramStart"/>
            <w:r w:rsidRPr="00945ACC">
              <w:rPr>
                <w:color w:val="000000" w:themeColor="text1"/>
              </w:rPr>
              <w:t>t(</w:t>
            </w:r>
            <w:proofErr w:type="gramEnd"/>
            <w:r w:rsidRPr="00945ACC">
              <w:rPr>
                <w:color w:val="000000" w:themeColor="text1"/>
              </w:rPr>
              <w:t xml:space="preserve">364) = 3.97, </w:t>
            </w:r>
            <w:r w:rsidRPr="00945ACC">
              <w:rPr>
                <w:b/>
                <w:color w:val="000000" w:themeColor="text1"/>
              </w:rPr>
              <w:t>p &lt; .001</w:t>
            </w:r>
          </w:p>
        </w:tc>
      </w:tr>
      <w:tr w:rsidR="00945ACC" w:rsidRPr="00945ACC" w14:paraId="261B625A" w14:textId="77777777" w:rsidTr="00452C0C">
        <w:trPr>
          <w:trHeight w:val="170"/>
          <w:jc w:val="center"/>
        </w:trPr>
        <w:tc>
          <w:tcPr>
            <w:tcW w:w="2694"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1CEE99AD" w14:textId="77777777" w:rsidR="00945ACC" w:rsidRPr="00945ACC" w:rsidRDefault="00945ACC" w:rsidP="00945ACC">
            <w:pPr>
              <w:snapToGrid w:val="0"/>
              <w:spacing w:line="240" w:lineRule="auto"/>
              <w:contextualSpacing/>
              <w:rPr>
                <w:b/>
                <w:bCs/>
                <w:color w:val="000000" w:themeColor="text1"/>
              </w:rPr>
            </w:pPr>
          </w:p>
        </w:tc>
        <w:tc>
          <w:tcPr>
            <w:tcW w:w="1701" w:type="dxa"/>
            <w:gridSpan w:val="2"/>
            <w:tcBorders>
              <w:bottom w:val="single" w:sz="8" w:space="0" w:color="000000"/>
              <w:right w:val="single" w:sz="8" w:space="0" w:color="000000"/>
            </w:tcBorders>
            <w:tcMar>
              <w:top w:w="100" w:type="dxa"/>
              <w:left w:w="100" w:type="dxa"/>
              <w:bottom w:w="100" w:type="dxa"/>
              <w:right w:w="100" w:type="dxa"/>
            </w:tcMar>
          </w:tcPr>
          <w:p w14:paraId="088A4E81" w14:textId="77777777" w:rsidR="00945ACC" w:rsidRPr="00945ACC" w:rsidRDefault="00945ACC" w:rsidP="00945ACC">
            <w:pPr>
              <w:snapToGrid w:val="0"/>
              <w:spacing w:line="240" w:lineRule="auto"/>
              <w:contextualSpacing/>
              <w:rPr>
                <w:color w:val="000000" w:themeColor="text1"/>
              </w:rPr>
            </w:pPr>
            <w:r w:rsidRPr="00945ACC">
              <w:rPr>
                <w:color w:val="000000" w:themeColor="text1"/>
              </w:rPr>
              <w:t>27 %</w:t>
            </w:r>
          </w:p>
        </w:tc>
        <w:tc>
          <w:tcPr>
            <w:tcW w:w="1407" w:type="dxa"/>
            <w:tcBorders>
              <w:bottom w:val="single" w:sz="8" w:space="0" w:color="000000"/>
              <w:right w:val="single" w:sz="8" w:space="0" w:color="000000"/>
            </w:tcBorders>
            <w:tcMar>
              <w:top w:w="100" w:type="dxa"/>
              <w:left w:w="100" w:type="dxa"/>
              <w:bottom w:w="100" w:type="dxa"/>
              <w:right w:w="100" w:type="dxa"/>
            </w:tcMar>
          </w:tcPr>
          <w:p w14:paraId="3CF2575F" w14:textId="77777777" w:rsidR="00945ACC" w:rsidRPr="00945ACC" w:rsidRDefault="00945ACC" w:rsidP="00945ACC">
            <w:pPr>
              <w:snapToGrid w:val="0"/>
              <w:spacing w:line="240" w:lineRule="auto"/>
              <w:contextualSpacing/>
              <w:rPr>
                <w:color w:val="000000" w:themeColor="text1"/>
              </w:rPr>
            </w:pPr>
            <w:r w:rsidRPr="00945ACC">
              <w:rPr>
                <w:color w:val="000000" w:themeColor="text1"/>
              </w:rPr>
              <w:t>20 %</w:t>
            </w:r>
          </w:p>
        </w:tc>
        <w:tc>
          <w:tcPr>
            <w:tcW w:w="2562" w:type="dxa"/>
            <w:tcBorders>
              <w:bottom w:val="single" w:sz="8" w:space="0" w:color="000000"/>
              <w:right w:val="single" w:sz="8" w:space="0" w:color="000000"/>
            </w:tcBorders>
            <w:tcMar>
              <w:top w:w="100" w:type="dxa"/>
              <w:left w:w="100" w:type="dxa"/>
              <w:bottom w:w="100" w:type="dxa"/>
              <w:right w:w="100" w:type="dxa"/>
            </w:tcMar>
          </w:tcPr>
          <w:p w14:paraId="380EAD4E" w14:textId="77777777" w:rsidR="00945ACC" w:rsidRPr="00945ACC" w:rsidRDefault="00945ACC" w:rsidP="00945ACC">
            <w:pPr>
              <w:snapToGrid w:val="0"/>
              <w:spacing w:line="240" w:lineRule="auto"/>
              <w:contextualSpacing/>
              <w:rPr>
                <w:color w:val="000000" w:themeColor="text1"/>
              </w:rPr>
            </w:pPr>
          </w:p>
        </w:tc>
      </w:tr>
      <w:tr w:rsidR="00945ACC" w:rsidRPr="00945ACC" w14:paraId="7ABCF1B1" w14:textId="77777777" w:rsidTr="00452C0C">
        <w:trPr>
          <w:trHeight w:val="170"/>
          <w:jc w:val="center"/>
        </w:trPr>
        <w:tc>
          <w:tcPr>
            <w:tcW w:w="269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398E872" w14:textId="77777777" w:rsidR="00945ACC" w:rsidRPr="00945ACC" w:rsidRDefault="00945ACC" w:rsidP="00945ACC">
            <w:pPr>
              <w:snapToGrid w:val="0"/>
              <w:spacing w:line="240" w:lineRule="auto"/>
              <w:contextualSpacing/>
              <w:rPr>
                <w:b/>
                <w:bCs/>
                <w:color w:val="000000" w:themeColor="text1"/>
              </w:rPr>
            </w:pPr>
            <w:r w:rsidRPr="00945ACC">
              <w:rPr>
                <w:b/>
                <w:bCs/>
                <w:color w:val="000000" w:themeColor="text1"/>
              </w:rPr>
              <w:t>PSS</w:t>
            </w:r>
          </w:p>
        </w:tc>
        <w:tc>
          <w:tcPr>
            <w:tcW w:w="1701" w:type="dxa"/>
            <w:gridSpan w:val="2"/>
            <w:tcBorders>
              <w:bottom w:val="single" w:sz="8" w:space="0" w:color="000000"/>
              <w:right w:val="single" w:sz="8" w:space="0" w:color="000000"/>
            </w:tcBorders>
            <w:tcMar>
              <w:top w:w="100" w:type="dxa"/>
              <w:left w:w="100" w:type="dxa"/>
              <w:bottom w:w="100" w:type="dxa"/>
              <w:right w:w="100" w:type="dxa"/>
            </w:tcMar>
          </w:tcPr>
          <w:p w14:paraId="1C1A1769" w14:textId="77777777" w:rsidR="00945ACC" w:rsidRPr="00945ACC" w:rsidRDefault="00945ACC" w:rsidP="00945ACC">
            <w:pPr>
              <w:snapToGrid w:val="0"/>
              <w:spacing w:line="240" w:lineRule="auto"/>
              <w:contextualSpacing/>
              <w:rPr>
                <w:color w:val="000000" w:themeColor="text1"/>
              </w:rPr>
            </w:pPr>
            <w:r w:rsidRPr="00945ACC">
              <w:rPr>
                <w:color w:val="000000" w:themeColor="text1"/>
              </w:rPr>
              <w:t>18.70 (3.04)</w:t>
            </w:r>
          </w:p>
        </w:tc>
        <w:tc>
          <w:tcPr>
            <w:tcW w:w="1407" w:type="dxa"/>
            <w:tcBorders>
              <w:bottom w:val="single" w:sz="8" w:space="0" w:color="000000"/>
              <w:right w:val="single" w:sz="8" w:space="0" w:color="000000"/>
            </w:tcBorders>
            <w:tcMar>
              <w:top w:w="100" w:type="dxa"/>
              <w:left w:w="100" w:type="dxa"/>
              <w:bottom w:w="100" w:type="dxa"/>
              <w:right w:w="100" w:type="dxa"/>
            </w:tcMar>
          </w:tcPr>
          <w:p w14:paraId="3000E140" w14:textId="77777777" w:rsidR="00945ACC" w:rsidRPr="00945ACC" w:rsidRDefault="00945ACC" w:rsidP="00945ACC">
            <w:pPr>
              <w:snapToGrid w:val="0"/>
              <w:spacing w:line="240" w:lineRule="auto"/>
              <w:contextualSpacing/>
              <w:rPr>
                <w:color w:val="000000" w:themeColor="text1"/>
              </w:rPr>
            </w:pPr>
            <w:r w:rsidRPr="00945ACC">
              <w:rPr>
                <w:color w:val="000000" w:themeColor="text1"/>
              </w:rPr>
              <w:t>18.09 (2.89)</w:t>
            </w:r>
          </w:p>
        </w:tc>
        <w:tc>
          <w:tcPr>
            <w:tcW w:w="2562" w:type="dxa"/>
            <w:tcBorders>
              <w:bottom w:val="single" w:sz="8" w:space="0" w:color="000000"/>
              <w:right w:val="single" w:sz="8" w:space="0" w:color="000000"/>
            </w:tcBorders>
            <w:tcMar>
              <w:top w:w="100" w:type="dxa"/>
              <w:left w:w="100" w:type="dxa"/>
              <w:bottom w:w="100" w:type="dxa"/>
              <w:right w:w="100" w:type="dxa"/>
            </w:tcMar>
          </w:tcPr>
          <w:p w14:paraId="2CCE2061" w14:textId="77777777" w:rsidR="00945ACC" w:rsidRPr="00945ACC" w:rsidRDefault="00945ACC" w:rsidP="00945ACC">
            <w:pPr>
              <w:snapToGrid w:val="0"/>
              <w:spacing w:line="240" w:lineRule="auto"/>
              <w:contextualSpacing/>
              <w:rPr>
                <w:color w:val="000000" w:themeColor="text1"/>
              </w:rPr>
            </w:pPr>
            <w:proofErr w:type="gramStart"/>
            <w:r w:rsidRPr="00945ACC">
              <w:rPr>
                <w:color w:val="000000" w:themeColor="text1"/>
              </w:rPr>
              <w:t>t(</w:t>
            </w:r>
            <w:proofErr w:type="gramEnd"/>
            <w:r w:rsidRPr="00945ACC">
              <w:rPr>
                <w:color w:val="000000" w:themeColor="text1"/>
              </w:rPr>
              <w:t xml:space="preserve">364) = 3.99, </w:t>
            </w:r>
            <w:r w:rsidRPr="00945ACC">
              <w:rPr>
                <w:b/>
                <w:color w:val="000000" w:themeColor="text1"/>
              </w:rPr>
              <w:t>p &lt; .001</w:t>
            </w:r>
          </w:p>
        </w:tc>
      </w:tr>
      <w:tr w:rsidR="00945ACC" w:rsidRPr="00945ACC" w14:paraId="62243C5F" w14:textId="77777777" w:rsidTr="00452C0C">
        <w:trPr>
          <w:trHeight w:val="170"/>
          <w:jc w:val="center"/>
        </w:trPr>
        <w:tc>
          <w:tcPr>
            <w:tcW w:w="269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D9105F1" w14:textId="77777777" w:rsidR="00945ACC" w:rsidRPr="00945ACC" w:rsidRDefault="00945ACC" w:rsidP="00945ACC">
            <w:pPr>
              <w:snapToGrid w:val="0"/>
              <w:spacing w:line="240" w:lineRule="auto"/>
              <w:contextualSpacing/>
              <w:rPr>
                <w:b/>
                <w:bCs/>
                <w:color w:val="000000" w:themeColor="text1"/>
              </w:rPr>
            </w:pPr>
            <w:r w:rsidRPr="00945ACC">
              <w:rPr>
                <w:b/>
                <w:bCs/>
                <w:color w:val="000000" w:themeColor="text1"/>
              </w:rPr>
              <w:t>QL</w:t>
            </w:r>
          </w:p>
        </w:tc>
        <w:tc>
          <w:tcPr>
            <w:tcW w:w="1701" w:type="dxa"/>
            <w:gridSpan w:val="2"/>
            <w:tcBorders>
              <w:bottom w:val="single" w:sz="8" w:space="0" w:color="000000"/>
              <w:right w:val="single" w:sz="8" w:space="0" w:color="000000"/>
            </w:tcBorders>
            <w:tcMar>
              <w:top w:w="100" w:type="dxa"/>
              <w:left w:w="100" w:type="dxa"/>
              <w:bottom w:w="100" w:type="dxa"/>
              <w:right w:w="100" w:type="dxa"/>
            </w:tcMar>
          </w:tcPr>
          <w:p w14:paraId="7F9DC517" w14:textId="77777777" w:rsidR="00945ACC" w:rsidRPr="00945ACC" w:rsidRDefault="00945ACC" w:rsidP="00945ACC">
            <w:pPr>
              <w:snapToGrid w:val="0"/>
              <w:spacing w:line="240" w:lineRule="auto"/>
              <w:contextualSpacing/>
              <w:rPr>
                <w:color w:val="000000" w:themeColor="text1"/>
              </w:rPr>
            </w:pPr>
            <w:r w:rsidRPr="00945ACC">
              <w:rPr>
                <w:color w:val="000000" w:themeColor="text1"/>
              </w:rPr>
              <w:t>2.74 (1.13)</w:t>
            </w:r>
          </w:p>
        </w:tc>
        <w:tc>
          <w:tcPr>
            <w:tcW w:w="1407" w:type="dxa"/>
            <w:tcBorders>
              <w:bottom w:val="single" w:sz="8" w:space="0" w:color="000000"/>
              <w:right w:val="single" w:sz="8" w:space="0" w:color="000000"/>
            </w:tcBorders>
            <w:tcMar>
              <w:top w:w="100" w:type="dxa"/>
              <w:left w:w="100" w:type="dxa"/>
              <w:bottom w:w="100" w:type="dxa"/>
              <w:right w:w="100" w:type="dxa"/>
            </w:tcMar>
          </w:tcPr>
          <w:p w14:paraId="629EFBB0" w14:textId="77777777" w:rsidR="00945ACC" w:rsidRPr="00945ACC" w:rsidRDefault="00945ACC" w:rsidP="00945ACC">
            <w:pPr>
              <w:snapToGrid w:val="0"/>
              <w:spacing w:line="240" w:lineRule="auto"/>
              <w:contextualSpacing/>
              <w:rPr>
                <w:color w:val="000000" w:themeColor="text1"/>
              </w:rPr>
            </w:pPr>
            <w:r w:rsidRPr="00945ACC">
              <w:rPr>
                <w:color w:val="000000" w:themeColor="text1"/>
              </w:rPr>
              <w:t>2.76 (1.10)</w:t>
            </w:r>
          </w:p>
        </w:tc>
        <w:tc>
          <w:tcPr>
            <w:tcW w:w="2562" w:type="dxa"/>
            <w:tcBorders>
              <w:bottom w:val="single" w:sz="8" w:space="0" w:color="000000"/>
              <w:right w:val="single" w:sz="8" w:space="0" w:color="000000"/>
            </w:tcBorders>
            <w:tcMar>
              <w:top w:w="100" w:type="dxa"/>
              <w:left w:w="100" w:type="dxa"/>
              <w:bottom w:w="100" w:type="dxa"/>
              <w:right w:w="100" w:type="dxa"/>
            </w:tcMar>
          </w:tcPr>
          <w:p w14:paraId="082A845B" w14:textId="77777777" w:rsidR="00945ACC" w:rsidRPr="00945ACC" w:rsidRDefault="00945ACC" w:rsidP="00945ACC">
            <w:pPr>
              <w:snapToGrid w:val="0"/>
              <w:spacing w:line="240" w:lineRule="auto"/>
              <w:contextualSpacing/>
              <w:rPr>
                <w:color w:val="000000" w:themeColor="text1"/>
              </w:rPr>
            </w:pPr>
            <w:proofErr w:type="gramStart"/>
            <w:r w:rsidRPr="00945ACC">
              <w:rPr>
                <w:color w:val="000000" w:themeColor="text1"/>
              </w:rPr>
              <w:t>t(</w:t>
            </w:r>
            <w:proofErr w:type="gramEnd"/>
            <w:r w:rsidRPr="00945ACC">
              <w:rPr>
                <w:color w:val="000000" w:themeColor="text1"/>
              </w:rPr>
              <w:t>364) = -1.51, p = .13</w:t>
            </w:r>
          </w:p>
        </w:tc>
      </w:tr>
      <w:tr w:rsidR="00945ACC" w:rsidRPr="00945ACC" w14:paraId="5E502C85" w14:textId="77777777" w:rsidTr="00452C0C">
        <w:trPr>
          <w:trHeight w:val="170"/>
          <w:jc w:val="center"/>
        </w:trPr>
        <w:tc>
          <w:tcPr>
            <w:tcW w:w="269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32CF3E3" w14:textId="77777777" w:rsidR="00945ACC" w:rsidRPr="00945ACC" w:rsidRDefault="00945ACC" w:rsidP="00945ACC">
            <w:pPr>
              <w:snapToGrid w:val="0"/>
              <w:spacing w:line="240" w:lineRule="auto"/>
              <w:contextualSpacing/>
              <w:rPr>
                <w:b/>
                <w:bCs/>
                <w:color w:val="000000" w:themeColor="text1"/>
              </w:rPr>
            </w:pPr>
            <w:r w:rsidRPr="00945ACC">
              <w:rPr>
                <w:b/>
                <w:bCs/>
                <w:color w:val="000000" w:themeColor="text1"/>
              </w:rPr>
              <w:t>QR</w:t>
            </w:r>
          </w:p>
        </w:tc>
        <w:tc>
          <w:tcPr>
            <w:tcW w:w="1701" w:type="dxa"/>
            <w:gridSpan w:val="2"/>
            <w:tcBorders>
              <w:bottom w:val="single" w:sz="8" w:space="0" w:color="000000"/>
              <w:right w:val="single" w:sz="8" w:space="0" w:color="000000"/>
            </w:tcBorders>
            <w:tcMar>
              <w:top w:w="100" w:type="dxa"/>
              <w:left w:w="100" w:type="dxa"/>
              <w:bottom w:w="100" w:type="dxa"/>
              <w:right w:w="100" w:type="dxa"/>
            </w:tcMar>
          </w:tcPr>
          <w:p w14:paraId="0E950A1C" w14:textId="77777777" w:rsidR="00945ACC" w:rsidRPr="00945ACC" w:rsidRDefault="00945ACC" w:rsidP="00945ACC">
            <w:pPr>
              <w:snapToGrid w:val="0"/>
              <w:spacing w:line="240" w:lineRule="auto"/>
              <w:contextualSpacing/>
              <w:rPr>
                <w:color w:val="000000" w:themeColor="text1"/>
              </w:rPr>
            </w:pPr>
            <w:r w:rsidRPr="00945ACC">
              <w:rPr>
                <w:color w:val="000000" w:themeColor="text1"/>
              </w:rPr>
              <w:t>1.16 (1.20)</w:t>
            </w:r>
          </w:p>
        </w:tc>
        <w:tc>
          <w:tcPr>
            <w:tcW w:w="1407" w:type="dxa"/>
            <w:tcBorders>
              <w:bottom w:val="single" w:sz="8" w:space="0" w:color="000000"/>
              <w:right w:val="single" w:sz="8" w:space="0" w:color="000000"/>
            </w:tcBorders>
            <w:tcMar>
              <w:top w:w="100" w:type="dxa"/>
              <w:left w:w="100" w:type="dxa"/>
              <w:bottom w:w="100" w:type="dxa"/>
              <w:right w:w="100" w:type="dxa"/>
            </w:tcMar>
          </w:tcPr>
          <w:p w14:paraId="06B181F5" w14:textId="77777777" w:rsidR="00945ACC" w:rsidRPr="00945ACC" w:rsidRDefault="00945ACC" w:rsidP="00945ACC">
            <w:pPr>
              <w:snapToGrid w:val="0"/>
              <w:spacing w:line="240" w:lineRule="auto"/>
              <w:contextualSpacing/>
              <w:rPr>
                <w:color w:val="000000" w:themeColor="text1"/>
              </w:rPr>
            </w:pPr>
            <w:r w:rsidRPr="00945ACC">
              <w:rPr>
                <w:color w:val="000000" w:themeColor="text1"/>
              </w:rPr>
              <w:t>1.14 (1.70)</w:t>
            </w:r>
          </w:p>
        </w:tc>
        <w:tc>
          <w:tcPr>
            <w:tcW w:w="2562" w:type="dxa"/>
            <w:tcBorders>
              <w:bottom w:val="single" w:sz="8" w:space="0" w:color="000000"/>
              <w:right w:val="single" w:sz="8" w:space="0" w:color="000000"/>
            </w:tcBorders>
            <w:tcMar>
              <w:top w:w="100" w:type="dxa"/>
              <w:left w:w="100" w:type="dxa"/>
              <w:bottom w:w="100" w:type="dxa"/>
              <w:right w:w="100" w:type="dxa"/>
            </w:tcMar>
          </w:tcPr>
          <w:p w14:paraId="62D346CE" w14:textId="77777777" w:rsidR="00945ACC" w:rsidRPr="00945ACC" w:rsidRDefault="00945ACC" w:rsidP="00945ACC">
            <w:pPr>
              <w:snapToGrid w:val="0"/>
              <w:spacing w:line="240" w:lineRule="auto"/>
              <w:contextualSpacing/>
              <w:rPr>
                <w:color w:val="000000" w:themeColor="text1"/>
              </w:rPr>
            </w:pPr>
            <w:proofErr w:type="gramStart"/>
            <w:r w:rsidRPr="00945ACC">
              <w:rPr>
                <w:color w:val="000000" w:themeColor="text1"/>
              </w:rPr>
              <w:t>t(</w:t>
            </w:r>
            <w:proofErr w:type="gramEnd"/>
            <w:r w:rsidRPr="00945ACC">
              <w:rPr>
                <w:color w:val="000000" w:themeColor="text1"/>
              </w:rPr>
              <w:t>364) = 1.07, p = .28</w:t>
            </w:r>
          </w:p>
        </w:tc>
      </w:tr>
      <w:tr w:rsidR="00945ACC" w:rsidRPr="00945ACC" w14:paraId="4FB531DE" w14:textId="77777777" w:rsidTr="00452C0C">
        <w:trPr>
          <w:trHeight w:val="170"/>
          <w:jc w:val="center"/>
        </w:trPr>
        <w:tc>
          <w:tcPr>
            <w:tcW w:w="269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4C8C26F" w14:textId="77777777" w:rsidR="00945ACC" w:rsidRPr="00945ACC" w:rsidRDefault="00945ACC" w:rsidP="00945ACC">
            <w:pPr>
              <w:snapToGrid w:val="0"/>
              <w:spacing w:line="240" w:lineRule="auto"/>
              <w:contextualSpacing/>
              <w:rPr>
                <w:b/>
                <w:bCs/>
                <w:color w:val="000000" w:themeColor="text1"/>
              </w:rPr>
            </w:pPr>
            <w:r w:rsidRPr="00945ACC">
              <w:rPr>
                <w:b/>
                <w:bCs/>
                <w:color w:val="000000" w:themeColor="text1"/>
              </w:rPr>
              <w:t>WL</w:t>
            </w:r>
          </w:p>
        </w:tc>
        <w:tc>
          <w:tcPr>
            <w:tcW w:w="1701" w:type="dxa"/>
            <w:gridSpan w:val="2"/>
            <w:tcBorders>
              <w:bottom w:val="single" w:sz="8" w:space="0" w:color="000000"/>
              <w:right w:val="single" w:sz="8" w:space="0" w:color="000000"/>
            </w:tcBorders>
            <w:tcMar>
              <w:top w:w="100" w:type="dxa"/>
              <w:left w:w="100" w:type="dxa"/>
              <w:bottom w:w="100" w:type="dxa"/>
              <w:right w:w="100" w:type="dxa"/>
            </w:tcMar>
          </w:tcPr>
          <w:p w14:paraId="64D7E72D" w14:textId="77777777" w:rsidR="00945ACC" w:rsidRPr="00945ACC" w:rsidRDefault="00945ACC" w:rsidP="00945ACC">
            <w:pPr>
              <w:snapToGrid w:val="0"/>
              <w:spacing w:line="240" w:lineRule="auto"/>
              <w:contextualSpacing/>
              <w:rPr>
                <w:color w:val="000000" w:themeColor="text1"/>
              </w:rPr>
            </w:pPr>
            <w:r w:rsidRPr="00945ACC">
              <w:rPr>
                <w:color w:val="000000" w:themeColor="text1"/>
              </w:rPr>
              <w:t>1.12 (0.90)</w:t>
            </w:r>
          </w:p>
        </w:tc>
        <w:tc>
          <w:tcPr>
            <w:tcW w:w="1407" w:type="dxa"/>
            <w:tcBorders>
              <w:bottom w:val="single" w:sz="8" w:space="0" w:color="000000"/>
              <w:right w:val="single" w:sz="8" w:space="0" w:color="000000"/>
            </w:tcBorders>
            <w:tcMar>
              <w:top w:w="100" w:type="dxa"/>
              <w:left w:w="100" w:type="dxa"/>
              <w:bottom w:w="100" w:type="dxa"/>
              <w:right w:w="100" w:type="dxa"/>
            </w:tcMar>
          </w:tcPr>
          <w:p w14:paraId="49CC94CB" w14:textId="77777777" w:rsidR="00945ACC" w:rsidRPr="00945ACC" w:rsidRDefault="00945ACC" w:rsidP="00945ACC">
            <w:pPr>
              <w:snapToGrid w:val="0"/>
              <w:spacing w:line="240" w:lineRule="auto"/>
              <w:contextualSpacing/>
              <w:rPr>
                <w:color w:val="000000" w:themeColor="text1"/>
              </w:rPr>
            </w:pPr>
            <w:r w:rsidRPr="00945ACC">
              <w:rPr>
                <w:color w:val="000000" w:themeColor="text1"/>
              </w:rPr>
              <w:t>1.24 (0.82)</w:t>
            </w:r>
          </w:p>
        </w:tc>
        <w:tc>
          <w:tcPr>
            <w:tcW w:w="2562" w:type="dxa"/>
            <w:tcBorders>
              <w:bottom w:val="single" w:sz="8" w:space="0" w:color="000000"/>
              <w:right w:val="single" w:sz="8" w:space="0" w:color="000000"/>
            </w:tcBorders>
            <w:tcMar>
              <w:top w:w="100" w:type="dxa"/>
              <w:left w:w="100" w:type="dxa"/>
              <w:bottom w:w="100" w:type="dxa"/>
              <w:right w:w="100" w:type="dxa"/>
            </w:tcMar>
          </w:tcPr>
          <w:p w14:paraId="48751BB8" w14:textId="77777777" w:rsidR="00945ACC" w:rsidRPr="00945ACC" w:rsidRDefault="00945ACC" w:rsidP="00945ACC">
            <w:pPr>
              <w:snapToGrid w:val="0"/>
              <w:spacing w:line="240" w:lineRule="auto"/>
              <w:contextualSpacing/>
              <w:rPr>
                <w:color w:val="000000" w:themeColor="text1"/>
              </w:rPr>
            </w:pPr>
            <w:proofErr w:type="gramStart"/>
            <w:r w:rsidRPr="00945ACC">
              <w:rPr>
                <w:color w:val="000000" w:themeColor="text1"/>
              </w:rPr>
              <w:t>t(</w:t>
            </w:r>
            <w:proofErr w:type="gramEnd"/>
            <w:r w:rsidRPr="00945ACC">
              <w:rPr>
                <w:color w:val="000000" w:themeColor="text1"/>
              </w:rPr>
              <w:t xml:space="preserve">364) = -5.19, </w:t>
            </w:r>
            <w:r w:rsidRPr="00945ACC">
              <w:rPr>
                <w:b/>
                <w:color w:val="000000" w:themeColor="text1"/>
              </w:rPr>
              <w:t>p &lt; .001</w:t>
            </w:r>
          </w:p>
        </w:tc>
      </w:tr>
      <w:tr w:rsidR="00945ACC" w:rsidRPr="00945ACC" w14:paraId="1023510F" w14:textId="77777777" w:rsidTr="00452C0C">
        <w:trPr>
          <w:trHeight w:val="170"/>
          <w:jc w:val="center"/>
        </w:trPr>
        <w:tc>
          <w:tcPr>
            <w:tcW w:w="269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546EB2F" w14:textId="77777777" w:rsidR="00945ACC" w:rsidRPr="00945ACC" w:rsidRDefault="00945ACC" w:rsidP="00945ACC">
            <w:pPr>
              <w:snapToGrid w:val="0"/>
              <w:spacing w:line="240" w:lineRule="auto"/>
              <w:contextualSpacing/>
              <w:rPr>
                <w:b/>
                <w:bCs/>
                <w:color w:val="000000" w:themeColor="text1"/>
              </w:rPr>
            </w:pPr>
            <w:r w:rsidRPr="00945ACC">
              <w:rPr>
                <w:b/>
                <w:bCs/>
                <w:color w:val="000000" w:themeColor="text1"/>
              </w:rPr>
              <w:t>CW</w:t>
            </w:r>
          </w:p>
        </w:tc>
        <w:tc>
          <w:tcPr>
            <w:tcW w:w="1701" w:type="dxa"/>
            <w:gridSpan w:val="2"/>
            <w:tcBorders>
              <w:bottom w:val="single" w:sz="8" w:space="0" w:color="000000"/>
              <w:right w:val="single" w:sz="8" w:space="0" w:color="000000"/>
            </w:tcBorders>
            <w:tcMar>
              <w:top w:w="100" w:type="dxa"/>
              <w:left w:w="100" w:type="dxa"/>
              <w:bottom w:w="100" w:type="dxa"/>
              <w:right w:w="100" w:type="dxa"/>
            </w:tcMar>
          </w:tcPr>
          <w:p w14:paraId="3CB96C9A" w14:textId="77777777" w:rsidR="00945ACC" w:rsidRPr="00945ACC" w:rsidRDefault="00945ACC" w:rsidP="00945ACC">
            <w:pPr>
              <w:snapToGrid w:val="0"/>
              <w:spacing w:line="240" w:lineRule="auto"/>
              <w:contextualSpacing/>
              <w:rPr>
                <w:color w:val="000000" w:themeColor="text1"/>
              </w:rPr>
            </w:pPr>
            <w:r w:rsidRPr="00945ACC">
              <w:rPr>
                <w:color w:val="000000" w:themeColor="text1"/>
              </w:rPr>
              <w:t>-0.31 (0.42)</w:t>
            </w:r>
          </w:p>
        </w:tc>
        <w:tc>
          <w:tcPr>
            <w:tcW w:w="1407" w:type="dxa"/>
            <w:tcBorders>
              <w:bottom w:val="single" w:sz="8" w:space="0" w:color="000000"/>
              <w:right w:val="single" w:sz="8" w:space="0" w:color="000000"/>
            </w:tcBorders>
            <w:tcMar>
              <w:top w:w="100" w:type="dxa"/>
              <w:left w:w="100" w:type="dxa"/>
              <w:bottom w:w="100" w:type="dxa"/>
              <w:right w:w="100" w:type="dxa"/>
            </w:tcMar>
          </w:tcPr>
          <w:p w14:paraId="3088139B" w14:textId="77777777" w:rsidR="00945ACC" w:rsidRPr="00945ACC" w:rsidRDefault="00945ACC" w:rsidP="00945ACC">
            <w:pPr>
              <w:snapToGrid w:val="0"/>
              <w:spacing w:line="240" w:lineRule="auto"/>
              <w:contextualSpacing/>
              <w:rPr>
                <w:color w:val="000000" w:themeColor="text1"/>
              </w:rPr>
            </w:pPr>
            <w:r w:rsidRPr="00945ACC">
              <w:rPr>
                <w:color w:val="000000" w:themeColor="text1"/>
              </w:rPr>
              <w:t>-0.26 (0.38)</w:t>
            </w:r>
          </w:p>
        </w:tc>
        <w:tc>
          <w:tcPr>
            <w:tcW w:w="2562" w:type="dxa"/>
            <w:tcBorders>
              <w:bottom w:val="single" w:sz="8" w:space="0" w:color="000000"/>
              <w:right w:val="single" w:sz="8" w:space="0" w:color="000000"/>
            </w:tcBorders>
            <w:tcMar>
              <w:top w:w="100" w:type="dxa"/>
              <w:left w:w="100" w:type="dxa"/>
              <w:bottom w:w="100" w:type="dxa"/>
              <w:right w:w="100" w:type="dxa"/>
            </w:tcMar>
          </w:tcPr>
          <w:p w14:paraId="6F64FBF8" w14:textId="77777777" w:rsidR="00945ACC" w:rsidRPr="00945ACC" w:rsidRDefault="00945ACC" w:rsidP="00945ACC">
            <w:pPr>
              <w:snapToGrid w:val="0"/>
              <w:spacing w:line="240" w:lineRule="auto"/>
              <w:contextualSpacing/>
              <w:rPr>
                <w:color w:val="000000" w:themeColor="text1"/>
              </w:rPr>
            </w:pPr>
            <w:proofErr w:type="gramStart"/>
            <w:r w:rsidRPr="00945ACC">
              <w:rPr>
                <w:color w:val="000000" w:themeColor="text1"/>
              </w:rPr>
              <w:t>t(</w:t>
            </w:r>
            <w:proofErr w:type="gramEnd"/>
            <w:r w:rsidRPr="00945ACC">
              <w:rPr>
                <w:color w:val="000000" w:themeColor="text1"/>
              </w:rPr>
              <w:t xml:space="preserve">364) = -3.97, </w:t>
            </w:r>
            <w:r w:rsidRPr="00945ACC">
              <w:rPr>
                <w:b/>
                <w:color w:val="000000" w:themeColor="text1"/>
              </w:rPr>
              <w:t>p &lt; .001</w:t>
            </w:r>
          </w:p>
        </w:tc>
      </w:tr>
    </w:tbl>
    <w:p w14:paraId="35E95895" w14:textId="77777777" w:rsidR="00945ACC" w:rsidRPr="00945ACC" w:rsidRDefault="00945ACC" w:rsidP="00945ACC">
      <w:pPr>
        <w:rPr>
          <w:color w:val="000000" w:themeColor="text1"/>
        </w:rPr>
      </w:pPr>
    </w:p>
    <w:p w14:paraId="53F82571" w14:textId="77777777" w:rsidR="00945ACC" w:rsidRPr="00945ACC" w:rsidRDefault="00945ACC" w:rsidP="00945ACC">
      <w:pPr>
        <w:spacing w:line="360" w:lineRule="auto"/>
        <w:rPr>
          <w:color w:val="000000" w:themeColor="text1"/>
        </w:rPr>
      </w:pPr>
      <w:r w:rsidRPr="00945ACC">
        <w:rPr>
          <w:color w:val="000000" w:themeColor="text1"/>
        </w:rPr>
        <w:t xml:space="preserve">Note: BMI = body mass index; TAS-20 = 20 items Toronto Alexithymia Scale; QL = Quality of Life; QR = Quality of the Relationships; WL = Workload; CW = Changes in Workload; * percentage of individuals who had an episode of binge eating, who meet the first two criteria of DSM-V for binge eating disorders, during Phase 1 or Phase 2. </w:t>
      </w:r>
      <w:r w:rsidRPr="00945ACC">
        <w:rPr>
          <w:b/>
          <w:bCs/>
          <w:color w:val="000000" w:themeColor="text1"/>
          <w:vertAlign w:val="superscript"/>
        </w:rPr>
        <w:t>+</w:t>
      </w:r>
      <w:r w:rsidRPr="00945ACC">
        <w:rPr>
          <w:color w:val="000000" w:themeColor="text1"/>
        </w:rPr>
        <w:t>Normative data: mean of emotional eating of 2.00 (</w:t>
      </w:r>
      <w:proofErr w:type="spellStart"/>
      <w:r w:rsidRPr="00945ACC">
        <w:rPr>
          <w:color w:val="000000" w:themeColor="text1"/>
        </w:rPr>
        <w:t>sd</w:t>
      </w:r>
      <w:proofErr w:type="spellEnd"/>
      <w:r w:rsidRPr="00945ACC">
        <w:rPr>
          <w:color w:val="000000" w:themeColor="text1"/>
        </w:rPr>
        <w:t xml:space="preserve"> = 0.84) in a sample of 919 Italian respondents (517 women and 473 men, aged 20–63 (M = 34.9, SD = </w:t>
      </w:r>
      <w:r w:rsidRPr="00945ACC">
        <w:rPr>
          <w:color w:val="000000" w:themeColor="text1"/>
        </w:rPr>
        <w:lastRenderedPageBreak/>
        <w:t xml:space="preserve">8.0; </w:t>
      </w:r>
      <w:r w:rsidRPr="00945ACC">
        <w:rPr>
          <w:color w:val="000000" w:themeColor="text1"/>
        </w:rPr>
        <w:fldChar w:fldCharType="begin" w:fldLock="1"/>
      </w:r>
      <w:r w:rsidRPr="00945ACC">
        <w:rPr>
          <w:color w:val="000000" w:themeColor="text1"/>
        </w:rPr>
        <w:instrText>ADDIN CSL_CITATION {"citationItems":[{"id":"ITEM-1","itemData":{"ISSN":"0195-6663","author":[{"dropping-particle":"","family":"Dakanalis","given":"Antonios","non-dropping-particle":"","parse-names":false,"suffix":""},{"dropping-particle":"","family":"Zanetti","given":"M Assunta","non-dropping-particle":"","parse-names":false,"suffix":""},{"dropping-particle":"","family":"Clerici","given":"Massimo","non-dropping-particle":"","parse-names":false,"suffix":""},{"dropping-particle":"","family":"Madeddu","given":"Fabio","non-dropping-particle":"","parse-names":false,"suffix":""},{"dropping-particle":"","family":"Riva","given":"Giuseppe","non-dropping-particle":"","parse-names":false,"suffix":""},{"dropping-particle":"","family":"Caccialanza","given":"Riccardo","non-dropping-particle":"","parse-names":false,"suffix":""}],"container-title":"Appetite","id":"ITEM-1","issued":{"date-parts":[["2013"]]},"page":"187-195","publisher":"Elsevier","title":"Italian version of the Dutch Eating Behavior Questionnaire. Psychometric proprieties and measurement invariance across sex, BMI-status and age","type":"article-journal","volume":"71"},"uris":["http://www.mendeley.com/documents/?uuid=af4be4dc-12ae-43b8-bc93-eee1a381f0ab"]}],"mendeley":{"formattedCitation":"(Dakanalis et al., 2013)","manualFormatting":"Dakanalis et al., 2013)","plainTextFormattedCitation":"(Dakanalis et al., 2013)","previouslyFormattedCitation":"(Dakanalis et al., 2013)"},"properties":{"noteIndex":0},"schema":"https://github.com/citation-style-language/schema/raw/master/csl-citation.json"}</w:instrText>
      </w:r>
      <w:r w:rsidRPr="00945ACC">
        <w:rPr>
          <w:color w:val="000000" w:themeColor="text1"/>
        </w:rPr>
        <w:fldChar w:fldCharType="separate"/>
      </w:r>
      <w:r w:rsidRPr="00945ACC">
        <w:rPr>
          <w:noProof/>
          <w:color w:val="000000" w:themeColor="text1"/>
        </w:rPr>
        <w:t>Dakanalis et al., 2013)</w:t>
      </w:r>
      <w:r w:rsidRPr="00945ACC">
        <w:rPr>
          <w:color w:val="000000" w:themeColor="text1"/>
        </w:rPr>
        <w:fldChar w:fldCharType="end"/>
      </w:r>
      <w:r w:rsidRPr="00945ACC">
        <w:rPr>
          <w:color w:val="000000" w:themeColor="text1"/>
        </w:rPr>
        <w:t xml:space="preserve">; 0.2% of prevalence in Italy in the normal population according to the World Health Organization (WHO) (World Mental Health Surveys; </w:t>
      </w:r>
      <w:r w:rsidRPr="00945ACC">
        <w:rPr>
          <w:color w:val="000000" w:themeColor="text1"/>
        </w:rPr>
        <w:fldChar w:fldCharType="begin" w:fldLock="1"/>
      </w:r>
      <w:r w:rsidRPr="00945ACC">
        <w:rPr>
          <w:color w:val="000000" w:themeColor="text1"/>
        </w:rPr>
        <w:instrText>ADDIN CSL_CITATION {"citationItems":[{"id":"ITEM-1","itemData":{"ISSN":"0006-3223","author":[{"dropping-particle":"","family":"Kessler","given":"Ronald C","non-dropping-particle":"","parse-names":false,"suffix":""},{"dropping-particle":"","family":"Berglund","given":"Patricia A","non-dropping-particle":"","parse-names":false,"suffix":""},{"dropping-particle":"","family":"Chiu","given":"Wai Tat","non-dropping-particle":"","parse-names":false,"suffix":""},{"dropping-particle":"","family":"Deitz","given":"Anne C","non-dropping-particle":"","parse-names":false,"suffix":""},{"dropping-particle":"","family":"Hudson","given":"James I","non-dropping-particle":"","parse-names":false,"suffix":""},{"dropping-particle":"","family":"Shahly","given":"Victoria","non-dropping-particle":"","parse-names":false,"suffix":""},{"dropping-particle":"","family":"Aguilar-Gaxiola","given":"Sergio","non-dropping-particle":"","parse-names":false,"suffix":""},{"dropping-particle":"","family":"Alonso","given":"Jordi","non-dropping-particle":"","parse-names":false,"suffix":""},{"dropping-particle":"","family":"Angermeyer","given":"Matthias C","non-dropping-particle":"","parse-names":false,"suffix":""},{"dropping-particle":"","family":"Benjet","given":"Corina","non-dropping-particle":"","parse-names":false,"suffix":""}],"container-title":"Biological psychiatry","id":"ITEM-1","issue":"9","issued":{"date-parts":[["2013"]]},"page":"904-914","publisher":"Elsevier","title":"The prevalence and correlates of binge eating disorder in the World Health Organization World Mental Health Surveys","type":"article-journal","volume":"73"},"uris":["http://www.mendeley.com/documents/?uuid=65774d31-0afc-45e3-a12d-ea91e5c5bd1d"]}],"mendeley":{"formattedCitation":"(Kessler et al., 2013)","manualFormatting":"Kessler et al., 2013)","plainTextFormattedCitation":"(Kessler et al., 2013)","previouslyFormattedCitation":"(Kessler et al., 2013)"},"properties":{"noteIndex":0},"schema":"https://github.com/citation-style-language/schema/raw/master/csl-citation.json"}</w:instrText>
      </w:r>
      <w:r w:rsidRPr="00945ACC">
        <w:rPr>
          <w:color w:val="000000" w:themeColor="text1"/>
        </w:rPr>
        <w:fldChar w:fldCharType="separate"/>
      </w:r>
      <w:r w:rsidRPr="00945ACC">
        <w:rPr>
          <w:noProof/>
          <w:color w:val="000000" w:themeColor="text1"/>
        </w:rPr>
        <w:t>Kessler et al., 2013)</w:t>
      </w:r>
      <w:r w:rsidRPr="00945ACC">
        <w:rPr>
          <w:color w:val="000000" w:themeColor="text1"/>
        </w:rPr>
        <w:fldChar w:fldCharType="end"/>
      </w:r>
      <w:r w:rsidRPr="00945ACC">
        <w:rPr>
          <w:color w:val="000000" w:themeColor="text1"/>
        </w:rPr>
        <w:t xml:space="preserve">. </w:t>
      </w:r>
    </w:p>
    <w:p w14:paraId="6F40C376" w14:textId="6134A808" w:rsidR="00874399" w:rsidRDefault="00874399">
      <w:pPr>
        <w:rPr>
          <w:color w:val="000000" w:themeColor="text1"/>
        </w:rPr>
      </w:pPr>
    </w:p>
    <w:p w14:paraId="405E00AD" w14:textId="77777777" w:rsidR="00945ACC" w:rsidRDefault="00945ACC" w:rsidP="00945ACC">
      <w:pPr>
        <w:spacing w:line="360" w:lineRule="auto"/>
        <w:rPr>
          <w:bCs/>
          <w:color w:val="000000" w:themeColor="text1"/>
        </w:rPr>
      </w:pPr>
    </w:p>
    <w:p w14:paraId="2ACDCFD5" w14:textId="5FB50887" w:rsidR="00945ACC" w:rsidRDefault="00945ACC" w:rsidP="00945ACC">
      <w:pPr>
        <w:spacing w:line="360" w:lineRule="auto"/>
        <w:rPr>
          <w:bCs/>
          <w:color w:val="000000" w:themeColor="text1"/>
        </w:rPr>
      </w:pPr>
      <w:r>
        <w:rPr>
          <w:bCs/>
          <w:noProof/>
          <w:color w:val="000000" w:themeColor="text1"/>
        </w:rPr>
        <w:drawing>
          <wp:inline distT="0" distB="0" distL="0" distR="0" wp14:anchorId="3F150247" wp14:editId="64FB81FB">
            <wp:extent cx="5904654" cy="4133013"/>
            <wp:effectExtent l="0" t="0" r="127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1">
                      <a:extLst>
                        <a:ext uri="{28A0092B-C50C-407E-A947-70E740481C1C}">
                          <a14:useLocalDpi xmlns:a14="http://schemas.microsoft.com/office/drawing/2010/main" val="0"/>
                        </a:ext>
                      </a:extLst>
                    </a:blip>
                    <a:stretch>
                      <a:fillRect/>
                    </a:stretch>
                  </pic:blipFill>
                  <pic:spPr>
                    <a:xfrm>
                      <a:off x="0" y="0"/>
                      <a:ext cx="5909849" cy="4136649"/>
                    </a:xfrm>
                    <a:prstGeom prst="rect">
                      <a:avLst/>
                    </a:prstGeom>
                  </pic:spPr>
                </pic:pic>
              </a:graphicData>
            </a:graphic>
          </wp:inline>
        </w:drawing>
      </w:r>
    </w:p>
    <w:p w14:paraId="1342C8D5" w14:textId="714CCFD3" w:rsidR="00945ACC" w:rsidRPr="00945ACC" w:rsidRDefault="00945ACC" w:rsidP="00945ACC">
      <w:pPr>
        <w:spacing w:line="360" w:lineRule="auto"/>
        <w:rPr>
          <w:bCs/>
          <w:color w:val="000000" w:themeColor="text1"/>
        </w:rPr>
      </w:pPr>
      <w:r w:rsidRPr="00945ACC">
        <w:rPr>
          <w:b/>
          <w:color w:val="000000" w:themeColor="text1"/>
        </w:rPr>
        <w:t>Figure 1.</w:t>
      </w:r>
      <w:r w:rsidRPr="00945ACC">
        <w:rPr>
          <w:bCs/>
          <w:color w:val="000000" w:themeColor="text1"/>
        </w:rPr>
        <w:t xml:space="preserve"> Distribution of the questionnaire data during Phase 1 and Phase 2 of the lockdown. The boxplots depict the median and quartile ranges of the distribution; the white diamonds indicate the mean.</w:t>
      </w:r>
    </w:p>
    <w:p w14:paraId="7305C643" w14:textId="77777777" w:rsidR="00874399" w:rsidRPr="00945ACC" w:rsidRDefault="00874399">
      <w:pPr>
        <w:rPr>
          <w:color w:val="000000" w:themeColor="text1"/>
        </w:rPr>
      </w:pPr>
    </w:p>
    <w:p w14:paraId="3F93F060" w14:textId="77777777" w:rsidR="00874399" w:rsidRPr="00945ACC" w:rsidRDefault="00B16B40">
      <w:pPr>
        <w:pStyle w:val="Titolo2"/>
      </w:pPr>
      <w:bookmarkStart w:id="2" w:name="_heading=h.yx1mufhlk9vr" w:colFirst="0" w:colLast="0"/>
      <w:bookmarkEnd w:id="2"/>
      <w:r w:rsidRPr="00945ACC">
        <w:t>3.2. Emotional eating during Phase 1 and Phase 2</w:t>
      </w:r>
    </w:p>
    <w:p w14:paraId="29796C6A" w14:textId="77777777" w:rsidR="00874399" w:rsidRPr="00945ACC" w:rsidRDefault="00B16B40">
      <w:pPr>
        <w:rPr>
          <w:color w:val="000000" w:themeColor="text1"/>
        </w:rPr>
      </w:pPr>
      <w:r w:rsidRPr="00945ACC">
        <w:rPr>
          <w:color w:val="000000" w:themeColor="text1"/>
        </w:rPr>
        <w:t>The final model investigating the DEBQ emotional eating scale included Phase, BMI, TAS, GAD, PHQ, QL</w:t>
      </w:r>
      <w:r w:rsidR="008026B3" w:rsidRPr="00945ACC">
        <w:rPr>
          <w:color w:val="000000" w:themeColor="text1"/>
        </w:rPr>
        <w:t>,</w:t>
      </w:r>
      <w:r w:rsidRPr="00945ACC">
        <w:rPr>
          <w:color w:val="000000" w:themeColor="text1"/>
        </w:rPr>
        <w:t xml:space="preserve"> and QR as predictors, and ID and gender as random intercepts (initial AIC= 1245.4, final AIC= 1215.2, </w:t>
      </w:r>
      <w:r w:rsidRPr="00945ACC">
        <w:rPr>
          <w:i/>
          <w:color w:val="000000" w:themeColor="text1"/>
        </w:rPr>
        <w:t>p</w:t>
      </w:r>
      <w:r w:rsidRPr="00945ACC">
        <w:rPr>
          <w:color w:val="000000" w:themeColor="text1"/>
        </w:rPr>
        <w:t xml:space="preserve"> = 0.10).</w:t>
      </w:r>
    </w:p>
    <w:p w14:paraId="3240FAAC" w14:textId="77777777" w:rsidR="00874399" w:rsidRPr="00945ACC" w:rsidRDefault="00B16B40">
      <w:pPr>
        <w:rPr>
          <w:i/>
          <w:color w:val="000000" w:themeColor="text1"/>
        </w:rPr>
      </w:pPr>
      <w:r w:rsidRPr="00945ACC">
        <w:rPr>
          <w:i/>
          <w:color w:val="000000" w:themeColor="text1"/>
        </w:rPr>
        <w:t xml:space="preserve">~ Phase * (BMI + TAS-20) + Phase * (GAD + PHQ) + Phase * (QL + QR) + (BMI + TAS-20) * (GAD + PHQ) + (BMI + TAS-20) * (QL + QR) + (GAD + PHQ) * (QL + QR) + (1|ID) + (1|Gender) </w:t>
      </w:r>
    </w:p>
    <w:p w14:paraId="571053A0" w14:textId="3EDFDFFB" w:rsidR="00475CDB" w:rsidRPr="00945ACC" w:rsidRDefault="00B16B40" w:rsidP="005C2127">
      <w:pPr>
        <w:jc w:val="both"/>
        <w:rPr>
          <w:color w:val="000000" w:themeColor="text1"/>
        </w:rPr>
      </w:pPr>
      <w:r w:rsidRPr="00945ACC">
        <w:rPr>
          <w:color w:val="000000" w:themeColor="text1"/>
        </w:rPr>
        <w:lastRenderedPageBreak/>
        <w:t>Conditional R</w:t>
      </w:r>
      <w:r w:rsidRPr="00945ACC">
        <w:rPr>
          <w:color w:val="000000" w:themeColor="text1"/>
          <w:vertAlign w:val="superscript"/>
        </w:rPr>
        <w:t>2</w:t>
      </w:r>
      <w:r w:rsidRPr="00945ACC">
        <w:rPr>
          <w:color w:val="000000" w:themeColor="text1"/>
        </w:rPr>
        <w:t xml:space="preserve"> was equal to 0.88, and marginal R</w:t>
      </w:r>
      <w:r w:rsidRPr="00945ACC">
        <w:rPr>
          <w:color w:val="000000" w:themeColor="text1"/>
          <w:vertAlign w:val="superscript"/>
        </w:rPr>
        <w:t>2</w:t>
      </w:r>
      <w:r w:rsidRPr="00945ACC">
        <w:rPr>
          <w:color w:val="000000" w:themeColor="text1"/>
        </w:rPr>
        <w:t xml:space="preserve"> was equal to 0.24. Results showed a main effect of Phase [χ</w:t>
      </w:r>
      <w:r w:rsidRPr="00945ACC">
        <w:rPr>
          <w:color w:val="000000" w:themeColor="text1"/>
          <w:vertAlign w:val="superscript"/>
        </w:rPr>
        <w:t>2</w:t>
      </w:r>
      <w:r w:rsidRPr="00945ACC">
        <w:rPr>
          <w:color w:val="000000" w:themeColor="text1"/>
        </w:rPr>
        <w:t xml:space="preserve">(1) = 15.53, p &lt; .001], illustrating a higher emotional eating during Phase 1 (mean = 2.14, SD = 0.87) than during Phase 2 (mean = 1.99, SD = 0.86). Moreover, higher emotional eating was </w:t>
      </w:r>
      <w:r w:rsidR="005C2127" w:rsidRPr="00945ACC">
        <w:rPr>
          <w:color w:val="000000" w:themeColor="text1"/>
        </w:rPr>
        <w:t>found</w:t>
      </w:r>
      <w:r w:rsidRPr="00945ACC">
        <w:rPr>
          <w:color w:val="000000" w:themeColor="text1"/>
        </w:rPr>
        <w:t xml:space="preserve"> among individuals with a higher BMI [χ</w:t>
      </w:r>
      <w:r w:rsidRPr="00945ACC">
        <w:rPr>
          <w:color w:val="000000" w:themeColor="text1"/>
          <w:vertAlign w:val="superscript"/>
        </w:rPr>
        <w:t>2</w:t>
      </w:r>
      <w:r w:rsidRPr="00945ACC">
        <w:rPr>
          <w:color w:val="000000" w:themeColor="text1"/>
        </w:rPr>
        <w:t>(1) = 23.60, p &lt; .001], higher alexithymia score [TAS-20; χ</w:t>
      </w:r>
      <w:r w:rsidRPr="00945ACC">
        <w:rPr>
          <w:color w:val="000000" w:themeColor="text1"/>
          <w:vertAlign w:val="superscript"/>
        </w:rPr>
        <w:t>2</w:t>
      </w:r>
      <w:r w:rsidRPr="00945ACC">
        <w:rPr>
          <w:color w:val="000000" w:themeColor="text1"/>
        </w:rPr>
        <w:t>(1) = 7.91, p = .005], higher anxiety [GAD; χ</w:t>
      </w:r>
      <w:r w:rsidRPr="00945ACC">
        <w:rPr>
          <w:color w:val="000000" w:themeColor="text1"/>
          <w:vertAlign w:val="superscript"/>
        </w:rPr>
        <w:t>2</w:t>
      </w:r>
      <w:r w:rsidRPr="00945ACC">
        <w:rPr>
          <w:color w:val="000000" w:themeColor="text1"/>
        </w:rPr>
        <w:t>(1) = 20.83, p &lt; .001], and higher depressive symptoms [PHQ; χ</w:t>
      </w:r>
      <w:r w:rsidRPr="00945ACC">
        <w:rPr>
          <w:color w:val="000000" w:themeColor="text1"/>
          <w:vertAlign w:val="superscript"/>
        </w:rPr>
        <w:t>2</w:t>
      </w:r>
      <w:r w:rsidRPr="00945ACC">
        <w:rPr>
          <w:color w:val="000000" w:themeColor="text1"/>
        </w:rPr>
        <w:t>(1) = 21.25, p &lt; .001; see Figure 3]. The model showed a significant Phase by QR interaction [χ</w:t>
      </w:r>
      <w:r w:rsidRPr="00945ACC">
        <w:rPr>
          <w:color w:val="000000" w:themeColor="text1"/>
          <w:vertAlign w:val="superscript"/>
        </w:rPr>
        <w:t>2</w:t>
      </w:r>
      <w:r w:rsidRPr="00945ACC">
        <w:rPr>
          <w:color w:val="000000" w:themeColor="text1"/>
        </w:rPr>
        <w:t>(1) = 7.34, p = .007]. Post-hoc tests found that QR did not predict emotional eating in Phase 1 [</w:t>
      </w:r>
      <w:proofErr w:type="gramStart"/>
      <w:r w:rsidRPr="00945ACC">
        <w:rPr>
          <w:color w:val="000000" w:themeColor="text1"/>
        </w:rPr>
        <w:t>t(</w:t>
      </w:r>
      <w:proofErr w:type="gramEnd"/>
      <w:r w:rsidRPr="00945ACC">
        <w:rPr>
          <w:color w:val="000000" w:themeColor="text1"/>
        </w:rPr>
        <w:t>579) = -1.38, p = 0.17] nor in Phase 2 [t(595) = 0.46, p = 0.65]; however, while in all participants emotional eating was higher in Phase 1 than Phase 2, this difference was bigger among participants with low QR [t(391) = 2.98, p = 0.003] than in participants with a high QR [t(371) = 2.29, p = 0.022; see Figure 4]. There was also a significant TAS-20 by QL interaction [χ</w:t>
      </w:r>
      <w:r w:rsidRPr="00945ACC">
        <w:rPr>
          <w:color w:val="000000" w:themeColor="text1"/>
          <w:vertAlign w:val="superscript"/>
        </w:rPr>
        <w:t>2</w:t>
      </w:r>
      <w:r w:rsidRPr="00945ACC">
        <w:rPr>
          <w:color w:val="000000" w:themeColor="text1"/>
        </w:rPr>
        <w:t xml:space="preserve">(1) = 4.70, p = 0.030]. Post-hoc showed that among individuals with higher QL, higher </w:t>
      </w:r>
      <w:proofErr w:type="spellStart"/>
      <w:r w:rsidRPr="00945ACC">
        <w:rPr>
          <w:color w:val="000000" w:themeColor="text1"/>
        </w:rPr>
        <w:t>alexithymic</w:t>
      </w:r>
      <w:proofErr w:type="spellEnd"/>
      <w:r w:rsidRPr="00945ACC">
        <w:rPr>
          <w:color w:val="000000" w:themeColor="text1"/>
        </w:rPr>
        <w:t xml:space="preserve"> scores predicted higher emotional eating [</w:t>
      </w:r>
      <w:proofErr w:type="gramStart"/>
      <w:r w:rsidRPr="00945ACC">
        <w:rPr>
          <w:color w:val="000000" w:themeColor="text1"/>
        </w:rPr>
        <w:t>t(</w:t>
      </w:r>
      <w:proofErr w:type="gramEnd"/>
      <w:r w:rsidRPr="00945ACC">
        <w:rPr>
          <w:color w:val="000000" w:themeColor="text1"/>
        </w:rPr>
        <w:t xml:space="preserve">482) = 3.88, p &lt; .001], while </w:t>
      </w:r>
      <w:proofErr w:type="spellStart"/>
      <w:r w:rsidRPr="00945ACC">
        <w:rPr>
          <w:color w:val="000000" w:themeColor="text1"/>
        </w:rPr>
        <w:t>alexithymic</w:t>
      </w:r>
      <w:proofErr w:type="spellEnd"/>
      <w:r w:rsidRPr="00945ACC">
        <w:rPr>
          <w:color w:val="000000" w:themeColor="text1"/>
        </w:rPr>
        <w:t xml:space="preserve"> scores did not have significant effects in individuals with low QL [t(480) = 0.84, p = 0.40]. High and low </w:t>
      </w:r>
      <w:proofErr w:type="spellStart"/>
      <w:r w:rsidRPr="00945ACC">
        <w:rPr>
          <w:color w:val="000000" w:themeColor="text1"/>
        </w:rPr>
        <w:t>alexithymic</w:t>
      </w:r>
      <w:proofErr w:type="spellEnd"/>
      <w:r w:rsidRPr="00945ACC">
        <w:rPr>
          <w:color w:val="000000" w:themeColor="text1"/>
        </w:rPr>
        <w:t xml:space="preserve"> scores did not predict differences in emotional eating depending on the QL [</w:t>
      </w:r>
      <w:proofErr w:type="gramStart"/>
      <w:r w:rsidRPr="00945ACC">
        <w:rPr>
          <w:color w:val="000000" w:themeColor="text1"/>
        </w:rPr>
        <w:t>t(</w:t>
      </w:r>
      <w:proofErr w:type="gramEnd"/>
      <w:r w:rsidRPr="00945ACC">
        <w:rPr>
          <w:color w:val="000000" w:themeColor="text1"/>
        </w:rPr>
        <w:t>552) = 1.79, p = 0.07 and t(523) = -1.23, p = 0.22, respectively]. Finally, there was a significant QL by anxiety interaction [χ</w:t>
      </w:r>
      <w:r w:rsidRPr="00945ACC">
        <w:rPr>
          <w:color w:val="000000" w:themeColor="text1"/>
          <w:vertAlign w:val="superscript"/>
        </w:rPr>
        <w:t>2</w:t>
      </w:r>
      <w:r w:rsidRPr="00945ACC">
        <w:rPr>
          <w:color w:val="000000" w:themeColor="text1"/>
        </w:rPr>
        <w:t xml:space="preserve">(1) = 4.26, p = 0.039]. Post-hoc tests showed that QL did not predict emotional eating in individuals with </w:t>
      </w:r>
      <w:proofErr w:type="gramStart"/>
      <w:r w:rsidRPr="00945ACC">
        <w:rPr>
          <w:color w:val="000000" w:themeColor="text1"/>
        </w:rPr>
        <w:t>low  [</w:t>
      </w:r>
      <w:proofErr w:type="gramEnd"/>
      <w:r w:rsidRPr="00945ACC">
        <w:rPr>
          <w:color w:val="000000" w:themeColor="text1"/>
        </w:rPr>
        <w:t>t(712) = 1.58, p = 0.11] or high [t(699) = -0.98, p = 0.33] anxiety, but that higher anxiety significantly predicted emotional eating both in individuals with low QL [t(608) = 5.03, p &lt; .001] and high QL [t(565) = 1.99, p = 0.047], with a stronger effect among individuals with low QL. All main and interaction effects are depicted in Figure 2.</w:t>
      </w:r>
    </w:p>
    <w:p w14:paraId="7595BECB" w14:textId="77777777" w:rsidR="00945ACC" w:rsidRDefault="00945ACC" w:rsidP="00945ACC">
      <w:pPr>
        <w:spacing w:line="360" w:lineRule="auto"/>
        <w:jc w:val="both"/>
        <w:rPr>
          <w:b/>
          <w:color w:val="000000" w:themeColor="text1"/>
        </w:rPr>
      </w:pPr>
    </w:p>
    <w:p w14:paraId="0CBA1426" w14:textId="77777777" w:rsidR="00945ACC" w:rsidRDefault="00945ACC" w:rsidP="00945ACC">
      <w:pPr>
        <w:spacing w:line="360" w:lineRule="auto"/>
        <w:jc w:val="both"/>
        <w:rPr>
          <w:b/>
          <w:color w:val="000000" w:themeColor="text1"/>
        </w:rPr>
      </w:pPr>
    </w:p>
    <w:p w14:paraId="78FAC5CC" w14:textId="36A823FB" w:rsidR="00945ACC" w:rsidRDefault="00945ACC" w:rsidP="00945ACC">
      <w:pPr>
        <w:spacing w:line="360" w:lineRule="auto"/>
        <w:jc w:val="both"/>
        <w:rPr>
          <w:b/>
          <w:color w:val="000000" w:themeColor="text1"/>
        </w:rPr>
      </w:pPr>
      <w:r>
        <w:rPr>
          <w:b/>
          <w:noProof/>
          <w:color w:val="000000" w:themeColor="text1"/>
        </w:rPr>
        <w:lastRenderedPageBreak/>
        <w:drawing>
          <wp:inline distT="0" distB="0" distL="0" distR="0" wp14:anchorId="6B791C43" wp14:editId="2F4AF54C">
            <wp:extent cx="5608320" cy="3364876"/>
            <wp:effectExtent l="0" t="0" r="5080" b="63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2">
                      <a:extLst>
                        <a:ext uri="{28A0092B-C50C-407E-A947-70E740481C1C}">
                          <a14:useLocalDpi xmlns:a14="http://schemas.microsoft.com/office/drawing/2010/main" val="0"/>
                        </a:ext>
                      </a:extLst>
                    </a:blip>
                    <a:stretch>
                      <a:fillRect/>
                    </a:stretch>
                  </pic:blipFill>
                  <pic:spPr>
                    <a:xfrm>
                      <a:off x="0" y="0"/>
                      <a:ext cx="5616300" cy="3369664"/>
                    </a:xfrm>
                    <a:prstGeom prst="rect">
                      <a:avLst/>
                    </a:prstGeom>
                  </pic:spPr>
                </pic:pic>
              </a:graphicData>
            </a:graphic>
          </wp:inline>
        </w:drawing>
      </w:r>
    </w:p>
    <w:p w14:paraId="0A45448A" w14:textId="77777777" w:rsidR="00945ACC" w:rsidRDefault="00945ACC" w:rsidP="00945ACC">
      <w:pPr>
        <w:spacing w:line="360" w:lineRule="auto"/>
        <w:jc w:val="both"/>
        <w:rPr>
          <w:b/>
          <w:color w:val="000000" w:themeColor="text1"/>
        </w:rPr>
      </w:pPr>
    </w:p>
    <w:p w14:paraId="3523496A" w14:textId="4783118E" w:rsidR="00945ACC" w:rsidRPr="00945ACC" w:rsidRDefault="00945ACC" w:rsidP="00945ACC">
      <w:pPr>
        <w:spacing w:line="360" w:lineRule="auto"/>
        <w:jc w:val="both"/>
        <w:rPr>
          <w:bCs/>
          <w:color w:val="000000" w:themeColor="text1"/>
        </w:rPr>
      </w:pPr>
      <w:r w:rsidRPr="00945ACC">
        <w:rPr>
          <w:b/>
          <w:color w:val="000000" w:themeColor="text1"/>
        </w:rPr>
        <w:t>Figure 2.</w:t>
      </w:r>
      <w:r w:rsidRPr="00945ACC">
        <w:rPr>
          <w:bCs/>
          <w:color w:val="000000" w:themeColor="text1"/>
        </w:rPr>
        <w:t xml:space="preserve"> Main and interaction effects between predictors of emotional eating. In the first row, the main effects, with data distribution as black dots and fit lines in red. In the second row, data distribution and fit lines of the interaction effects.</w:t>
      </w:r>
    </w:p>
    <w:p w14:paraId="74C18674" w14:textId="77777777" w:rsidR="005C2127" w:rsidRPr="00945ACC" w:rsidRDefault="005C2127">
      <w:pPr>
        <w:jc w:val="both"/>
        <w:rPr>
          <w:color w:val="000000" w:themeColor="text1"/>
        </w:rPr>
      </w:pPr>
    </w:p>
    <w:p w14:paraId="36C38568" w14:textId="77777777" w:rsidR="00874399" w:rsidRPr="00945ACC" w:rsidRDefault="00B16B40">
      <w:pPr>
        <w:pStyle w:val="Titolo2"/>
      </w:pPr>
      <w:bookmarkStart w:id="3" w:name="_heading=h.s9qta1uxodr" w:colFirst="0" w:colLast="0"/>
      <w:bookmarkEnd w:id="3"/>
      <w:r w:rsidRPr="00945ACC">
        <w:t>3.3. Binge eating during Phase 1 and Phase 2</w:t>
      </w:r>
    </w:p>
    <w:p w14:paraId="05E1B83B" w14:textId="16966504" w:rsidR="00874399" w:rsidRPr="00945ACC" w:rsidRDefault="00B16B40">
      <w:pPr>
        <w:rPr>
          <w:color w:val="000000" w:themeColor="text1"/>
        </w:rPr>
      </w:pPr>
      <w:r w:rsidRPr="00945ACC">
        <w:rPr>
          <w:color w:val="000000" w:themeColor="text1"/>
        </w:rPr>
        <w:t>The final model investigating binge eating included Phase, BMI</w:t>
      </w:r>
      <w:r w:rsidR="00A325E3" w:rsidRPr="00945ACC">
        <w:rPr>
          <w:color w:val="000000" w:themeColor="text1"/>
        </w:rPr>
        <w:t>,</w:t>
      </w:r>
      <w:r w:rsidRPr="00945ACC">
        <w:rPr>
          <w:color w:val="000000" w:themeColor="text1"/>
        </w:rPr>
        <w:t xml:space="preserve"> and PSS as predictors, and ID as random intercept (initial AIC= 1298, final AIC= 1246, </w:t>
      </w:r>
      <w:r w:rsidRPr="00945ACC">
        <w:rPr>
          <w:i/>
          <w:color w:val="000000" w:themeColor="text1"/>
        </w:rPr>
        <w:t>p</w:t>
      </w:r>
      <w:r w:rsidRPr="00945ACC">
        <w:rPr>
          <w:color w:val="000000" w:themeColor="text1"/>
        </w:rPr>
        <w:t xml:space="preserve"> = 0.18). </w:t>
      </w:r>
    </w:p>
    <w:p w14:paraId="3F6573EB" w14:textId="77777777" w:rsidR="00874399" w:rsidRPr="00945ACC" w:rsidRDefault="00B16B40">
      <w:pPr>
        <w:rPr>
          <w:color w:val="000000" w:themeColor="text1"/>
        </w:rPr>
      </w:pPr>
      <w:r w:rsidRPr="00945ACC">
        <w:rPr>
          <w:i/>
          <w:color w:val="000000" w:themeColor="text1"/>
        </w:rPr>
        <w:t xml:space="preserve">~ Phase * BMI + Phase * PSS + BMI * PSS + (1|ID) </w:t>
      </w:r>
    </w:p>
    <w:p w14:paraId="321CD8F6" w14:textId="77777777" w:rsidR="00874399" w:rsidRPr="00945ACC" w:rsidRDefault="00B16B40" w:rsidP="00475CDB">
      <w:pPr>
        <w:rPr>
          <w:color w:val="000000" w:themeColor="text1"/>
        </w:rPr>
      </w:pPr>
      <w:r w:rsidRPr="00945ACC">
        <w:rPr>
          <w:color w:val="000000" w:themeColor="text1"/>
        </w:rPr>
        <w:t>Conditional R</w:t>
      </w:r>
      <w:r w:rsidRPr="00945ACC">
        <w:rPr>
          <w:color w:val="000000" w:themeColor="text1"/>
          <w:vertAlign w:val="superscript"/>
        </w:rPr>
        <w:t>2</w:t>
      </w:r>
      <w:r w:rsidRPr="00945ACC">
        <w:rPr>
          <w:color w:val="000000" w:themeColor="text1"/>
        </w:rPr>
        <w:t xml:space="preserve"> was equal to 0.71, and marginal R</w:t>
      </w:r>
      <w:r w:rsidRPr="00945ACC">
        <w:rPr>
          <w:color w:val="000000" w:themeColor="text1"/>
          <w:vertAlign w:val="superscript"/>
        </w:rPr>
        <w:t>2</w:t>
      </w:r>
      <w:r w:rsidRPr="00945ACC">
        <w:rPr>
          <w:color w:val="000000" w:themeColor="text1"/>
        </w:rPr>
        <w:t xml:space="preserve"> was equal to 0.05. Results showed a main effect of Phase [χ</w:t>
      </w:r>
      <w:r w:rsidRPr="00945ACC">
        <w:rPr>
          <w:color w:val="000000" w:themeColor="text1"/>
          <w:vertAlign w:val="superscript"/>
        </w:rPr>
        <w:t>2</w:t>
      </w:r>
      <w:r w:rsidRPr="00945ACC">
        <w:rPr>
          <w:color w:val="000000" w:themeColor="text1"/>
        </w:rPr>
        <w:t xml:space="preserve"> (1) = 9.02, p = 0.003], indicating higher binge eating in Phase 1 (mean = 0.26, SD = 0.73) than Phase 2 (mean = 0.16, SD = 0.63), a main effect of BMI [χ</w:t>
      </w:r>
      <w:r w:rsidRPr="00945ACC">
        <w:rPr>
          <w:color w:val="000000" w:themeColor="text1"/>
          <w:vertAlign w:val="superscript"/>
        </w:rPr>
        <w:t>2</w:t>
      </w:r>
      <w:r w:rsidRPr="00945ACC">
        <w:rPr>
          <w:color w:val="000000" w:themeColor="text1"/>
        </w:rPr>
        <w:t xml:space="preserve"> (1) = 9.67, p = 0.002</w:t>
      </w:r>
      <w:proofErr w:type="gramStart"/>
      <w:r w:rsidRPr="00945ACC">
        <w:rPr>
          <w:color w:val="000000" w:themeColor="text1"/>
        </w:rPr>
        <w:t>],  indicating</w:t>
      </w:r>
      <w:proofErr w:type="gramEnd"/>
      <w:r w:rsidRPr="00945ACC">
        <w:rPr>
          <w:color w:val="000000" w:themeColor="text1"/>
        </w:rPr>
        <w:t xml:space="preserve"> higher binge eating among individuals with a higher BMI, and a main effect of PSS [χ</w:t>
      </w:r>
      <w:r w:rsidRPr="00945ACC">
        <w:rPr>
          <w:color w:val="000000" w:themeColor="text1"/>
          <w:vertAlign w:val="superscript"/>
        </w:rPr>
        <w:t>2</w:t>
      </w:r>
      <w:r w:rsidRPr="00945ACC">
        <w:rPr>
          <w:color w:val="000000" w:themeColor="text1"/>
        </w:rPr>
        <w:t xml:space="preserve"> (1) = 17.87, p &lt; .001], indicating higher binge eating in individuals who reported a higher level of stress. There was also a Phase by BMI significant interaction [χ</w:t>
      </w:r>
      <w:r w:rsidRPr="00945ACC">
        <w:rPr>
          <w:color w:val="000000" w:themeColor="text1"/>
          <w:vertAlign w:val="superscript"/>
        </w:rPr>
        <w:t>2</w:t>
      </w:r>
      <w:r w:rsidRPr="00945ACC">
        <w:rPr>
          <w:color w:val="000000" w:themeColor="text1"/>
        </w:rPr>
        <w:t xml:space="preserve"> (1) = 3.91, p = 0.048]. Post-hoc test showed that higher BMI significantly predicted a higher binge eating in Phase 1 [</w:t>
      </w:r>
      <w:proofErr w:type="gramStart"/>
      <w:r w:rsidRPr="00945ACC">
        <w:rPr>
          <w:color w:val="000000" w:themeColor="text1"/>
        </w:rPr>
        <w:t>t(</w:t>
      </w:r>
      <w:proofErr w:type="gramEnd"/>
      <w:r w:rsidRPr="00945ACC">
        <w:rPr>
          <w:color w:val="000000" w:themeColor="text1"/>
        </w:rPr>
        <w:t>499) = 3.11, p = 0.002], but not in Phase 2 [t(496) = 1.56, p = 0.12; see Figure 2]. Finally, we found a BMI by stress interaction [χ</w:t>
      </w:r>
      <w:r w:rsidRPr="00945ACC">
        <w:rPr>
          <w:color w:val="000000" w:themeColor="text1"/>
          <w:vertAlign w:val="superscript"/>
        </w:rPr>
        <w:t>2</w:t>
      </w:r>
      <w:r w:rsidRPr="00945ACC">
        <w:rPr>
          <w:color w:val="000000" w:themeColor="text1"/>
        </w:rPr>
        <w:t xml:space="preserve"> (1) = 7.10, p </w:t>
      </w:r>
      <w:r w:rsidRPr="00945ACC">
        <w:rPr>
          <w:color w:val="000000" w:themeColor="text1"/>
        </w:rPr>
        <w:lastRenderedPageBreak/>
        <w:t>= 0.008]. Post-hoc tests showed that higher stress lead to a higher binge eating score among individuals with a higher BMI [</w:t>
      </w:r>
      <w:proofErr w:type="gramStart"/>
      <w:r w:rsidRPr="00945ACC">
        <w:rPr>
          <w:color w:val="000000" w:themeColor="text1"/>
        </w:rPr>
        <w:t>t(</w:t>
      </w:r>
      <w:proofErr w:type="gramEnd"/>
      <w:r w:rsidRPr="00945ACC">
        <w:rPr>
          <w:color w:val="000000" w:themeColor="text1"/>
        </w:rPr>
        <w:t>687) = 4.90, p &lt; 0.001], but not among individuals with a lower BMI [t(653) = 1.53, p = 0.13], and that BMI only predicted higher binge eating among individuals with a higher stress score [t(604) = 3.99, p &lt; 0.001], and not among individuals with a lower stress score [t(593) = 1.20, p = 0.23].</w:t>
      </w:r>
    </w:p>
    <w:p w14:paraId="2CAF6412" w14:textId="77777777" w:rsidR="00945ACC" w:rsidRDefault="00945ACC" w:rsidP="00945ACC">
      <w:pPr>
        <w:spacing w:line="360" w:lineRule="auto"/>
        <w:jc w:val="both"/>
        <w:rPr>
          <w:b/>
          <w:bCs/>
          <w:color w:val="000000" w:themeColor="text1"/>
        </w:rPr>
      </w:pPr>
    </w:p>
    <w:p w14:paraId="6810B496" w14:textId="2D6740A9" w:rsidR="00945ACC" w:rsidRDefault="00945ACC" w:rsidP="00945ACC">
      <w:pPr>
        <w:spacing w:line="360" w:lineRule="auto"/>
        <w:jc w:val="center"/>
        <w:rPr>
          <w:b/>
          <w:bCs/>
          <w:color w:val="000000" w:themeColor="text1"/>
        </w:rPr>
      </w:pPr>
      <w:r>
        <w:rPr>
          <w:b/>
          <w:bCs/>
          <w:noProof/>
          <w:color w:val="000000" w:themeColor="text1"/>
        </w:rPr>
        <w:drawing>
          <wp:inline distT="0" distB="0" distL="0" distR="0" wp14:anchorId="6D285F98" wp14:editId="28EC54E2">
            <wp:extent cx="4445000" cy="381000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13">
                      <a:extLst>
                        <a:ext uri="{28A0092B-C50C-407E-A947-70E740481C1C}">
                          <a14:useLocalDpi xmlns:a14="http://schemas.microsoft.com/office/drawing/2010/main" val="0"/>
                        </a:ext>
                      </a:extLst>
                    </a:blip>
                    <a:stretch>
                      <a:fillRect/>
                    </a:stretch>
                  </pic:blipFill>
                  <pic:spPr>
                    <a:xfrm>
                      <a:off x="0" y="0"/>
                      <a:ext cx="4445000" cy="3810000"/>
                    </a:xfrm>
                    <a:prstGeom prst="rect">
                      <a:avLst/>
                    </a:prstGeom>
                  </pic:spPr>
                </pic:pic>
              </a:graphicData>
            </a:graphic>
          </wp:inline>
        </w:drawing>
      </w:r>
    </w:p>
    <w:p w14:paraId="1092AB10" w14:textId="77777777" w:rsidR="00945ACC" w:rsidRDefault="00945ACC" w:rsidP="00945ACC">
      <w:pPr>
        <w:spacing w:line="360" w:lineRule="auto"/>
        <w:jc w:val="both"/>
        <w:rPr>
          <w:b/>
          <w:bCs/>
          <w:color w:val="000000" w:themeColor="text1"/>
        </w:rPr>
      </w:pPr>
    </w:p>
    <w:p w14:paraId="4BBC013B" w14:textId="63ECDACC" w:rsidR="00945ACC" w:rsidRPr="00945ACC" w:rsidRDefault="00945ACC" w:rsidP="00945ACC">
      <w:pPr>
        <w:spacing w:line="360" w:lineRule="auto"/>
        <w:jc w:val="both"/>
        <w:rPr>
          <w:bCs/>
          <w:color w:val="000000" w:themeColor="text1"/>
        </w:rPr>
      </w:pPr>
      <w:r w:rsidRPr="00945ACC">
        <w:rPr>
          <w:b/>
          <w:color w:val="000000" w:themeColor="text1"/>
        </w:rPr>
        <w:t>Figure 3.</w:t>
      </w:r>
      <w:r w:rsidRPr="00945ACC">
        <w:rPr>
          <w:bCs/>
          <w:color w:val="000000" w:themeColor="text1"/>
        </w:rPr>
        <w:t xml:space="preserve"> Main and interaction effects between predictors of binge eating. In the first row, the main effects, with data distribution as black dots and fit lines in red. In the second row, data distribution and fit lines of the interaction effects.</w:t>
      </w:r>
    </w:p>
    <w:p w14:paraId="17742AC4" w14:textId="5ACAF26D" w:rsidR="00874399" w:rsidRPr="00945ACC" w:rsidRDefault="00874399">
      <w:pPr>
        <w:jc w:val="both"/>
        <w:rPr>
          <w:color w:val="000000" w:themeColor="text1"/>
        </w:rPr>
      </w:pPr>
    </w:p>
    <w:p w14:paraId="5E99701A" w14:textId="77777777" w:rsidR="00874399" w:rsidRPr="00945ACC" w:rsidRDefault="00B16B40">
      <w:pPr>
        <w:pStyle w:val="Titolo1"/>
        <w:numPr>
          <w:ilvl w:val="0"/>
          <w:numId w:val="2"/>
        </w:numPr>
        <w:jc w:val="both"/>
      </w:pPr>
      <w:bookmarkStart w:id="4" w:name="_heading=h.ne73az77llqa" w:colFirst="0" w:colLast="0"/>
      <w:bookmarkEnd w:id="4"/>
      <w:r w:rsidRPr="00945ACC">
        <w:t>Discussion</w:t>
      </w:r>
    </w:p>
    <w:p w14:paraId="293C0F0A" w14:textId="0D2BB5B7" w:rsidR="00E83A5D" w:rsidRPr="00945ACC" w:rsidRDefault="00B16B40" w:rsidP="00475CDB">
      <w:pPr>
        <w:rPr>
          <w:color w:val="000000" w:themeColor="text1"/>
        </w:rPr>
      </w:pPr>
      <w:r w:rsidRPr="00945ACC">
        <w:rPr>
          <w:color w:val="000000" w:themeColor="text1"/>
        </w:rPr>
        <w:t xml:space="preserve">The present study was designed to investigate how the negative emotions raised by the </w:t>
      </w:r>
      <w:r w:rsidR="00844E65" w:rsidRPr="00945ACC">
        <w:rPr>
          <w:color w:val="000000" w:themeColor="text1"/>
        </w:rPr>
        <w:t>lockdown</w:t>
      </w:r>
      <w:r w:rsidRPr="00945ACC">
        <w:rPr>
          <w:color w:val="000000" w:themeColor="text1"/>
        </w:rPr>
        <w:t xml:space="preserve"> and the social features that characterized the quality of life during </w:t>
      </w:r>
      <w:r w:rsidR="00FF7C0F" w:rsidRPr="00945ACC">
        <w:rPr>
          <w:color w:val="000000" w:themeColor="text1"/>
        </w:rPr>
        <w:t>lockdown</w:t>
      </w:r>
      <w:r w:rsidRPr="00945ACC">
        <w:rPr>
          <w:color w:val="000000" w:themeColor="text1"/>
        </w:rPr>
        <w:t xml:space="preserve"> interacted with individual characteristics to affect the eating behaviour during the lockdown. </w:t>
      </w:r>
      <w:r w:rsidR="00620D34" w:rsidRPr="00945ACC">
        <w:rPr>
          <w:color w:val="000000" w:themeColor="text1"/>
        </w:rPr>
        <w:t xml:space="preserve">Our main </w:t>
      </w:r>
      <w:proofErr w:type="gramStart"/>
      <w:r w:rsidR="00620D34" w:rsidRPr="00945ACC">
        <w:rPr>
          <w:color w:val="000000" w:themeColor="text1"/>
        </w:rPr>
        <w:t xml:space="preserve">hypothesis, </w:t>
      </w:r>
      <w:r w:rsidR="00FF7C0F" w:rsidRPr="00945ACC">
        <w:rPr>
          <w:color w:val="000000" w:themeColor="text1"/>
        </w:rPr>
        <w:t xml:space="preserve"> that</w:t>
      </w:r>
      <w:proofErr w:type="gramEnd"/>
      <w:r w:rsidR="00FF7C0F" w:rsidRPr="00945ACC">
        <w:rPr>
          <w:color w:val="000000" w:themeColor="text1"/>
        </w:rPr>
        <w:t xml:space="preserve"> emotional distress and poor quality of life during lockdown would lead to increased self-reported emotional eating </w:t>
      </w:r>
      <w:r w:rsidR="00FF7C0F" w:rsidRPr="00945ACC">
        <w:rPr>
          <w:color w:val="000000" w:themeColor="text1"/>
        </w:rPr>
        <w:lastRenderedPageBreak/>
        <w:t xml:space="preserve">and more frequent binge eating was confirmed. </w:t>
      </w:r>
      <w:proofErr w:type="gramStart"/>
      <w:r w:rsidR="00FF7C0F" w:rsidRPr="00945ACC">
        <w:rPr>
          <w:color w:val="000000" w:themeColor="text1"/>
        </w:rPr>
        <w:t>Indeed</w:t>
      </w:r>
      <w:proofErr w:type="gramEnd"/>
      <w:r w:rsidR="00FF7C0F" w:rsidRPr="00945ACC">
        <w:rPr>
          <w:color w:val="000000" w:themeColor="text1"/>
        </w:rPr>
        <w:t xml:space="preserve"> increased emotional eating was significantly predicted by higher level of anxiety, depression, and, partially</w:t>
      </w:r>
      <w:r w:rsidR="00D30988" w:rsidRPr="00945ACC">
        <w:rPr>
          <w:color w:val="000000" w:themeColor="text1"/>
        </w:rPr>
        <w:t>,</w:t>
      </w:r>
      <w:r w:rsidR="00FF7C0F" w:rsidRPr="00945ACC">
        <w:rPr>
          <w:color w:val="000000" w:themeColor="text1"/>
        </w:rPr>
        <w:t xml:space="preserve"> by Quality of Life and Quality of the Relationships. Moreover, increased binge eating was predicted by higher stress. Our second hypothesis, that the lockdown restrictions would impact more individuals with higher BMI and higher levels of alexithymia, was also confirmed as we showed that higher alexithymia scores were associated by increased emotional eating and higher BMI scores were associated with both increased emotional eating and binge eating. Finally, in line with our third hypothesis, </w:t>
      </w:r>
      <w:r w:rsidR="00D30988" w:rsidRPr="00945ACC">
        <w:rPr>
          <w:color w:val="000000" w:themeColor="text1"/>
        </w:rPr>
        <w:t>we showed that emotional eating and binge eating decreased significantly in Phase 2 compared to Phase 1.</w:t>
      </w:r>
    </w:p>
    <w:p w14:paraId="762311ED" w14:textId="131B071C" w:rsidR="00D30988" w:rsidRPr="00945ACC" w:rsidRDefault="00D30988" w:rsidP="00D30988">
      <w:pPr>
        <w:rPr>
          <w:color w:val="000000" w:themeColor="text1"/>
        </w:rPr>
      </w:pPr>
      <w:r w:rsidRPr="00945ACC">
        <w:rPr>
          <w:color w:val="000000" w:themeColor="text1"/>
        </w:rPr>
        <w:t xml:space="preserve">In line with the literature, we found that emotional eating significantly increased with a higher level of negative emotions, i.e. anxiety </w:t>
      </w:r>
      <w:r w:rsidRPr="00945ACC">
        <w:rPr>
          <w:color w:val="000000" w:themeColor="text1"/>
        </w:rPr>
        <w:fldChar w:fldCharType="begin" w:fldLock="1"/>
      </w:r>
      <w:r w:rsidRPr="00945ACC">
        <w:rPr>
          <w:color w:val="000000" w:themeColor="text1"/>
        </w:rPr>
        <w:instrText>ADDIN CSL_CITATION {"citationItems":[{"id":"ITEM-1","itemData":{"DOI":"10.1080/10640260902848543","ISSN":"1064-0266","abstract":"Emotional eating is conceptualized as eating in response to negative affect. Data from a larger study of physical activity was employed to examine the associations among specific emotions/moods and emotional eating in an adolescent sample. Six-hundred and sixty-six students of diverse backgrounds from 7 middle schools in Los Angeles County participated. Cross-sectional analysis revealed no gender differences in emotional eating, and showed that perceived stress and worries were associated with emotional eating in the total sample. Gender stratified analyses revealed significant associations of perceived stress, worries and tension/anxiety to emotional eating for girls, while only confused mood was related to emotional eating in boys. These findings bear potential implications for the treatment and prevention of pediatric obesity and eating disorders because they suggest that interventions would benefit from incorporation of stress-reduction techniques and promotion of positive mood.","author":[{"dropping-particle":"","family":"Nguyen-Rodriguez","given":"Selena T","non-dropping-particle":"","parse-names":false,"suffix":""},{"dropping-particle":"","family":"Unger","given":"Jennifer B","non-dropping-particle":"","parse-names":false,"suffix":""},{"dropping-particle":"","family":"Spruijt-Metz","given":"Donna","non-dropping-particle":"","parse-names":false,"suffix":""}],"container-title":"Eating Disorders","id":"ITEM-1","issue":"3","issued":{"date-parts":[["2009","7","7"]]},"page":"211-224","title":"Psychological Determinants of Emotional Eating in Adolescence","type":"article-journal","volume":"17"},"uris":["http://www.mendeley.com/documents/?uuid=d2412da4-aa83-4eaf-89ea-7e7d4bab0177"]}],"mendeley":{"formattedCitation":"(Nguyen-Rodriguez et al., 2009)","plainTextFormattedCitation":"(Nguyen-Rodriguez et al., 2009)","previouslyFormattedCitation":"(Nguyen-Rodriguez et al., 2009)"},"properties":{"noteIndex":0},"schema":"https://github.com/citation-style-language/schema/raw/master/csl-citation.json"}</w:instrText>
      </w:r>
      <w:r w:rsidRPr="00945ACC">
        <w:rPr>
          <w:color w:val="000000" w:themeColor="text1"/>
        </w:rPr>
        <w:fldChar w:fldCharType="separate"/>
      </w:r>
      <w:r w:rsidRPr="00945ACC">
        <w:rPr>
          <w:noProof/>
          <w:color w:val="000000" w:themeColor="text1"/>
        </w:rPr>
        <w:t>(Nguyen-Rodriguez et al., 2009)</w:t>
      </w:r>
      <w:r w:rsidRPr="00945ACC">
        <w:rPr>
          <w:color w:val="000000" w:themeColor="text1"/>
        </w:rPr>
        <w:fldChar w:fldCharType="end"/>
      </w:r>
      <w:r w:rsidRPr="00945ACC">
        <w:rPr>
          <w:color w:val="000000" w:themeColor="text1"/>
        </w:rPr>
        <w:t xml:space="preserve">, and depression </w:t>
      </w:r>
      <w:r w:rsidRPr="00945ACC">
        <w:rPr>
          <w:color w:val="000000" w:themeColor="text1"/>
        </w:rPr>
        <w:fldChar w:fldCharType="begin" w:fldLock="1"/>
      </w:r>
      <w:r w:rsidRPr="00945ACC">
        <w:rPr>
          <w:color w:val="000000" w:themeColor="text1"/>
        </w:rPr>
        <w:instrText>ADDIN CSL_CITATION {"citationItems":[{"id":"ITEM-1","itemData":{"DOI":"10.1002/erv.892","ISSN":"1099-0968","abstract":"The current study investigated loss of control (LC) over eating and the role of anxiety, depression and emotional eating in a sample of both treatment seeking (N = 115) and non-treatment seeking (N = 73) overweight youngsters (aged 8–18) using a semi-structured clinical interview and self-report questionnaires. It was found that treatment seekers reported twice as much LC (40%) compared to non-treatment seekers (21%). Cross-sectional prediction models indicated that increased anxiety was associated with emotional eating and LC. Emotional eating tended to mediate the relationship between anxiety and LC. Increased depression was associated with emotional eating but not with LC. Especially overweight treatment seekers turn out to be at risk for LC. Because LC may develop as a result of inadequate coping with negative emotions like anxiety, obesity treatment should focus on teaching more effective coping strategies. Longitudinal research is recommended to further elaborate affect regulation and LC. Copyright © 2008 John Wiley &amp; Sons, Ltd and Eating Disorders Association.","author":[{"dropping-particle":"","family":"Goossens","given":"Lien","non-dropping-particle":"","parse-names":false,"suffix":""},{"dropping-particle":"","family":"Braet","given":"Caroline","non-dropping-particle":"","parse-names":false,"suffix":""},{"dropping-particle":"Van","family":"Vlierberghe","given":"Leen","non-dropping-particle":"","parse-names":false,"suffix":""},{"dropping-particle":"","family":"Mels","given":"Saskia","non-dropping-particle":"","parse-names":false,"suffix":""}],"container-title":"European Eating Disorders Review","id":"ITEM-1","issue":"1","issued":{"date-parts":[["2009","4","22"]]},"language":"en","page":"68-78","title":"Loss of control over eating in overweight youngsters: The role of anxiety, depression and emotional eating","type":"article-journal","volume":"17"},"uris":["http://www.mendeley.com/documents/?uuid=3a9c38b6-220e-48ba-aafd-b3fec9050b6d"]}],"mendeley":{"formattedCitation":"(Goossens et al., 2009)","plainTextFormattedCitation":"(Goossens et al., 2009)","previouslyFormattedCitation":"(Goossens et al., 2009)"},"properties":{"noteIndex":0},"schema":"https://github.com/citation-style-language/schema/raw/master/csl-citation.json"}</w:instrText>
      </w:r>
      <w:r w:rsidRPr="00945ACC">
        <w:rPr>
          <w:color w:val="000000" w:themeColor="text1"/>
        </w:rPr>
        <w:fldChar w:fldCharType="separate"/>
      </w:r>
      <w:r w:rsidRPr="00945ACC">
        <w:rPr>
          <w:noProof/>
          <w:color w:val="000000" w:themeColor="text1"/>
        </w:rPr>
        <w:t>(Goossens et al., 2009)</w:t>
      </w:r>
      <w:r w:rsidRPr="00945ACC">
        <w:rPr>
          <w:color w:val="000000" w:themeColor="text1"/>
        </w:rPr>
        <w:fldChar w:fldCharType="end"/>
      </w:r>
      <w:r w:rsidRPr="00945ACC">
        <w:rPr>
          <w:color w:val="000000" w:themeColor="text1"/>
        </w:rPr>
        <w:t xml:space="preserve">, with higher BMI </w:t>
      </w:r>
      <w:r w:rsidRPr="00945ACC">
        <w:rPr>
          <w:color w:val="000000" w:themeColor="text1"/>
        </w:rPr>
        <w:fldChar w:fldCharType="begin" w:fldLock="1"/>
      </w:r>
      <w:r w:rsidRPr="00945ACC">
        <w:rPr>
          <w:color w:val="000000" w:themeColor="text1"/>
        </w:rPr>
        <w:instrText>ADDIN CSL_CITATION {"citationItems":[{"id":"ITEM-1","itemData":{"DOI":"10.1016/s1471-0153(02)00100-9","ISSN":"1471-0153","abstract":"Emotional states and situations can affect food intake. We predicted that underweight individuals would eat less and overweight individuals would eat more during negative as well as positive emotional states and situations. Questionnaires to assess eating during emotional states and situations were distributed and collected in person in several major university and public libraries. Ninety questionnaires, representing for each gender the 15 most overweight, the 15 closest to normal weight, and the 15 most underweight, were analyzed. Gender had only minor effects on the eating ratings, and therefore the results are presented for the sexes combined. Underweight individuals reported eating less (P=.000) than both the normal and overweight groups during negative emotional states and situations. More surprisingly, underweight individuals also reported eating more (P=.01) than the other groups during positive emotional states and situations. Thus, part of the prediction was confirmed: the relative undereating by the underweight group, and the relative overeating by the overweight group during negative emotional states and situations. As compared to their usual eating behavior, undereating by underweight individuals during negative emotional states and situations was of a greater magnitude than their own overeating during positive states and situations (P=.01). Undereating by underweight individuals when experiencing negative emotions may contribute to their low body weight.","author":[{"dropping-particle":"","family":"Geliebter","given":"Allan","non-dropping-particle":"","parse-names":false,"suffix":""},{"dropping-particle":"","family":"Aversa","given":"Angela","non-dropping-particle":"","parse-names":false,"suffix":""}],"container-title":"Eating Behaviors","id":"ITEM-1","issue":"4","issued":{"date-parts":[["2003"]]},"language":"eng","page":"341-347","title":"Emotional eating in overweight, normal weight, and underweight individuals","type":"article-journal","volume":"3"},"uris":["http://www.mendeley.com/documents/?uuid=cd73000c-7eaf-4992-be29-eb7283f05a1a"]}],"mendeley":{"formattedCitation":"(Geliebter &amp; Aversa, 2003)","plainTextFormattedCitation":"(Geliebter &amp; Aversa, 2003)","previouslyFormattedCitation":"(Geliebter &amp; Aversa, 2003)"},"properties":{"noteIndex":0},"schema":"https://github.com/citation-style-language/schema/raw/master/csl-citation.json"}</w:instrText>
      </w:r>
      <w:r w:rsidRPr="00945ACC">
        <w:rPr>
          <w:color w:val="000000" w:themeColor="text1"/>
        </w:rPr>
        <w:fldChar w:fldCharType="separate"/>
      </w:r>
      <w:r w:rsidRPr="00945ACC">
        <w:rPr>
          <w:noProof/>
          <w:color w:val="000000" w:themeColor="text1"/>
        </w:rPr>
        <w:t>(Geliebter &amp; Aversa, 2003)</w:t>
      </w:r>
      <w:r w:rsidRPr="00945ACC">
        <w:rPr>
          <w:color w:val="000000" w:themeColor="text1"/>
        </w:rPr>
        <w:fldChar w:fldCharType="end"/>
      </w:r>
      <w:r w:rsidRPr="00945ACC">
        <w:rPr>
          <w:color w:val="000000" w:themeColor="text1"/>
        </w:rPr>
        <w:t xml:space="preserve"> and with a higher level of alexithymia </w:t>
      </w:r>
      <w:r w:rsidRPr="00945ACC">
        <w:rPr>
          <w:color w:val="000000" w:themeColor="text1"/>
        </w:rPr>
        <w:fldChar w:fldCharType="begin" w:fldLock="1"/>
      </w:r>
      <w:r w:rsidRPr="00945ACC">
        <w:rPr>
          <w:color w:val="000000" w:themeColor="text1"/>
        </w:rPr>
        <w:instrText>ADDIN CSL_CITATION {"citationItems":[{"id":"ITEM-1","itemData":{"ISSN":"0195-6663","author":[{"dropping-particle":"","family":"Pink","given":"Aimee E","non-dropping-particle":"","parse-names":false,"suffix":""},{"dropping-particle":"","family":"Lee","given":"Michelle","non-dropping-particle":"","parse-names":false,"suffix":""},{"dropping-particle":"","family":"Price","given":"Menna","non-dropping-particle":"","parse-names":false,"suffix":""},{"dropping-particle":"","family":"Williams","given":"Claire","non-dropping-particle":"","parse-names":false,"suffix":""}],"container-title":"Appetite","id":"ITEM-1","issued":{"date-parts":[["2019"]]},"page":"270-278","publisher":"Elsevier","title":"A serial mediation model of the relationship between alexithymia and BMI: The role of negative affect, negative urgency and emotional eating","type":"article-journal","volume":"133"},"uris":["http://www.mendeley.com/documents/?uuid=d49234dd-4a4f-4607-b075-85d3baee393e"]}],"mendeley":{"formattedCitation":"(Pink et al., 2019)","plainTextFormattedCitation":"(Pink et al., 2019)","previouslyFormattedCitation":"(Pink et al., 2019)"},"properties":{"noteIndex":0},"schema":"https://github.com/citation-style-language/schema/raw/master/csl-citation.json"}</w:instrText>
      </w:r>
      <w:r w:rsidRPr="00945ACC">
        <w:rPr>
          <w:color w:val="000000" w:themeColor="text1"/>
        </w:rPr>
        <w:fldChar w:fldCharType="separate"/>
      </w:r>
      <w:r w:rsidRPr="00945ACC">
        <w:rPr>
          <w:noProof/>
          <w:color w:val="000000" w:themeColor="text1"/>
        </w:rPr>
        <w:t>(Pink et al., 2019)</w:t>
      </w:r>
      <w:r w:rsidRPr="00945ACC">
        <w:rPr>
          <w:color w:val="000000" w:themeColor="text1"/>
        </w:rPr>
        <w:fldChar w:fldCharType="end"/>
      </w:r>
      <w:r w:rsidRPr="00945ACC">
        <w:rPr>
          <w:color w:val="000000" w:themeColor="text1"/>
        </w:rPr>
        <w:t xml:space="preserve">. Moreover, we found that anxiety significantly interacts with the Quality of Life, which was an index of the quantity and quality of the personal space at home and the family income: higher levels of anxiety had stronger effects in those individuals who reported having lower QL. This suggests that lower quality or smaller personal space, the absence of access to external space, or a lower family income made individuals more vulnerable to the negative consequences of anxiety. In developing countries, socioeconomic disadvantage has been strongly correlated with a higher propensity toward obesity </w:t>
      </w:r>
      <w:r w:rsidRPr="00945ACC">
        <w:rPr>
          <w:color w:val="000000" w:themeColor="text1"/>
        </w:rPr>
        <w:fldChar w:fldCharType="begin" w:fldLock="1"/>
      </w:r>
      <w:r w:rsidRPr="00945ACC">
        <w:rPr>
          <w:color w:val="000000" w:themeColor="text1"/>
        </w:rPr>
        <w:instrText>ADDIN CSL_CITATION {"citationItems":[{"id":"ITEM-1","itemData":{"ISSN":"1939-1455","author":[{"dropping-particle":"","family":"Sobal","given":"Jeffery","non-dropping-particle":"","parse-names":false,"suffix":""},{"dropping-particle":"","family":"Stunkard","given":"Albert J","non-dropping-particle":"","parse-names":false,"suffix":""}],"container-title":"Psychological bulletin","id":"ITEM-1","issue":"2","issued":{"date-parts":[["1989"]]},"page":"260","publisher":"American Psychological Association","title":"Socioeconomic status and obesity: a review of the literature.","type":"article-journal","volume":"105"},"uris":["http://www.mendeley.com/documents/?uuid=a068fb1f-3003-4b14-a58b-2a43da79cb15"]},{"id":"ITEM-2","itemData":{"ISSN":"1930-7381","author":[{"dropping-particle":"","family":"Spinosa","given":"Jade","non-dropping-particle":"","parse-names":false,"suffix":""},{"dropping-particle":"","family":"Christiansen","given":"Paul","non-dropping-particle":"","parse-names":false,"suffix":""},{"dropping-particle":"","family":"Dickson","given":"Joanne M","non-dropping-particle":"","parse-names":false,"suffix":""},{"dropping-particle":"","family":"Lorenzetti","given":"Valentina","non-dropping-particle":"","parse-names":false,"suffix":""},{"dropping-particle":"","family":"Hardman","given":"Charlotte A","non-dropping-particle":"","parse-names":false,"suffix":""}],"container-title":"Obesity","id":"ITEM-2","issue":"4","issued":{"date-parts":[["2019"]]},"page":"559-564","publisher":"Wiley Online Library","title":"From socioeconomic disadvantage to obesity: the mediating role of psychological distress and emotional eating","type":"article-journal","volume":"27"},"uris":["http://www.mendeley.com/documents/?uuid=4f12feba-9f79-4026-85e1-abc31a67e45d"]}],"mendeley":{"formattedCitation":"(Sobal &amp; Stunkard, 1989; Spinosa, Christiansen, Dickson, Lorenzetti, &amp; Hardman, 2019)","plainTextFormattedCitation":"(Sobal &amp; Stunkard, 1989; Spinosa, Christiansen, Dickson, Lorenzetti, &amp; Hardman, 2019)","previouslyFormattedCitation":"(Sobal &amp; Stunkard, 1989; Spinosa, Christiansen, Dickson, Lorenzetti, &amp; Hardman, 2019)"},"properties":{"noteIndex":0},"schema":"https://github.com/citation-style-language/schema/raw/master/csl-citation.json"}</w:instrText>
      </w:r>
      <w:r w:rsidRPr="00945ACC">
        <w:rPr>
          <w:color w:val="000000" w:themeColor="text1"/>
        </w:rPr>
        <w:fldChar w:fldCharType="separate"/>
      </w:r>
      <w:r w:rsidRPr="00945ACC">
        <w:rPr>
          <w:noProof/>
          <w:color w:val="000000" w:themeColor="text1"/>
        </w:rPr>
        <w:t>(Sobal &amp; Stunkard, 1989; Spinosa, Christiansen, Dickson, Lorenzetti, &amp; Hardman, 2019)</w:t>
      </w:r>
      <w:r w:rsidRPr="00945ACC">
        <w:rPr>
          <w:color w:val="000000" w:themeColor="text1"/>
        </w:rPr>
        <w:fldChar w:fldCharType="end"/>
      </w:r>
      <w:r w:rsidRPr="00945ACC">
        <w:rPr>
          <w:color w:val="000000" w:themeColor="text1"/>
        </w:rPr>
        <w:t xml:space="preserve">, in particular, low socioeconomic status seems to affect BMI through increased psychological distress and emotional eating </w:t>
      </w:r>
      <w:r w:rsidRPr="00945ACC">
        <w:rPr>
          <w:color w:val="000000" w:themeColor="text1"/>
        </w:rPr>
        <w:fldChar w:fldCharType="begin" w:fldLock="1"/>
      </w:r>
      <w:r w:rsidRPr="00945ACC">
        <w:rPr>
          <w:color w:val="000000" w:themeColor="text1"/>
        </w:rPr>
        <w:instrText>ADDIN CSL_CITATION {"citationItems":[{"id":"ITEM-1","itemData":{"ISSN":"1930-7381","author":[{"dropping-particle":"","family":"Spinosa","given":"Jade","non-dropping-particle":"","parse-names":false,"suffix":""},{"dropping-particle":"","family":"Christiansen","given":"Paul","non-dropping-particle":"","parse-names":false,"suffix":""},{"dropping-particle":"","family":"Dickson","given":"Joanne M","non-dropping-particle":"","parse-names":false,"suffix":""},{"dropping-particle":"","family":"Lorenzetti","given":"Valentina","non-dropping-particle":"","parse-names":false,"suffix":""},{"dropping-particle":"","family":"Hardman","given":"Charlotte A","non-dropping-particle":"","parse-names":false,"suffix":""}],"container-title":"Obesity","id":"ITEM-1","issue":"4","issued":{"date-parts":[["2019"]]},"page":"559-564","publisher":"Wiley Online Library","title":"From socioeconomic disadvantage to obesity: the mediating role of psychological distress and emotional eating","type":"article-journal","volume":"27"},"uris":["http://www.mendeley.com/documents/?uuid=4f12feba-9f79-4026-85e1-abc31a67e45d"]}],"mendeley":{"formattedCitation":"(Spinosa et al., 2019)","plainTextFormattedCitation":"(Spinosa et al., 2019)","previouslyFormattedCitation":"(Spinosa et al., 2019)"},"properties":{"noteIndex":0},"schema":"https://github.com/citation-style-language/schema/raw/master/csl-citation.json"}</w:instrText>
      </w:r>
      <w:r w:rsidRPr="00945ACC">
        <w:rPr>
          <w:color w:val="000000" w:themeColor="text1"/>
        </w:rPr>
        <w:fldChar w:fldCharType="separate"/>
      </w:r>
      <w:r w:rsidRPr="00945ACC">
        <w:rPr>
          <w:noProof/>
          <w:color w:val="000000" w:themeColor="text1"/>
        </w:rPr>
        <w:t>(Spinosa et al., 2019)</w:t>
      </w:r>
      <w:r w:rsidRPr="00945ACC">
        <w:rPr>
          <w:color w:val="000000" w:themeColor="text1"/>
        </w:rPr>
        <w:fldChar w:fldCharType="end"/>
      </w:r>
      <w:r w:rsidRPr="00945ACC">
        <w:rPr>
          <w:color w:val="000000" w:themeColor="text1"/>
        </w:rPr>
        <w:t xml:space="preserve">. Additionally, we found a significant effect on emotional eating of the Quality of the Relationships concerning the Phase: individuals who reported a lower QR presented higher emotional eating during Phase 1 as compared to Phase 2. Unsupportive social interactions have been proved to be associated with emotional eating in healthy participants and are considered an effective coping resource to deal with the effects of stressful events </w:t>
      </w:r>
      <w:r w:rsidRPr="00945ACC">
        <w:rPr>
          <w:color w:val="000000" w:themeColor="text1"/>
        </w:rPr>
        <w:fldChar w:fldCharType="begin" w:fldLock="1"/>
      </w:r>
      <w:r w:rsidRPr="00945ACC">
        <w:rPr>
          <w:color w:val="000000" w:themeColor="text1"/>
        </w:rPr>
        <w:instrText>ADDIN CSL_CITATION {"citationItems":[{"id":"ITEM-1","itemData":{"ISSN":"0195-6663","author":[{"dropping-particle":"","family":"Raspopow","given":"Kate","non-dropping-particle":"","parse-names":false,"suffix":""},{"dropping-particle":"","family":"Matheson","given":"Kimberly","non-dropping-particle":"","parse-names":false,"suffix":""},{"dropping-particle":"","family":"Abizaid","given":"Alfonso","non-dropping-particle":"","parse-names":false,"suffix":""},{"dropping-particle":"","family":"Anisman","given":"Hymie","non-dropping-particle":"","parse-names":false,"suffix":""}],"container-title":"Appetite","id":"ITEM-1","issued":{"date-parts":[["2013"]]},"page":"143-149","publisher":"Elsevier","title":"Unsupportive social interactions influence emotional eating behaviors. The role of coping styles as mediators","type":"article-journal","volume":"62"},"uris":["http://www.mendeley.com/documents/?uuid=30dea96c-2061-495b-b1dd-05ff314027a1"]}],"mendeley":{"formattedCitation":"(Raspopow, Matheson, Abizaid, &amp; Anisman, 2013)","plainTextFormattedCitation":"(Raspopow, Matheson, Abizaid, &amp; Anisman, 2013)","previouslyFormattedCitation":"(Raspopow, Matheson, Abizaid, &amp; Anisman, 2013)"},"properties":{"noteIndex":0},"schema":"https://github.com/citation-style-language/schema/raw/master/csl-citation.json"}</w:instrText>
      </w:r>
      <w:r w:rsidRPr="00945ACC">
        <w:rPr>
          <w:color w:val="000000" w:themeColor="text1"/>
        </w:rPr>
        <w:fldChar w:fldCharType="separate"/>
      </w:r>
      <w:r w:rsidRPr="00945ACC">
        <w:rPr>
          <w:noProof/>
          <w:color w:val="000000" w:themeColor="text1"/>
        </w:rPr>
        <w:t>(Raspopow, Matheson, Abizaid, &amp; Anisman, 2013)</w:t>
      </w:r>
      <w:r w:rsidRPr="00945ACC">
        <w:rPr>
          <w:color w:val="000000" w:themeColor="text1"/>
        </w:rPr>
        <w:fldChar w:fldCharType="end"/>
      </w:r>
      <w:r w:rsidRPr="00945ACC">
        <w:rPr>
          <w:color w:val="000000" w:themeColor="text1"/>
        </w:rPr>
        <w:t xml:space="preserve">. Accordingly, in our data, negatively perceived social interactions influenced emotional eating especially during Phase 1, which was characterized by a </w:t>
      </w:r>
      <w:r w:rsidRPr="00945ACC">
        <w:rPr>
          <w:color w:val="000000" w:themeColor="text1"/>
        </w:rPr>
        <w:lastRenderedPageBreak/>
        <w:t xml:space="preserve">higher level of negative emotions. Finally, emotional eating was predicted by the significant interaction between alexithymia and Quality of Life. Unexpectedly, and in contrast with previous explained results, we found that, among individuals with higher QL, higher </w:t>
      </w:r>
      <w:proofErr w:type="spellStart"/>
      <w:r w:rsidRPr="00945ACC">
        <w:rPr>
          <w:color w:val="000000" w:themeColor="text1"/>
        </w:rPr>
        <w:t>alexithymic</w:t>
      </w:r>
      <w:proofErr w:type="spellEnd"/>
      <w:r w:rsidRPr="00945ACC">
        <w:rPr>
          <w:color w:val="000000" w:themeColor="text1"/>
        </w:rPr>
        <w:t xml:space="preserve"> scores predicted higher emotional eating. One possible explanation is that high availability of resources, among which there is probably high availability of good quality food, leads </w:t>
      </w:r>
      <w:proofErr w:type="spellStart"/>
      <w:r w:rsidRPr="00945ACC">
        <w:rPr>
          <w:color w:val="000000" w:themeColor="text1"/>
        </w:rPr>
        <w:t>alexithymic</w:t>
      </w:r>
      <w:proofErr w:type="spellEnd"/>
      <w:r w:rsidRPr="00945ACC">
        <w:rPr>
          <w:color w:val="000000" w:themeColor="text1"/>
        </w:rPr>
        <w:t xml:space="preserve"> individuals, which present difficulties in identifying, describing, and expressing their emotions as well as in recognizing or experiencing emotional bodily responses as emotional feeling states (Lane et al 1997), to try regulating their bodily emotional responses through eating. It is worth noting that our </w:t>
      </w:r>
      <w:proofErr w:type="gramStart"/>
      <w:r w:rsidRPr="00945ACC">
        <w:rPr>
          <w:color w:val="000000" w:themeColor="text1"/>
        </w:rPr>
        <w:t>Quality of Life</w:t>
      </w:r>
      <w:proofErr w:type="gramEnd"/>
      <w:r w:rsidRPr="00945ACC">
        <w:rPr>
          <w:color w:val="000000" w:themeColor="text1"/>
        </w:rPr>
        <w:t xml:space="preserve"> index was computed based on both income and the space available during the lockdown. Future research should specifically address the effects of each of these factors separately.</w:t>
      </w:r>
    </w:p>
    <w:p w14:paraId="3A73B2B9" w14:textId="77777777" w:rsidR="00D30988" w:rsidRPr="00945ACC" w:rsidRDefault="00D30988" w:rsidP="00D30988">
      <w:pPr>
        <w:rPr>
          <w:color w:val="000000" w:themeColor="text1"/>
        </w:rPr>
      </w:pPr>
      <w:r w:rsidRPr="00945ACC">
        <w:rPr>
          <w:color w:val="000000" w:themeColor="text1"/>
        </w:rPr>
        <w:t xml:space="preserve">The analysis of binge eating revealed that, in line with previous literature </w:t>
      </w:r>
      <w:r w:rsidRPr="00945ACC">
        <w:rPr>
          <w:color w:val="000000" w:themeColor="text1"/>
        </w:rPr>
        <w:fldChar w:fldCharType="begin" w:fldLock="1"/>
      </w:r>
      <w:r w:rsidRPr="00945ACC">
        <w:rPr>
          <w:color w:val="000000" w:themeColor="text1"/>
        </w:rPr>
        <w:instrText>ADDIN CSL_CITATION {"citationItems":[{"id":"ITEM-1","itemData":{"DOI":"10.1016/j.nut.2007.08.008","ISSN":"0899-9007","abstract":"Stress is thought to influence human eating behavior and has been examined in animal and human studies. Our understanding of the stress-eating relation is confounded by limitations inherent in the study designs; however, we can make some tentative conclusions that support the notion that stress can influence eating patterns in humans. Stress appears to alter overall food intake in two ways, resulting in under- or overeating, which may be influenced by stressor severity. Chronic life stress seems to be associated with a greater preference for energy- and nutrient-dense foods, namely those that are high in sugar and fat. Evidence from longitudinal studies suggests that chronic life stress may be causally linked to weight gain, with a greater effect seen in men. Stress-induced eating may be one factor contributing to the development of obesity. Future studies that measure biological markers of stress will assist our understanding of the physiologic mechanism underlying the stress-eating relation and how stress might be linked to neurotransmitters and hormones that control appetite.","author":[{"dropping-particle":"","family":"Torres","given":"Susan J","non-dropping-particle":"","parse-names":false,"suffix":""},{"dropping-particle":"","family":"Nowson","given":"Caryl A","non-dropping-particle":"","parse-names":false,"suffix":""}],"container-title":"Nutrition","id":"ITEM-1","issue":"11","issued":{"date-parts":[["2007","7","7"]]},"language":"en","page":"887-894","title":"Relationship between stress, eating behavior, and obesity","type":"article-journal","volume":"23"},"uris":["http://www.mendeley.com/documents/?uuid=49cc88eb-ca0c-4df6-828e-ed3e31a11d8a"]},{"id":"ITEM-2","itemData":{"ISSN":"2062-5871","author":[{"dropping-particle":"","family":"Palmisano","given":"Giovanni Luca","non-dropping-particle":"","parse-names":false,"suffix":""},{"dropping-particle":"","family":"Innamorati","given":"Marco","non-dropping-particle":"","parse-names":false,"suffix":""},{"dropping-particle":"","family":"Vanderlinden","given":"Johan","non-dropping-particle":"","parse-names":false,"suffix":""}],"container-title":"Journal of Behavioral Addictions","id":"ITEM-2","issue":"1","issued":{"date-parts":[["2016"]]},"page":"11-31","publisher":"Akadémiai Kiadó Budapest","title":"Life adverse experiences in relation with obesity and binge eating disorder: A systematic review","type":"article-journal","volume":"5"},"uris":["http://www.mendeley.com/documents/?uuid=b6f73cd4-34e2-434b-a0be-cdb04a827b4a"]}],"mendeley":{"formattedCitation":"(Palmisano, Innamorati, &amp; Vanderlinden, 2016; Torres &amp; Nowson, 2007)","plainTextFormattedCitation":"(Palmisano, Innamorati, &amp; Vanderlinden, 2016; Torres &amp; Nowson, 2007)","previouslyFormattedCitation":"(Palmisano, Innamorati, &amp; Vanderlinden, 2016; Torres &amp; Nowson, 2007)"},"properties":{"noteIndex":0},"schema":"https://github.com/citation-style-language/schema/raw/master/csl-citation.json"}</w:instrText>
      </w:r>
      <w:r w:rsidRPr="00945ACC">
        <w:rPr>
          <w:color w:val="000000" w:themeColor="text1"/>
        </w:rPr>
        <w:fldChar w:fldCharType="separate"/>
      </w:r>
      <w:r w:rsidRPr="00945ACC">
        <w:rPr>
          <w:noProof/>
          <w:color w:val="000000" w:themeColor="text1"/>
        </w:rPr>
        <w:t>(Palmisano, Innamorati, &amp; Vanderlinden, 2016; Torres &amp; Nowson, 2007)</w:t>
      </w:r>
      <w:r w:rsidRPr="00945ACC">
        <w:rPr>
          <w:color w:val="000000" w:themeColor="text1"/>
        </w:rPr>
        <w:fldChar w:fldCharType="end"/>
      </w:r>
      <w:r w:rsidRPr="00945ACC">
        <w:rPr>
          <w:color w:val="000000" w:themeColor="text1"/>
        </w:rPr>
        <w:t xml:space="preserve">, higher stress led to higher binge eating score among individuals with a higher BMI, and that BMI predicted higher binge eating among individuals with a higher stress score. A recent meta-analysis reported that living a stressful experience is a risk factor for developing obesity and binge eating disorder </w:t>
      </w:r>
      <w:r w:rsidRPr="00945ACC">
        <w:rPr>
          <w:color w:val="000000" w:themeColor="text1"/>
        </w:rPr>
        <w:fldChar w:fldCharType="begin" w:fldLock="1"/>
      </w:r>
      <w:r w:rsidRPr="00945ACC">
        <w:rPr>
          <w:color w:val="000000" w:themeColor="text1"/>
        </w:rPr>
        <w:instrText>ADDIN CSL_CITATION {"citationItems":[{"id":"ITEM-1","itemData":{"ISSN":"2062-5871","author":[{"dropping-particle":"","family":"Palmisano","given":"Giovanni Luca","non-dropping-particle":"","parse-names":false,"suffix":""},{"dropping-particle":"","family":"Innamorati","given":"Marco","non-dropping-particle":"","parse-names":false,"suffix":""},{"dropping-particle":"","family":"Vanderlinden","given":"Johan","non-dropping-particle":"","parse-names":false,"suffix":""}],"container-title":"Journal of Behavioral Addictions","id":"ITEM-1","issue":"1","issued":{"date-parts":[["2016"]]},"page":"11-31","publisher":"Akadémiai Kiadó Budapest","title":"Life adverse experiences in relation with obesity and binge eating disorder: A systematic review","type":"article-journal","volume":"5"},"uris":["http://www.mendeley.com/documents/?uuid=b6f73cd4-34e2-434b-a0be-cdb04a827b4a"]}],"mendeley":{"formattedCitation":"(Palmisano et al., 2016)","plainTextFormattedCitation":"(Palmisano et al., 2016)","previouslyFormattedCitation":"(Palmisano et al., 2016)"},"properties":{"noteIndex":0},"schema":"https://github.com/citation-style-language/schema/raw/master/csl-citation.json"}</w:instrText>
      </w:r>
      <w:r w:rsidRPr="00945ACC">
        <w:rPr>
          <w:color w:val="000000" w:themeColor="text1"/>
        </w:rPr>
        <w:fldChar w:fldCharType="separate"/>
      </w:r>
      <w:r w:rsidRPr="00945ACC">
        <w:rPr>
          <w:noProof/>
          <w:color w:val="000000" w:themeColor="text1"/>
        </w:rPr>
        <w:t>(Palmisano et al., 2016)</w:t>
      </w:r>
      <w:r w:rsidRPr="00945ACC">
        <w:rPr>
          <w:color w:val="000000" w:themeColor="text1"/>
        </w:rPr>
        <w:fldChar w:fldCharType="end"/>
      </w:r>
      <w:r w:rsidRPr="00945ACC">
        <w:rPr>
          <w:color w:val="000000" w:themeColor="text1"/>
        </w:rPr>
        <w:t xml:space="preserve">. Our data strongly support this association and highlight the necessity for further investigations on the possibility that isolation and lockdown would become a key factor for the development of an eating disorder, in particular in vulnerable individuals </w:t>
      </w:r>
      <w:r w:rsidRPr="00945ACC">
        <w:rPr>
          <w:color w:val="000000" w:themeColor="text1"/>
        </w:rPr>
        <w:fldChar w:fldCharType="begin" w:fldLock="1"/>
      </w:r>
      <w:r w:rsidRPr="00945ACC">
        <w:rPr>
          <w:color w:val="000000" w:themeColor="text1"/>
        </w:rPr>
        <w:instrText>ADDIN CSL_CITATION {"citationItems":[{"id":"ITEM-1","itemData":{"author":[{"dropping-particle":"","family":"Fernández‐Aranda","given":"Fernando","non-dropping-particle":"","parse-names":false,"suffix":""},{"dropping-particle":"","family":"Casas","given":"Miquel","non-dropping-particle":"","parse-names":false,"suffix":""},{"dropping-particle":"","family":"Claes","given":"Laurence","non-dropping-particle":"","parse-names":false,"suffix":""},{"dropping-particle":"","family":"Bryan","given":"Danielle Clark","non-dropping-particle":"","parse-names":false,"suffix":""},{"dropping-particle":"","family":"Favaro","given":"Angela","non-dropping-particle":"","parse-names":false,"suffix":""},{"dropping-particle":"","family":"Granero","given":"Roser","non-dropping-particle":"","parse-names":false,"suffix":""},{"dropping-particle":"","family":"Gudiol","given":"Carlota","non-dropping-particle":"","parse-names":false,"suffix":""},{"dropping-particle":"","family":"Jiménez‐Murcia","given":"Susana","non-dropping-particle":"","parse-names":false,"suffix":""},{"dropping-particle":"","family":"Karwautz","given":"Andreas","non-dropping-particle":"","parse-names":false,"suffix":""},{"dropping-particle":"","family":"Grange","given":"Daniel","non-dropping-particle":"Le","parse-names":false,"suffix":""}],"container-title":"European Eating Disorders Review","id":"ITEM-1","issue":"3","issued":{"date-parts":[["2020"]]},"page":"239","publisher":"Wiley-Blackwell","title":"COVID‐19 and implications for eating disorders","type":"article-journal","volume":"28"},"uris":["http://www.mendeley.com/documents/?uuid=9645d0e9-def0-4a8f-992b-fa7d797279f9"]},{"id":"ITEM-2","itemData":{"ISSN":"0195-6663","author":[{"dropping-particle":"","family":"Brown","given":"SiennaMarisa","non-dropping-particle":"","parse-names":false,"suffix":""},{"dropping-particle":"","family":"Opitz","given":"Marie-Christine","non-dropping-particle":"","parse-names":false,"suffix":""},{"dropping-particle":"","family":"Peebles","given":"A Imogen","non-dropping-particle":"","parse-names":false,"suffix":""},{"dropping-particle":"","family":"Sharpe","given":"Helen","non-dropping-particle":"","parse-names":false,"suffix":""},{"dropping-particle":"","family":"Duffy","given":"Fiona","non-dropping-particle":"","parse-names":false,"suffix":""},{"dropping-particle":"","family":"Newman","given":"Emily","non-dropping-particle":"","parse-names":false,"suffix":""}],"container-title":"Appetite","id":"ITEM-2","issued":{"date-parts":[["2020"]]},"page":"104977","publisher":"Elsevier","title":"A qualitative exploration of the impact of COVID-19 on individuals with eating disorders in the UK","type":"article-journal","volume":"156"},"uris":["http://www.mendeley.com/documents/?uuid=829b12c9-b9d5-4455-ac25-0140fcbf9806"]}],"mendeley":{"formattedCitation":"(Brown et al., 2020; Fernández‐Aranda et al., 2020)","plainTextFormattedCitation":"(Brown et al., 2020; Fernández‐Aranda et al., 2020)","previouslyFormattedCitation":"(Brown et al., 2020; Fernández‐Aranda et al., 2020)"},"properties":{"noteIndex":0},"schema":"https://github.com/citation-style-language/schema/raw/master/csl-citation.json"}</w:instrText>
      </w:r>
      <w:r w:rsidRPr="00945ACC">
        <w:rPr>
          <w:color w:val="000000" w:themeColor="text1"/>
        </w:rPr>
        <w:fldChar w:fldCharType="separate"/>
      </w:r>
      <w:r w:rsidRPr="00945ACC">
        <w:rPr>
          <w:noProof/>
          <w:color w:val="000000" w:themeColor="text1"/>
        </w:rPr>
        <w:t>(Brown et al., 2020; Fernández‐Aranda et al., 2020)</w:t>
      </w:r>
      <w:r w:rsidRPr="00945ACC">
        <w:rPr>
          <w:color w:val="000000" w:themeColor="text1"/>
        </w:rPr>
        <w:fldChar w:fldCharType="end"/>
      </w:r>
      <w:r w:rsidRPr="00945ACC">
        <w:rPr>
          <w:color w:val="000000" w:themeColor="text1"/>
        </w:rPr>
        <w:t xml:space="preserve">. On the other side, our results on binge eating showed that the final model, that unexpectedly did not include most of the initial factors, explained only a small percentage of the variance, in contrast with the results on emotional eating. This indicates that factors that were not investigated in the study may be involved in binge eating. As binge eating is a clinical disorder, this result may indicate the role of deeper psychological factors, such as trauma, attachment patterns, and significant relationships with caregivers, in the development of an eating disorder </w:t>
      </w:r>
      <w:r w:rsidRPr="00945ACC">
        <w:rPr>
          <w:color w:val="000000" w:themeColor="text1"/>
        </w:rPr>
        <w:fldChar w:fldCharType="begin" w:fldLock="1"/>
      </w:r>
      <w:r w:rsidRPr="00945ACC">
        <w:rPr>
          <w:color w:val="000000" w:themeColor="text1"/>
        </w:rPr>
        <w:instrText>ADDIN CSL_CITATION {"citationItems":[{"id":"ITEM-1","itemData":{"DOI":"10.1348/000711200160282","ISSN":"0007-1129","abstract":"AIM: In a recent review, disturbances in attachment have been linked with eating disorder symptomatology. However, because of the limitations of study design, few inferences could be drawn about these processes in the aetiology and maintenance of eating disorder. Since that review, there has been further development in the instruments used and the publication of several further studies of attachment processes in eating disorders. We reviewed the field, expecting that greater clarity may have emerged in the 3 years since the previous review. METHOD: A review of the literature was carried out, using the computer search PsychLIT, Medline, Embase and The Cochrane Library. RESULTS: There have been more studies published in this area in the last 3 years than in the entire period up until then. These can broadly be divided into those carried out in clinical and non-clinical populations, with greater weight ascribed to the former. The vast majority of studies found that attachment processes, by whatever method measured, are abnormal in eating disordered populations. Attachment style (dismissing versus preoccupied) may be linked with eating disorder diagnostic subgroup. CONCLUSIONS: Insecure attachment is common in eating disordered populations, with implications for therapy. Further work with refined instruments may clarify whether or not there is a specific association between attachment style and eating disorder subgroup. However, such an association is likely to be complicated and it may be more fruitful to study specific aspects of attachment, rather than global attachment style, in relation to eating disorder behaviour. The transgenerational transmission of attachment is a fruitful area for further investigation in eating disordered populations.","author":[{"dropping-particle":"","family":"Ward","given":"A","non-dropping-particle":"","parse-names":false,"suffix":""},{"dropping-particle":"","family":"Ramsay","given":"R","non-dropping-particle":"","parse-names":false,"suffix":""},{"dropping-particle":"","family":"Treasure","given":"J","non-dropping-particle":"","parse-names":false,"suffix":""}],"container-title":"The British Journal of Medical Psychology","id":"ITEM-1","issued":{"date-parts":[["2000"]]},"language":"eng","page":"35-51","title":"Attachment research in eating disorders","type":"article-journal","volume":"73 ( Pt 1)"},"uris":["http://www.mendeley.com/documents/?uuid=405b41fd-af7d-46ed-9cc2-27a7f3022eb9"]},{"id":"ITEM-2","itemData":{"DOI":"10.1037/a0031100","ISSN":"0033-3204, 1939-1536","abstract":"Europe PMC is an archive of life sciences journal literature., Change in attachment insecurity is related to improved outcomes 1-year post group therapy in women with binge eating disorder.","author":[{"dropping-particle":"","family":"Maxwell","given":"H","non-dropping-particle":"","parse-names":false,"suffix":""},{"dropping-particle":"","family":"Tasca","given":"Ga","non-dropping-particle":"","parse-names":false,"suffix":""},{"dropping-particle":"","family":"Ritchie","given":"K","non-dropping-particle":"","parse-names":false,"suffix":""},{"dropping-particle":"","family":"Balfour","given":"L","non-dropping-particle":"","parse-names":false,"suffix":""},{"dropping-particle":"","family":"Bissada","given":"H","non-dropping-particle":"","parse-names":false,"suffix":""}],"container-title":"Psychotherapy (Chicago, Ill.)","id":"ITEM-2","issue":"1","issued":{"date-parts":[["2013","7","15"]]},"language":"English","page":"57-65","title":"Change in attachment insecurity is related to improved outcomes 1-year post group therapy in women with binge eating disorder.","type":"article-journal","volume":"51"},"uris":["http://www.mendeley.com/documents/?uuid=4c5b57a8-a6f7-4a03-8f37-25663e7c39b5"]},{"id":"ITEM-3","itemData":{"DOI":"10.1007/s10578-011-0269-7","ISSN":"1573-3327","abstract":"The present study examined the association between quality of attachment, perception of the father’s bond, and binge eating symptoms in a sample of female late adolescents. In total, 233 female students aged between 18 and 20 years completed measures on binge eating, quality of attachment and parent–child relationship. Data showed that respondents with binge symptoms reported lower scores on secure attachment and father’s care, and higher scores on preoccupied and fearful attachment. Binge eating symptoms were associated with father’s care, but not with father’s overprotection. Also, binge symptoms were negatively associated with secure attachment styles, and positively with preoccupied and fearful attachment. The data, finally, provided evidence that at higher levels of preoccupied attachment, the impact of binge symptoms tended to be lower when father’s care was high.","author":[{"dropping-particle":"","family":"Pace","given":"Ugo","non-dropping-particle":"","parse-names":false,"suffix":""},{"dropping-particle":"","family":"Cacioppo","given":"Marco","non-dropping-particle":"","parse-names":false,"suffix":""},{"dropping-particle":"","family":"Schimmenti","given":"Adriano","non-dropping-particle":"","parse-names":false,"suffix":""}],"container-title":"Child Psychiatry &amp; Human Development","id":"ITEM-3","issue":"2","issued":{"date-parts":[["2012","7","15"]]},"language":"en","page":"282-292","title":"The Moderating Role of Father’s Care on the Onset of Binge Eating Symptoms Among Female Late Adolescents with Insecure Attachment","type":"article-journal","volume":"43"},"uris":["http://www.mendeley.com/documents/?uuid=ef674a85-8f21-4c97-94d3-39a931fcf8ae"]},{"id":"ITEM-4","itemData":{"DOI":"10.1037/1099-9809.12.2.212","ISSN":"1099-9809","abstract":"The present study investigated whether trauma, stress, and discriminatory experiences influenced binge eating among 93 African American and 85 Caucasian women. Trauma and stress were significantly related to binge eating for both groups, although the stress- binge eating relationship was stronger for Caucasian women. Ethnicity did not moderate the relationship between trauma and binge eating, but did moderate the stress-binge eating relationship. Finally, the hypothesis that trauma and stress would influence binge eating through their effects on function of eating was partially supported; the relationship between stress and binge eating was partially mediated by function of eating among Caucasian women. The implications of these findings for our understanding of binge eating are discussed.","author":[{"dropping-particle":"","family":"Harrington","given":"Ellen F","non-dropping-particle":"","parse-names":false,"suffix":""},{"dropping-particle":"","family":"Crowther","given":"Janis H","non-dropping-particle":"","parse-names":false,"suffix":""},{"dropping-particle":"","family":"Henrickson","given":"Heather C Payne","non-dropping-particle":"","parse-names":false,"suffix":""},{"dropping-particle":"","family":"Mickelson","given":"Kristin D","non-dropping-particle":"","parse-names":false,"suffix":""}],"container-title":"Cultural Diversity &amp; Ethnic Minority Psychology","id":"ITEM-4","issue":"2","issued":{"date-parts":[["2006"]]},"language":"eng","page":"212-229","title":"The relationships among trauma, stress, ethnicity, and binge eating","type":"article-journal","volume":"12"},"uris":["http://www.mendeley.com/documents/?uuid=18b1470a-e578-472b-976a-16c34ea70dd0"]},{"id":"ITEM-5","itemData":{"DOI":"10.1080/00223980009600846","ISSN":"0022-3980","abstract":"The authors contribute to the validating literature for binge eating disorder (BED) by examining perceptions of parents and satisfaction with life among obese women with and without BED. Participants were female patients, recruited through a private medical clinic, who were assigned to groups on the basis of body mass index (BMI) and scores on the Questionnaire on Eating and Weight Patterns (QEWP; R. L. Spitzer et al., 1992). Groups consisted of (a) obese women with BED (n = 32), (b) obese women who had no eating disorders (n = 51), and (c) nonobese women with no eating disorders (n = 30). All participants completed the Parental Acceptance/Rejection Questionnaire (PARQ; R. P. Rohner, 1986), the Satisfaction with Life Scale (SWLS; J. Fischer &amp; K. Corcoran, 1994), and the Beck Depression Inventory (BDI; A. T. Beck &amp; R. A. Steer, 1987). Obese women with BED perceived their fathers as more rejecting than did women in the other groups. Moreover, obese women with BED perceived their fathers as significantly more rejecting than their mothers. The BED group indicated lower satisfaction with life and higher levels of depression than the groups without eating disorders. These findings further validate the diagnostic category of BED. Obese women with BED appear to be a distinct subgroup of the obese population. The results indicate a need for further assessment of the father–daughter relationship in connection to BED and other eating disorders.","author":[{"dropping-particle":"","family":"Dominy","given":"Nina L","non-dropping-particle":"","parse-names":false,"suffix":""},{"dropping-particle":"","family":"Johnson","given":"W Brad","non-dropping-particle":"","parse-names":false,"suffix":""},{"dropping-particle":"","family":"Koch","given":"Christopher","non-dropping-particle":"","parse-names":false,"suffix":""}],"container-title":"The Journal of Psychology","id":"ITEM-5","issue":"1","issued":{"date-parts":[["2000","7","15"]]},"page":"23-36","title":"Perception of Parental Acceptance in Women With Binge Eating Disorder","type":"article-journal","volume":"134"},"uris":["http://www.mendeley.com/documents/?uuid=985079af-dec0-4930-92d7-63901f3a93f7"]}],"mendeley":{"formattedCitation":"(Dominy, Johnson, &amp; Koch, 2000; Harrington, Crowther, Henrickson, &amp; Mickelson, 2006; Maxwell, Tasca, Ritchie, Balfour, &amp; Bissada, 2013; Pace, Cacioppo, &amp; Schimmenti, 2012; Ward, Ramsay, &amp; Treasure, 2000)","plainTextFormattedCitation":"(Dominy, Johnson, &amp; Koch, 2000; Harrington, Crowther, Henrickson, &amp; Mickelson, 2006; Maxwell, Tasca, Ritchie, Balfour, &amp; Bissada, 2013; Pace, Cacioppo, &amp; Schimmenti, 2012; Ward, Ramsay, &amp; Treasure, 2000)","previouslyFormattedCitation":"(Dominy, Johnson, &amp; Koch, 2000; Harrington, Crowther, Henrickson, &amp; Mickelson, 2006; Maxwell, Tasca, Ritchie, Balfour, &amp; Bissada, 2013; Pace, Cacioppo, &amp; Schimmenti, 2012; Ward, Ramsay, &amp; Treasure, 2000)"},"properties":{"noteIndex":0},"schema":"https://github.com/citation-style-language/schema/raw/master/csl-citation.json"}</w:instrText>
      </w:r>
      <w:r w:rsidRPr="00945ACC">
        <w:rPr>
          <w:color w:val="000000" w:themeColor="text1"/>
        </w:rPr>
        <w:fldChar w:fldCharType="separate"/>
      </w:r>
      <w:r w:rsidRPr="00945ACC">
        <w:rPr>
          <w:noProof/>
          <w:color w:val="000000" w:themeColor="text1"/>
        </w:rPr>
        <w:t>(Dominy, Johnson, &amp; Koch, 2000; Harrington, Crowther, Henrickson, &amp; Mickelson, 2006; Maxwell, Tasca, Ritchie, Balfour, &amp; Bissada, 2013; Pace, Cacioppo, &amp; Schimmenti, 2012; Ward, Ramsay, &amp; Treasure, 2000)</w:t>
      </w:r>
      <w:r w:rsidRPr="00945ACC">
        <w:rPr>
          <w:color w:val="000000" w:themeColor="text1"/>
        </w:rPr>
        <w:fldChar w:fldCharType="end"/>
      </w:r>
      <w:r w:rsidRPr="00945ACC">
        <w:rPr>
          <w:color w:val="000000" w:themeColor="text1"/>
        </w:rPr>
        <w:t>.</w:t>
      </w:r>
    </w:p>
    <w:p w14:paraId="454568C9" w14:textId="4CC3D717" w:rsidR="00620D34" w:rsidRPr="00945ACC" w:rsidRDefault="00D30988" w:rsidP="00475CDB">
      <w:pPr>
        <w:rPr>
          <w:color w:val="000000" w:themeColor="text1"/>
          <w:lang w:val="it-IT"/>
        </w:rPr>
      </w:pPr>
      <w:r w:rsidRPr="00945ACC">
        <w:rPr>
          <w:color w:val="000000" w:themeColor="text1"/>
        </w:rPr>
        <w:lastRenderedPageBreak/>
        <w:t xml:space="preserve">Importantly, we found that </w:t>
      </w:r>
      <w:r w:rsidR="00620D34" w:rsidRPr="00945ACC">
        <w:rPr>
          <w:color w:val="000000" w:themeColor="text1"/>
        </w:rPr>
        <w:t xml:space="preserve">the partial </w:t>
      </w:r>
      <w:proofErr w:type="spellStart"/>
      <w:r w:rsidR="00620D34" w:rsidRPr="00945ACC">
        <w:rPr>
          <w:color w:val="000000" w:themeColor="text1"/>
        </w:rPr>
        <w:t>lift</w:t>
      </w:r>
      <w:proofErr w:type="spellEnd"/>
      <w:r w:rsidR="00620D34" w:rsidRPr="00945ACC">
        <w:rPr>
          <w:color w:val="000000" w:themeColor="text1"/>
        </w:rPr>
        <w:t xml:space="preserve"> of the restrictions during Phase 2 of the lockdown influence</w:t>
      </w:r>
      <w:r w:rsidR="004A155E" w:rsidRPr="00945ACC">
        <w:rPr>
          <w:color w:val="000000" w:themeColor="text1"/>
        </w:rPr>
        <w:t>d</w:t>
      </w:r>
      <w:r w:rsidR="00620D34" w:rsidRPr="00945ACC">
        <w:rPr>
          <w:color w:val="000000" w:themeColor="text1"/>
        </w:rPr>
        <w:t xml:space="preserve"> emotional and binge eating. This result suggests that the loosening of some restrictions helped people to better deal with lockdown. On a more general note, we found that the mean of emotional eating during the lockdown was </w:t>
      </w:r>
      <w:proofErr w:type="spellStart"/>
      <w:r w:rsidR="004A155E" w:rsidRPr="00945ACC">
        <w:rPr>
          <w:color w:val="000000" w:themeColor="text1"/>
        </w:rPr>
        <w:t>significanlty</w:t>
      </w:r>
      <w:proofErr w:type="spellEnd"/>
      <w:r w:rsidR="00620D34" w:rsidRPr="00945ACC">
        <w:rPr>
          <w:color w:val="000000" w:themeColor="text1"/>
        </w:rPr>
        <w:t xml:space="preserve"> higher during Phase 1 compared to the normative data collected in the Italian population </w:t>
      </w:r>
      <w:r w:rsidR="00620D34" w:rsidRPr="00945ACC">
        <w:rPr>
          <w:color w:val="000000" w:themeColor="text1"/>
        </w:rPr>
        <w:fldChar w:fldCharType="begin" w:fldLock="1"/>
      </w:r>
      <w:r w:rsidR="004A155E" w:rsidRPr="00945ACC">
        <w:rPr>
          <w:color w:val="000000" w:themeColor="text1"/>
        </w:rPr>
        <w:instrText>ADDIN CSL_CITATION {"citationItems":[{"id":"ITEM-1","itemData":{"ISSN":"0195-6663","author":[{"dropping-particle":"","family":"Dakanalis","given":"Antonios","non-dropping-particle":"","parse-names":false,"suffix":""},{"dropping-particle":"","family":"Zanetti","given":"M Assunta","non-dropping-particle":"","parse-names":false,"suffix":""},{"dropping-particle":"","family":"Clerici","given":"Massimo","non-dropping-particle":"","parse-names":false,"suffix":""},{"dropping-particle":"","family":"Madeddu","given":"Fabio","non-dropping-particle":"","parse-names":false,"suffix":""},{"dropping-particle":"","family":"Riva","given":"Giuseppe","non-dropping-particle":"","parse-names":false,"suffix":""},{"dropping-particle":"","family":"Caccialanza","given":"Riccardo","non-dropping-particle":"","parse-names":false,"suffix":""}],"container-title":"Appetite","id":"ITEM-1","issued":{"date-parts":[["2013"]]},"page":"187-195","publisher":"Elsevier","title":"Italian version of the Dutch Eating Behavior Questionnaire. Psychometric proprieties and measurement invariance across sex, BMI-status and age","type":"article-journal","volume":"71"},"uris":["http://www.mendeley.com/documents/?uuid=af4be4dc-12ae-43b8-bc93-eee1a381f0ab"]}],"mendeley":{"formattedCitation":"(Dakanalis et al., 2013)","plainTextFormattedCitation":"(Dakanalis et al., 2013)","previouslyFormattedCitation":"(Dakanalis et al., 2013)"},"properties":{"noteIndex":0},"schema":"https://github.com/citation-style-language/schema/raw/master/csl-citation.json"}</w:instrText>
      </w:r>
      <w:r w:rsidR="00620D34" w:rsidRPr="00945ACC">
        <w:rPr>
          <w:color w:val="000000" w:themeColor="text1"/>
        </w:rPr>
        <w:fldChar w:fldCharType="separate"/>
      </w:r>
      <w:r w:rsidR="00620D34" w:rsidRPr="00945ACC">
        <w:rPr>
          <w:noProof/>
          <w:color w:val="000000" w:themeColor="text1"/>
        </w:rPr>
        <w:t>(Dakanalis et al., 2013)</w:t>
      </w:r>
      <w:r w:rsidR="00620D34" w:rsidRPr="00945ACC">
        <w:rPr>
          <w:color w:val="000000" w:themeColor="text1"/>
        </w:rPr>
        <w:fldChar w:fldCharType="end"/>
      </w:r>
      <w:r w:rsidR="00620D34" w:rsidRPr="00945ACC">
        <w:rPr>
          <w:color w:val="000000" w:themeColor="text1"/>
        </w:rPr>
        <w:t>, while our data pointed towards a more consistent increase in the percentage of individuals who presented at least one episode of binge eating during both phases of lockdown compared to the prevalence in Italy in the normal population (</w:t>
      </w:r>
      <w:r w:rsidR="00620D34" w:rsidRPr="00945ACC">
        <w:rPr>
          <w:color w:val="000000" w:themeColor="text1"/>
        </w:rPr>
        <w:fldChar w:fldCharType="begin" w:fldLock="1"/>
      </w:r>
      <w:r w:rsidR="00620D34" w:rsidRPr="00945ACC">
        <w:rPr>
          <w:color w:val="000000" w:themeColor="text1"/>
        </w:rPr>
        <w:instrText>ADDIN CSL_CITATION {"citationItems":[{"id":"ITEM-1","itemData":{"ISSN":"0006-3223","author":[{"dropping-particle":"","family":"Kessler","given":"Ronald C","non-dropping-particle":"","parse-names":false,"suffix":""},{"dropping-particle":"","family":"Berglund","given":"Patricia A","non-dropping-particle":"","parse-names":false,"suffix":""},{"dropping-particle":"","family":"Chiu","given":"Wai Tat","non-dropping-particle":"","parse-names":false,"suffix":""},{"dropping-particle":"","family":"Deitz","given":"Anne C","non-dropping-particle":"","parse-names":false,"suffix":""},{"dropping-particle":"","family":"Hudson","given":"James I","non-dropping-particle":"","parse-names":false,"suffix":""},{"dropping-particle":"","family":"Shahly","given":"Victoria","non-dropping-particle":"","parse-names":false,"suffix":""},{"dropping-particle":"","family":"Aguilar-Gaxiola","given":"Sergio","non-dropping-particle":"","parse-names":false,"suffix":""},{"dropping-particle":"","family":"Alonso","given":"Jordi","non-dropping-particle":"","parse-names":false,"suffix":""},{"dropping-particle":"","family":"Angermeyer","given":"Matthias C","non-dropping-particle":"","parse-names":false,"suffix":""},{"dropping-particle":"","family":"Benjet","given":"Corina","non-dropping-particle":"","parse-names":false,"suffix":""}],"container-title":"Biological psychiatry","id":"ITEM-1","issue":"9","issued":{"date-parts":[["2013"]]},"page":"904-914","publisher":"Elsevier","title":"The prevalence and correlates of binge eating disorder in the World Health Organization World Mental Health Surveys","type":"article-journal","volume":"73"},"uris":["http://www.mendeley.com/documents/?uuid=65774d31-0afc-45e3-a12d-ea91e5c5bd1d"]}],"mendeley":{"formattedCitation":"(Kessler et al., 2013)","manualFormatting":"Kessler et al., 2013; see Table 1)","plainTextFormattedCitation":"(Kessler et al., 2013)","previouslyFormattedCitation":"(Kessler et al., 2013)"},"properties":{"noteIndex":0},"schema":"https://github.com/citation-style-language/schema/raw/master/csl-citation.json"}</w:instrText>
      </w:r>
      <w:r w:rsidR="00620D34" w:rsidRPr="00945ACC">
        <w:rPr>
          <w:color w:val="000000" w:themeColor="text1"/>
        </w:rPr>
        <w:fldChar w:fldCharType="separate"/>
      </w:r>
      <w:r w:rsidR="00620D34" w:rsidRPr="00945ACC">
        <w:rPr>
          <w:noProof/>
          <w:color w:val="000000" w:themeColor="text1"/>
        </w:rPr>
        <w:t>Kessler et al., 2013; see Table 1)</w:t>
      </w:r>
      <w:r w:rsidR="00620D34" w:rsidRPr="00945ACC">
        <w:rPr>
          <w:color w:val="000000" w:themeColor="text1"/>
        </w:rPr>
        <w:fldChar w:fldCharType="end"/>
      </w:r>
      <w:r w:rsidR="00620D34" w:rsidRPr="00945ACC">
        <w:rPr>
          <w:color w:val="000000" w:themeColor="text1"/>
        </w:rPr>
        <w:t xml:space="preserve">. To our knowledge, this is one of the few reports </w:t>
      </w:r>
      <w:r w:rsidR="00620D34" w:rsidRPr="00945ACC">
        <w:rPr>
          <w:color w:val="000000" w:themeColor="text1"/>
        </w:rPr>
        <w:fldChar w:fldCharType="begin" w:fldLock="1"/>
      </w:r>
      <w:r w:rsidR="00620D34" w:rsidRPr="00945ACC">
        <w:rPr>
          <w:color w:val="000000" w:themeColor="text1"/>
        </w:rPr>
        <w:instrText>ADDIN CSL_CITATION {"citationItems":[{"id":"ITEM-1","itemData":{"author":[{"dropping-particle":"","family":"Al-Musharaf","given":"Sara","non-dropping-particle":"","parse-names":false,"suffix":""}],"container-title":"Nutrients","id":"ITEM-1","issue":"10","issued":{"date-parts":[["2020"]]},"page":"2923","publisher":"Multidisciplinary Digital Publishing Institute","title":"Prevalence and Predictors of Emotional Eating among Healthy Young Saudi Women during the COVID-19 Pandemic","type":"article-journal","volume":"12"},"uris":["http://www.mendeley.com/documents/?uuid=7ad0edaf-44c8-4b70-a868-0643e587ca0c"]}],"mendeley":{"formattedCitation":"(Al-Musharaf, 2020)","manualFormatting":"(see Al-Musharaf, 2020)","plainTextFormattedCitation":"(Al-Musharaf, 2020)","previouslyFormattedCitation":"(Al-Musharaf, 2020)"},"properties":{"noteIndex":0},"schema":"https://github.com/citation-style-language/schema/raw/master/csl-citation.json"}</w:instrText>
      </w:r>
      <w:r w:rsidR="00620D34" w:rsidRPr="00945ACC">
        <w:rPr>
          <w:color w:val="000000" w:themeColor="text1"/>
        </w:rPr>
        <w:fldChar w:fldCharType="separate"/>
      </w:r>
      <w:r w:rsidR="00620D34" w:rsidRPr="00945ACC">
        <w:rPr>
          <w:noProof/>
          <w:color w:val="000000" w:themeColor="text1"/>
        </w:rPr>
        <w:t>(see Al-Musharaf, 2020)</w:t>
      </w:r>
      <w:r w:rsidR="00620D34" w:rsidRPr="00945ACC">
        <w:rPr>
          <w:color w:val="000000" w:themeColor="text1"/>
        </w:rPr>
        <w:fldChar w:fldCharType="end"/>
      </w:r>
      <w:r w:rsidR="00620D34" w:rsidRPr="00945ACC">
        <w:rPr>
          <w:color w:val="000000" w:themeColor="text1"/>
        </w:rPr>
        <w:t xml:space="preserve"> of emotional eating and binge eating on individuals without eating disorders during the lockdown and, even though more investigations and additional data are needed for comparisons, these data suggest that the negative feelings that individuals had to face during the lockdown may have increased dysfunctional eating behaviour. This is in line with a previous report showing that lockdown leads to an unhealthy pattern of food consumption (e.g. consuming unhealthy food, eating out of control, snacking between meals) and that these changes were exhibited in people from different continents </w:t>
      </w:r>
      <w:r w:rsidR="00620D34" w:rsidRPr="00945ACC">
        <w:rPr>
          <w:color w:val="000000" w:themeColor="text1"/>
        </w:rPr>
        <w:fldChar w:fldCharType="begin" w:fldLock="1"/>
      </w:r>
      <w:r w:rsidR="00620D34" w:rsidRPr="00945ACC">
        <w:rPr>
          <w:color w:val="000000" w:themeColor="text1"/>
        </w:rPr>
        <w:instrText>ADDIN CSL_CITATION {"citationItems":[{"id":"ITEM-1","itemData":{"DOI":"10.3390/nu12061583","abstract":"Background: Public health recommendations and governmental measures during the COVID-19 pandemic have resulted in numerous restrictions on daily living including social distancing, isolation and home confinement. While these measures are imperative to abate the spreading of COVID-19, the impact of these restrictions on health behaviours and lifestyles at home is undefined. Therefore, an international online survey was launched in April 2020, in seven languages, to elucidate the behavioural and lifestyle consequences of COVID-19 restrictions. This report presents the results from the first thousand responders on physical activity (PA) and nutrition behaviours. Methods: Following a structured review of the literature, the &amp;ldquo;Effects of home Confinement on multiple Lifestyle Behaviours during the COVID-19 outbreak (ECLB-COVID19)&amp;rdquo; Electronic survey was designed by a steering group of multidisciplinary scientists and academics. The survey was uploaded and shared on the Google online survey platform. Thirty-five research organisations from Europe, North-Africa, Western Asia and the Americas promoted the survey in English, German, French, Arabic, Spanish, Portuguese and Slovenian languages. Questions were presented in a differential format, with questions related to responses &amp;ldquo;before&amp;rdquo; and &amp;ldquo;during&amp;rdquo; confinement conditions. Results: 1047 replies (54% women) from Asia (36%), Africa (40%), Europe (21%) and other (3%) were included in the analysis. The COVID-19 home confinement had a negative effect on all PA intensity levels (vigorous, moderate, walking and overall). Additionally, daily sitting time increased from 5 to 8 h per day. Food consumption and meal patterns (the type of food, eating out of control, snacks between meals, number of main meals) were more unhealthy during confinement, with only alcohol binge drinking decreasing significantly. Conclusion: While isolation is a necessary measure to protect public health, results indicate that it alters physical activity and eating behaviours in a health compromising direction. A more detailed analysis of survey data will allow for a segregation of these responses in different age groups, countries and other subgroups, which will help develop interventions to mitigate the negative lifestyle behaviours that have manifested during the COVID-19 confinement.","author":[{"dropping-particle":"","family":"Ammar","given":"Achraf","non-dropping-particle":"","parse-names":false,"suffix":""},{"dropping-particle":"","family":"Brach","given":"Michael","non-dropping-particle":"","parse-names":false,"suffix":""},{"dropping-particle":"","family":"Trabelsi","given":"Khaled","non-dropping-particle":"","parse-names":false,"suffix":""},{"dropping-particle":"","family":"Chtourou","given":"Hamdi","non-dropping-particle":"","parse-names":false,"suffix":""},{"dropping-particle":"","family":"Boukhris","given":"Omar","non-dropping-particle":"","parse-names":false,"suffix":""},{"dropping-particle":"","family":"Masmoudi","given":"Liwa","non-dropping-particle":"","parse-names":false,"suffix":""},{"dropping-particle":"","family":"Bouaziz","given":"Bassem","non-dropping-particle":"","parse-names":false,"suffix":""},{"dropping-particle":"","family":"Bentlage","given":"Ellen","non-dropping-particle":"","parse-names":false,"suffix":""},{"dropping-particle":"","family":"How","given":"Daniella","non-dropping-particle":"","parse-names":false,"suffix":""},{"dropping-particle":"","family":"Ahmed","given":"Mona","non-dropping-particle":"","parse-names":false,"suffix":""},{"dropping-particle":"","family":"Müller","given":"Patrick","non-dropping-particle":"","parse-names":false,"suffix":""},{"dropping-particle":"","family":"Müller","given":"Notger","non-dropping-particle":"","parse-names":false,"suffix":""},{"dropping-particle":"","family":"Aloui","given":"Asma","non-dropping-particle":"","parse-names":false,"suffix":""},{"dropping-particle":"","family":"Hammouda","given":"Omar","non-dropping-particle":"","parse-names":false,"suffix":""},{"dropping-particle":"","family":"Paineiras-Domingos","given":"Laisa Liane","non-dropping-particle":"","parse-names":false,"suffix":""},{"dropping-particle":"","family":"Braakman-Jansen","given":"Annemarie","non-dropping-particle":"","parse-names":false,"suffix":""},{"dropping-particle":"","family":"Wrede","given":"Christian","non-dropping-particle":"","parse-names":false,"suffix":""},{"dropping-particle":"","family":"Bastoni","given":"Sofia","non-dropping-particle":"","parse-names":false,"suffix":""},{"dropping-particle":"","family":"Pernambuco","given":"Carlos Soares","non-dropping-particle":"","parse-names":false,"suffix":""},{"dropping-particle":"","family":"Mataruna","given":"Leonardo","non-dropping-particle":"","parse-names":false,"suffix":""},{"dropping-particle":"","family":"Taheri","given":"Morteza","non-dropping-particle":"","parse-names":false,"suffix":""},{"dropping-particle":"","family":"Irandoust","given":"Khadijeh","non-dropping-particle":"","parse-names":false,"suffix":""},{"dropping-particle":"","family":"Khacharem","given":"Aïmen","non-dropping-particle":"","parse-names":false,"suffix":""},{"dropping-particle":"","family":"Bragazzi","given":"Nicola L","non-dropping-particle":"","parse-names":false,"suffix":""},{"dropping-particle":"","family":"Chamari","given":"Karim","non-dropping-particle":"","parse-names":false,"suffix":""},{"dropping-particle":"","family":"Glenn","given":"Jordan M","non-dropping-particle":"","parse-names":false,"suffix":""},{"dropping-particle":"","family":"Bott","given":"Nicholas T","non-dropping-particle":"","parse-names":false,"suffix":""},{"dropping-particle":"","family":"Gargouri","given":"Faiez","non-dropping-particle":"","parse-names":false,"suffix":""},{"dropping-particle":"","family":"Chaari","given":"Lotfi","non-dropping-particle":"","parse-names":false,"suffix":""},{"dropping-particle":"","family":"Batatia","given":"Hadj","non-dropping-particle":"","parse-names":false,"suffix":""},{"dropping-particle":"","family":"Ali","given":"Gamal Mohamed","non-dropping-particle":"","parse-names":false,"suffix":""},{"dropping-particle":"","family":"Abdelkarim","given":"Osama","non-dropping-particle":"","parse-names":false,"suffix":""},{"dropping-particle":"","family":"Jarraya","given":"Mohamed","non-dropping-particle":"","parse-names":false,"suffix":""},{"dropping-particle":"","family":"Abed","given":"Kais","non-dropping-particle":"El","parse-names":false,"suffix":""},{"dropping-particle":"","family":"Souissi","given":"Nizar","non-dropping-particle":"","parse-names":false,"suffix":""},{"dropping-particle":"","family":"Gemert-Pijnen","given":"Lisette","non-dropping-particle":"Van","parse-names":false,"suffix":""},{"dropping-particle":"","family":"Riemann","given":"Bryan L","non-dropping-particle":"","parse-names":false,"suffix":""},{"dropping-particle":"","family":"Riemann","given":"Laurel","non-dropping-particle":"","parse-names":false,"suffix":""},{"dropping-particle":"","family":"Moalla","given":"Wassim","non-dropping-particle":"","parse-names":false,"suffix":""},{"dropping-particle":"","family":"Gómez-Raja","given":"Jonathan","non-dropping-particle":"","parse-names":false,"suffix":""},{"dropping-particle":"","family":"Epstein","given":"Monique","non-dropping-particle":"","parse-names":false,"suffix":""},{"dropping-particle":"","family":"Sanderman","given":"Robbert","non-dropping-particle":"","parse-names":false,"suffix":""},{"dropping-particle":"","family":"Schulz","given":"Sebastian V W","non-dropping-particle":"","parse-names":false,"suffix":""},{"dropping-particle":"","family":"Jerg","given":"Achim","non-dropping-particle":"","parse-names":false,"suffix":""},{"dropping-particle":"","family":"Al-Horani","given":"Ramzi","non-dropping-particle":"","parse-names":false,"suffix":""},{"dropping-particle":"","family":"Mansi","given":"Taiysir","non-dropping-particle":"","parse-names":false,"suffix":""},{"dropping-particle":"","family":"Jmail","given":"Mohamed","non-dropping-particle":"","parse-names":false,"suffix":""},{"dropping-particle":"","family":"Barbosa","given":"Fernando","non-dropping-particle":"","parse-names":false,"suffix":""},{"dropping-particle":"","family":"Ferreira-Santos","given":"Fernando","non-dropping-particle":"","parse-names":false,"suffix":""},{"dropping-particle":"","family":"Šimunič","given":"Boštjan","non-dropping-particle":"","parse-names":false,"suffix":""},{"dropping-particle":"","family":"Pišot","given":"Rado","non-dropping-particle":"","parse-names":false,"suffix":""},{"dropping-particle":"","family":"Gaggioli","given":"Andrea","non-dropping-particle":"","parse-names":false,"suffix":""},{"dropping-particle":"","family":"Bailey","given":"Stephen J","non-dropping-particle":"","parse-names":false,"suffix":""},{"dropping-particle":"","family":"Steinacker","given":"Jürgen M","non-dropping-particle":"","parse-names":false,"suffix":""},{"dropping-particle":"","family":"Driss","given":"Tarak","non-dropping-particle":"","parse-names":false,"suffix":""},{"dropping-particle":"","family":"Hoekelmann","given":"Anita","non-dropping-particle":"","parse-names":false,"suffix":""},{"dropping-particle":"","family":"Consortium","given":"On Behalf of the ECLB-COVID19","non-dropping-particle":"","parse-names":false,"suffix":""}],"container-title":"Nutrients","id":"ITEM-1","issue":"6","issued":{"date-parts":[["2020","7","3"]]},"language":"en","page":"1583","title":"Effects of COVID-19 Home Confinement on Eating Behaviour and Physical Activity: Results of the ECLB-COVID19 International Online Survey","type":"article-journal","volume":"12"},"uris":["http://www.mendeley.com/documents/?uuid=642897a3-5c82-4e8f-aef0-d90ac5026de7"]},{"id":"ITEM-2","itemData":{"author":[{"dropping-particle":"","family":"Renzo","given":"Laura","non-dropping-particle":"Di","parse-names":false,"suffix":""},{"dropping-particle":"","family":"Gualtieri","given":"Paola","non-dropping-particle":"","parse-names":false,"suffix":""},{"dropping-particle":"","family":"Cinelli","given":"Giulia","non-dropping-particle":"","parse-names":false,"suffix":""},{"dropping-particle":"","family":"Bigioni","given":"Giulia","non-dropping-particle":"","parse-names":false,"suffix":""},{"dropping-particle":"","family":"Soldati","given":"Laura","non-dropping-particle":"","parse-names":false,"suffix":""},{"dropping-particle":"","family":"Attinà","given":"Alda","non-dropping-particle":"","parse-names":false,"suffix":""},{"dropping-particle":"","family":"Bianco","given":"Francesca Fabiola","non-dropping-particle":"","parse-names":false,"suffix":""},{"dropping-particle":"","family":"Caparello","given":"Giovanna","non-dropping-particle":"","parse-names":false,"suffix":""},{"dropping-particle":"","family":"Camodeca","given":"Vanessa","non-dropping-particle":"","parse-names":false,"suffix":""},{"dropping-particle":"","family":"Carrano","given":"Elena","non-dropping-particle":"","parse-names":false,"suffix":""}],"container-title":"Nutrients","id":"ITEM-2","issue":"7","issued":{"date-parts":[["2020"]]},"page":"2152","publisher":"Multidisciplinary Digital Publishing Institute","title":"Psychological aspects and eating habits during COVID-19 home confinement: Results of EHLC-COVID-19 Italian Online Survey","type":"article-journal","volume":"12"},"uris":["http://www.mendeley.com/documents/?uuid=d8feffc0-ac4f-45fb-be8d-565acedf6077"]},{"id":"ITEM-3","itemData":{"ISSN":"1930-7381","author":[{"dropping-particle":"","family":"Pietrobelli","given":"Angelo","non-dropping-particle":"","parse-names":false,"suffix":""},{"dropping-particle":"","family":"Pecoraro","given":"Luca","non-dropping-particle":"","parse-names":false,"suffix":""},{"dropping-particle":"","family":"Ferruzzi","given":"Alessandro","non-dropping-particle":"","parse-names":false,"suffix":""},{"dropping-particle":"","family":"Heo","given":"Moonseong","non-dropping-particle":"","parse-names":false,"suffix":""},{"dropping-particle":"","family":"Faith","given":"Myles","non-dropping-particle":"","parse-names":false,"suffix":""},{"dropping-particle":"","family":"Zoller","given":"Thomas","non-dropping-particle":"","parse-names":false,"suffix":""},{"dropping-particle":"","family":"Antoniazzi","given":"Franco","non-dropping-particle":"","parse-names":false,"suffix":""},{"dropping-particle":"","family":"Piacentini","given":"Giorgio","non-dropping-particle":"","parse-names":false,"suffix":""},{"dropping-particle":"","family":"Fearnbach","given":"S Nicole","non-dropping-particle":"","parse-names":false,"suffix":""},{"dropping-particle":"","family":"Heymsfield","given":"Steven B","non-dropping-particle":"","parse-names":false,"suffix":""}],"container-title":"Obesity","id":"ITEM-3","issued":{"date-parts":[["2020"]]},"publisher":"Wiley Online Library","title":"Effects of COVID‐19 lockdown on lifestyle behaviors in children with obesity living in Verona, Italy: a longitudinal study","type":"article-journal"},"uris":["http://www.mendeley.com/documents/?uuid=f67ded7f-fcaa-4f00-98ce-ca155d14834b"]},{"id":"ITEM-4","itemData":{"ISSN":"0195-6663","author":[{"dropping-particle":"","family":"Robinson","given":"Eric","non-dropping-particle":"","parse-names":false,"suffix":""},{"dropping-particle":"","family":"Boyland","given":"Emma","non-dropping-particle":"","parse-names":false,"suffix":""},{"dropping-particle":"","family":"Chisholm","given":"Anna","non-dropping-particle":"","parse-names":false,"suffix":""},{"dropping-particle":"","family":"Harrold","given":"Joanne","non-dropping-particle":"","parse-names":false,"suffix":"</w:instrText>
      </w:r>
      <w:r w:rsidR="00620D34" w:rsidRPr="00945ACC">
        <w:rPr>
          <w:color w:val="000000" w:themeColor="text1"/>
          <w:lang w:val="it-IT"/>
        </w:rPr>
        <w:instrText>"},{"dropping-particle":"","family":"Maloney","given":"Niamh G","non-dropping-particle":"","parse-names":false,"suffix":""},{"dropping-particle":"","family":"Marty","given":"Lucile","non-dropping-particle":"","parse-names":false,"suffix":""},{"dropping-particle":"","family":"Mead","given":"Bethan R","non-dropping-particle":"","parse-names":false,"suffix":""},{"dropping-particle":"","family":"Noonan","given":"Rob","non-dropping-particle":"","parse-names":false,"suffix":""},{"dropping-particle":"","family":"Hardman","given":"Charlotte A","non-dropping-particle":"","parse-names":false,"suffix":""}],"container-title":"Appetite","id":"ITEM-4","issued":{"date-parts":[["2020"]]},"page":"104853","publisher":"Elsevier","title":"Obesity, eating behavior and physical activity during COVID-19 lockdown: A study of UK adults","type":"article-journal"},"uris":["http://www.mendeley.com/documents/?uuid=77446152-34de-4573-a761-cfdf334d5c26"]}],"mendeley":{"formattedCitation":"(Ammar et al., 2020; Di Renzo, Gualtieri, Cinelli, et al., 2020; Pietrobelli et al., 2020; Robinson et al., 2020)","plainTextFormattedCitation":"(Ammar et al., 2020; Di Renzo, Gualtieri, Cinelli, et al., 2020; Pietrobelli et al., 2020; Robinson et al., 2020)","previouslyFormattedCitation":"(Ammar et al., 2020; Di Renzo, Gualtieri, Cinelli, et al., 2020; Pietrobelli et al., 2020; Robinson et al., 2020)"},"properties":{"noteIndex":0},"schema":"https://github.com/citation-style-language/schema/raw/master/csl-citation.json"}</w:instrText>
      </w:r>
      <w:r w:rsidR="00620D34" w:rsidRPr="00945ACC">
        <w:rPr>
          <w:color w:val="000000" w:themeColor="text1"/>
        </w:rPr>
        <w:fldChar w:fldCharType="separate"/>
      </w:r>
      <w:r w:rsidR="00620D34" w:rsidRPr="00945ACC">
        <w:rPr>
          <w:noProof/>
          <w:color w:val="000000" w:themeColor="text1"/>
          <w:lang w:val="it-IT"/>
        </w:rPr>
        <w:t>(Ammar et al., 2020; Di Renzo, Gualtieri, Cinelli, et al., 2020; Pietrobelli et al., 2020; Robinson et al., 2020)</w:t>
      </w:r>
      <w:r w:rsidR="00620D34" w:rsidRPr="00945ACC">
        <w:rPr>
          <w:color w:val="000000" w:themeColor="text1"/>
        </w:rPr>
        <w:fldChar w:fldCharType="end"/>
      </w:r>
      <w:r w:rsidR="00620D34" w:rsidRPr="00945ACC">
        <w:rPr>
          <w:color w:val="000000" w:themeColor="text1"/>
          <w:lang w:val="it-IT"/>
        </w:rPr>
        <w:t xml:space="preserve">. </w:t>
      </w:r>
    </w:p>
    <w:p w14:paraId="730F0B88" w14:textId="47963D0E" w:rsidR="00874399" w:rsidRPr="00945ACC" w:rsidRDefault="00B16B40">
      <w:pPr>
        <w:jc w:val="both"/>
        <w:rPr>
          <w:color w:val="000000" w:themeColor="text1"/>
        </w:rPr>
      </w:pPr>
      <w:r w:rsidRPr="00945ACC">
        <w:rPr>
          <w:color w:val="000000" w:themeColor="text1"/>
        </w:rPr>
        <w:t xml:space="preserve">As </w:t>
      </w:r>
      <w:r w:rsidR="00524C4C" w:rsidRPr="00945ACC">
        <w:rPr>
          <w:color w:val="000000" w:themeColor="text1"/>
        </w:rPr>
        <w:t>additional</w:t>
      </w:r>
      <w:r w:rsidRPr="00945ACC">
        <w:rPr>
          <w:color w:val="000000" w:themeColor="text1"/>
        </w:rPr>
        <w:t xml:space="preserve"> analyses, we applied the same models for emotional eating and binge eating on the group of participants that had been excluded from the main analyses because they had reported currently having or having had an eating disorder in the past (see Supplementa</w:t>
      </w:r>
      <w:r w:rsidR="0098722C" w:rsidRPr="00945ACC">
        <w:rPr>
          <w:color w:val="000000" w:themeColor="text1"/>
        </w:rPr>
        <w:t>ry</w:t>
      </w:r>
      <w:r w:rsidRPr="00945ACC">
        <w:rPr>
          <w:color w:val="000000" w:themeColor="text1"/>
        </w:rPr>
        <w:t xml:space="preserve"> </w:t>
      </w:r>
      <w:r w:rsidR="00A325E3" w:rsidRPr="00945ACC">
        <w:rPr>
          <w:color w:val="000000" w:themeColor="text1"/>
        </w:rPr>
        <w:t>Results</w:t>
      </w:r>
      <w:r w:rsidRPr="00945ACC">
        <w:rPr>
          <w:color w:val="000000" w:themeColor="text1"/>
        </w:rPr>
        <w:t>). Interestingly, even though none of the predictors were linked to binge eating, for emotional eating we found significant predictors that differed from the ones influencing healthy participants.</w:t>
      </w:r>
      <w:r w:rsidR="00475C05" w:rsidRPr="00945ACC">
        <w:rPr>
          <w:color w:val="000000" w:themeColor="text1"/>
        </w:rPr>
        <w:t xml:space="preserve"> In particular, while alexithymia did not influence emotional eating, stress, in interaction with Quality of Life, was associated with it, and anxiety and depression have only a marginal role. </w:t>
      </w:r>
      <w:r w:rsidR="00524C4C" w:rsidRPr="00945ACC">
        <w:rPr>
          <w:color w:val="000000" w:themeColor="text1"/>
        </w:rPr>
        <w:t xml:space="preserve">This result indicates that the two groups are indeed samples from different populations that responded differently to stressful situations such as </w:t>
      </w:r>
      <w:r w:rsidR="00844E65" w:rsidRPr="00945ACC">
        <w:rPr>
          <w:color w:val="000000" w:themeColor="text1"/>
        </w:rPr>
        <w:t>lockdown</w:t>
      </w:r>
      <w:r w:rsidR="00524C4C" w:rsidRPr="00945ACC">
        <w:rPr>
          <w:color w:val="000000" w:themeColor="text1"/>
        </w:rPr>
        <w:t xml:space="preserve">. </w:t>
      </w:r>
      <w:r w:rsidRPr="00945ACC">
        <w:rPr>
          <w:color w:val="000000" w:themeColor="text1"/>
        </w:rPr>
        <w:t>However, since it was outside the aim of the present study, this sample was quite small and this analysis must be considered with caution.</w:t>
      </w:r>
    </w:p>
    <w:p w14:paraId="233A5FDD" w14:textId="18EC1C7A" w:rsidR="00874399" w:rsidRPr="00945ACC" w:rsidRDefault="00F74B03" w:rsidP="004A359B">
      <w:pPr>
        <w:ind w:firstLine="360"/>
        <w:rPr>
          <w:color w:val="000000" w:themeColor="text1"/>
        </w:rPr>
      </w:pPr>
      <w:sdt>
        <w:sdtPr>
          <w:rPr>
            <w:color w:val="000000" w:themeColor="text1"/>
          </w:rPr>
          <w:tag w:val="goog_rdk_7"/>
          <w:id w:val="2124263891"/>
        </w:sdtPr>
        <w:sdtEndPr/>
        <w:sdtContent/>
      </w:sdt>
      <w:r w:rsidR="00B16B40" w:rsidRPr="00945ACC">
        <w:rPr>
          <w:color w:val="000000" w:themeColor="text1"/>
        </w:rPr>
        <w:t xml:space="preserve">This study presents some limitations. First, we relied on social networks to recruit participants, which could have introduced some bias in our sample as it excluded those people that are not on social networks or that </w:t>
      </w:r>
      <w:r w:rsidR="008B746C" w:rsidRPr="00945ACC">
        <w:rPr>
          <w:color w:val="000000" w:themeColor="text1"/>
        </w:rPr>
        <w:t>could not</w:t>
      </w:r>
      <w:r w:rsidR="00B16B40" w:rsidRPr="00945ACC">
        <w:rPr>
          <w:color w:val="000000" w:themeColor="text1"/>
        </w:rPr>
        <w:t xml:space="preserve"> use personal computers or smartphones. Second, we used an online survey which was based on self-report questionnaires. This aspect could have been particularly problematic for the binge eating questionnaire which was adapted from the structured interview of DSM</w:t>
      </w:r>
      <w:r w:rsidR="00050DA2" w:rsidRPr="00945ACC">
        <w:rPr>
          <w:color w:val="000000" w:themeColor="text1"/>
        </w:rPr>
        <w:t>;</w:t>
      </w:r>
      <w:r w:rsidR="00B16B40" w:rsidRPr="00945ACC">
        <w:rPr>
          <w:color w:val="000000" w:themeColor="text1"/>
        </w:rPr>
        <w:t xml:space="preserve"> however, this procedure was imposed by the exceptionality of the moment and the lockdown restrictions. Third, there was an uneven number of males and female participants; we however tried to account for this issue by including gender as a random factor in the initial models. For the same reason, we also include age in the initial models. Fourth, our sample could be considered small for an online survey</w:t>
      </w:r>
      <w:r w:rsidR="00050DA2" w:rsidRPr="00945ACC">
        <w:rPr>
          <w:color w:val="000000" w:themeColor="text1"/>
        </w:rPr>
        <w:t>;</w:t>
      </w:r>
      <w:r w:rsidR="00B16B40" w:rsidRPr="00945ACC">
        <w:rPr>
          <w:color w:val="000000" w:themeColor="text1"/>
        </w:rPr>
        <w:t xml:space="preserve"> however, we would like to point out that the survey was kept available only for six days to be still able to collect reliable answers related to Phase 1 but at the same time to have people already felt the effects of Phase 2. </w:t>
      </w:r>
      <w:r w:rsidR="00885112" w:rsidRPr="00945ACC">
        <w:rPr>
          <w:color w:val="000000" w:themeColor="text1"/>
        </w:rPr>
        <w:t xml:space="preserve">Five, while our experimental design allowed us to collect information from the same participants for the two </w:t>
      </w:r>
      <w:r w:rsidR="001173E8" w:rsidRPr="00945ACC">
        <w:rPr>
          <w:color w:val="000000" w:themeColor="text1"/>
        </w:rPr>
        <w:t>p</w:t>
      </w:r>
      <w:r w:rsidR="00885112" w:rsidRPr="00945ACC">
        <w:rPr>
          <w:color w:val="000000" w:themeColor="text1"/>
        </w:rPr>
        <w:t>hases of the lockdown, it should be noted that data is not acquired longitudinally, but rather partic</w:t>
      </w:r>
      <w:r w:rsidR="00475C05" w:rsidRPr="00945ACC">
        <w:rPr>
          <w:color w:val="000000" w:themeColor="text1"/>
        </w:rPr>
        <w:t>i</w:t>
      </w:r>
      <w:r w:rsidR="00885112" w:rsidRPr="00945ACC">
        <w:rPr>
          <w:color w:val="000000" w:themeColor="text1"/>
        </w:rPr>
        <w:t xml:space="preserve">pants were asked to recall </w:t>
      </w:r>
      <w:r w:rsidR="001173E8" w:rsidRPr="00945ACC">
        <w:rPr>
          <w:color w:val="000000" w:themeColor="text1"/>
        </w:rPr>
        <w:t xml:space="preserve">at the beginning of Phase 2 </w:t>
      </w:r>
      <w:r w:rsidR="00885112" w:rsidRPr="00945ACC">
        <w:rPr>
          <w:color w:val="000000" w:themeColor="text1"/>
        </w:rPr>
        <w:t>how they felt a week earlier</w:t>
      </w:r>
      <w:r w:rsidR="001173E8" w:rsidRPr="00945ACC">
        <w:rPr>
          <w:color w:val="000000" w:themeColor="text1"/>
        </w:rPr>
        <w:t xml:space="preserve"> (during Phase 1)</w:t>
      </w:r>
      <w:r w:rsidR="00885112" w:rsidRPr="00945ACC">
        <w:rPr>
          <w:color w:val="000000" w:themeColor="text1"/>
        </w:rPr>
        <w:t>.</w:t>
      </w:r>
      <w:r w:rsidR="00F142E6" w:rsidRPr="00945ACC">
        <w:rPr>
          <w:color w:val="000000" w:themeColor="text1"/>
        </w:rPr>
        <w:t xml:space="preserve"> This limitation needs to be carefully considered in particular for the validated instruments (DEBQ, BEDS-7, GAD-2. PSS-10, PHQ-2) that were used following a different procedure from the validated one.</w:t>
      </w:r>
    </w:p>
    <w:p w14:paraId="117C53B7" w14:textId="3E652C59" w:rsidR="00874399" w:rsidRPr="00945ACC" w:rsidRDefault="00B16B40" w:rsidP="00475CDB">
      <w:pPr>
        <w:rPr>
          <w:color w:val="000000" w:themeColor="text1"/>
        </w:rPr>
      </w:pPr>
      <w:r w:rsidRPr="00945ACC">
        <w:rPr>
          <w:color w:val="000000" w:themeColor="text1"/>
        </w:rPr>
        <w:t xml:space="preserve">In conclusion, our study </w:t>
      </w:r>
      <w:r w:rsidR="00050DA2" w:rsidRPr="00945ACC">
        <w:rPr>
          <w:color w:val="000000" w:themeColor="text1"/>
        </w:rPr>
        <w:t>shows</w:t>
      </w:r>
      <w:r w:rsidRPr="00945ACC">
        <w:rPr>
          <w:color w:val="000000" w:themeColor="text1"/>
        </w:rPr>
        <w:t xml:space="preserve"> evidence of the negative effects of isolation and </w:t>
      </w:r>
      <w:r w:rsidR="00844E65" w:rsidRPr="00945ACC">
        <w:rPr>
          <w:color w:val="000000" w:themeColor="text1"/>
        </w:rPr>
        <w:t>lockdown</w:t>
      </w:r>
      <w:r w:rsidRPr="00945ACC">
        <w:rPr>
          <w:color w:val="000000" w:themeColor="text1"/>
        </w:rPr>
        <w:t xml:space="preserve"> </w:t>
      </w:r>
      <w:r w:rsidR="00A325E3" w:rsidRPr="00945ACC">
        <w:rPr>
          <w:color w:val="000000" w:themeColor="text1"/>
        </w:rPr>
        <w:t xml:space="preserve">on </w:t>
      </w:r>
      <w:r w:rsidRPr="00945ACC">
        <w:rPr>
          <w:color w:val="000000" w:themeColor="text1"/>
        </w:rPr>
        <w:t>eating behaviour in the Italian population. Even though these restrictions were needed to prevent the spread of the pandemic, these and previous observations act as warnings that careful monitoring and nutritional as well as health recommendations are important to mitigate the impact of negative effects of possible future lockdowns.</w:t>
      </w:r>
      <w:r w:rsidR="00B10EBA" w:rsidRPr="00945ACC">
        <w:rPr>
          <w:color w:val="000000" w:themeColor="text1"/>
        </w:rPr>
        <w:t xml:space="preserve"> </w:t>
      </w:r>
      <w:r w:rsidR="00524C4C" w:rsidRPr="00945ACC">
        <w:rPr>
          <w:color w:val="000000" w:themeColor="text1"/>
        </w:rPr>
        <w:t>Future policies during lockdown should also take in</w:t>
      </w:r>
      <w:r w:rsidR="00050DA2" w:rsidRPr="00945ACC">
        <w:rPr>
          <w:color w:val="000000" w:themeColor="text1"/>
        </w:rPr>
        <w:t>to</w:t>
      </w:r>
      <w:r w:rsidR="00524C4C" w:rsidRPr="00945ACC">
        <w:rPr>
          <w:color w:val="000000" w:themeColor="text1"/>
        </w:rPr>
        <w:t xml:space="preserve"> consideration the emotional toll on individual well-being and should include measures </w:t>
      </w:r>
      <w:r w:rsidR="00050DA2" w:rsidRPr="00945ACC">
        <w:rPr>
          <w:color w:val="000000" w:themeColor="text1"/>
        </w:rPr>
        <w:t xml:space="preserve">of </w:t>
      </w:r>
      <w:r w:rsidR="00524C4C" w:rsidRPr="00945ACC">
        <w:rPr>
          <w:color w:val="000000" w:themeColor="text1"/>
        </w:rPr>
        <w:t xml:space="preserve">psychological support. </w:t>
      </w:r>
      <w:r w:rsidR="00B10EBA" w:rsidRPr="00945ACC">
        <w:rPr>
          <w:color w:val="000000" w:themeColor="text1"/>
        </w:rPr>
        <w:t xml:space="preserve">Future </w:t>
      </w:r>
      <w:r w:rsidR="00524C4C" w:rsidRPr="00945ACC">
        <w:rPr>
          <w:color w:val="000000" w:themeColor="text1"/>
        </w:rPr>
        <w:t>studies should consider whether the effects of these two months</w:t>
      </w:r>
      <w:r w:rsidR="00A325E3" w:rsidRPr="00945ACC">
        <w:rPr>
          <w:color w:val="000000" w:themeColor="text1"/>
        </w:rPr>
        <w:t>'</w:t>
      </w:r>
      <w:r w:rsidR="00524C4C" w:rsidRPr="00945ACC">
        <w:rPr>
          <w:color w:val="000000" w:themeColor="text1"/>
        </w:rPr>
        <w:t xml:space="preserve"> lockdown </w:t>
      </w:r>
      <w:r w:rsidR="00CC69C2" w:rsidRPr="00945ACC">
        <w:rPr>
          <w:color w:val="000000" w:themeColor="text1"/>
        </w:rPr>
        <w:t xml:space="preserve">caused long-term consequences on eating behaviour. </w:t>
      </w:r>
    </w:p>
    <w:p w14:paraId="69A45052" w14:textId="77777777" w:rsidR="00874399" w:rsidRPr="00945ACC" w:rsidRDefault="00B16B40">
      <w:pPr>
        <w:pStyle w:val="Titolo1"/>
        <w:numPr>
          <w:ilvl w:val="0"/>
          <w:numId w:val="2"/>
        </w:numPr>
      </w:pPr>
      <w:bookmarkStart w:id="5" w:name="_heading=h.ocffbgi7flp4" w:colFirst="0" w:colLast="0"/>
      <w:bookmarkEnd w:id="5"/>
      <w:r w:rsidRPr="00945ACC">
        <w:lastRenderedPageBreak/>
        <w:t>Acknowledgment</w:t>
      </w:r>
    </w:p>
    <w:p w14:paraId="5FAA4682" w14:textId="2D057BC5" w:rsidR="00874399" w:rsidRPr="00945ACC" w:rsidRDefault="00B16B40">
      <w:pPr>
        <w:spacing w:line="523" w:lineRule="auto"/>
        <w:jc w:val="both"/>
        <w:rPr>
          <w:color w:val="000000" w:themeColor="text1"/>
          <w:lang w:val="en-US"/>
        </w:rPr>
      </w:pPr>
      <w:r w:rsidRPr="00945ACC">
        <w:rPr>
          <w:color w:val="000000" w:themeColor="text1"/>
        </w:rPr>
        <w:t>C.C. was supported by a grant from MIUR (</w:t>
      </w:r>
      <w:proofErr w:type="spellStart"/>
      <w:r w:rsidRPr="00945ACC">
        <w:rPr>
          <w:color w:val="000000" w:themeColor="text1"/>
        </w:rPr>
        <w:t>Dipartimenti</w:t>
      </w:r>
      <w:proofErr w:type="spellEnd"/>
      <w:r w:rsidRPr="00945ACC">
        <w:rPr>
          <w:color w:val="000000" w:themeColor="text1"/>
        </w:rPr>
        <w:t xml:space="preserve"> di </w:t>
      </w:r>
      <w:proofErr w:type="spellStart"/>
      <w:r w:rsidRPr="00945ACC">
        <w:rPr>
          <w:color w:val="000000" w:themeColor="text1"/>
        </w:rPr>
        <w:t>Eccellenza</w:t>
      </w:r>
      <w:proofErr w:type="spellEnd"/>
      <w:r w:rsidRPr="00945ACC">
        <w:rPr>
          <w:color w:val="000000" w:themeColor="text1"/>
        </w:rPr>
        <w:t xml:space="preserve"> DM 11/05/2017 n. 262) to the Department of General Psychology.</w:t>
      </w:r>
      <w:r w:rsidR="008323FA" w:rsidRPr="00945ACC">
        <w:rPr>
          <w:color w:val="000000" w:themeColor="text1"/>
        </w:rPr>
        <w:t xml:space="preserve"> S.A.O. was supported by the Swiss National Science Foundation (grant PP00P1_170506 / 1 to Silvio </w:t>
      </w:r>
      <w:proofErr w:type="spellStart"/>
      <w:r w:rsidR="008323FA" w:rsidRPr="00945ACC">
        <w:rPr>
          <w:color w:val="000000" w:themeColor="text1"/>
        </w:rPr>
        <w:t>Ionta</w:t>
      </w:r>
      <w:proofErr w:type="spellEnd"/>
      <w:r w:rsidR="008323FA" w:rsidRPr="00945ACC">
        <w:rPr>
          <w:color w:val="000000" w:themeColor="text1"/>
        </w:rPr>
        <w:t>).</w:t>
      </w:r>
      <w:r w:rsidR="00190BC1" w:rsidRPr="00945ACC">
        <w:rPr>
          <w:color w:val="000000" w:themeColor="text1"/>
        </w:rPr>
        <w:t xml:space="preserve"> We thank Prof. Bruno Osimo for the English revision of the manuscript.</w:t>
      </w:r>
    </w:p>
    <w:p w14:paraId="225FD892" w14:textId="77777777" w:rsidR="00874399" w:rsidRPr="00945ACC" w:rsidRDefault="00B16B40">
      <w:pPr>
        <w:pStyle w:val="Titolo1"/>
        <w:numPr>
          <w:ilvl w:val="0"/>
          <w:numId w:val="2"/>
        </w:numPr>
      </w:pPr>
      <w:bookmarkStart w:id="6" w:name="_heading=h.dtahj02kv1ru" w:colFirst="0" w:colLast="0"/>
      <w:bookmarkEnd w:id="6"/>
      <w:r w:rsidRPr="00945ACC">
        <w:t xml:space="preserve">Author Contributions </w:t>
      </w:r>
    </w:p>
    <w:p w14:paraId="52042FBB" w14:textId="2B1B5B87" w:rsidR="00874399" w:rsidRPr="00945ACC" w:rsidRDefault="00F74B03">
      <w:pPr>
        <w:rPr>
          <w:b/>
          <w:color w:val="000000" w:themeColor="text1"/>
        </w:rPr>
      </w:pPr>
      <w:sdt>
        <w:sdtPr>
          <w:rPr>
            <w:color w:val="000000" w:themeColor="text1"/>
          </w:rPr>
          <w:tag w:val="goog_rdk_8"/>
          <w:id w:val="867111151"/>
        </w:sdtPr>
        <w:sdtEndPr/>
        <w:sdtContent/>
      </w:sdt>
      <w:r w:rsidR="00BF7996" w:rsidRPr="00945ACC">
        <w:rPr>
          <w:color w:val="000000" w:themeColor="text1"/>
        </w:rPr>
        <w:t xml:space="preserve"> M.A., </w:t>
      </w:r>
      <w:r w:rsidR="00B16B40" w:rsidRPr="00945ACC">
        <w:rPr>
          <w:color w:val="000000" w:themeColor="text1"/>
        </w:rPr>
        <w:t>C.C, S.A.O develop</w:t>
      </w:r>
      <w:r w:rsidR="00BF7996" w:rsidRPr="00945ACC">
        <w:rPr>
          <w:color w:val="000000" w:themeColor="text1"/>
        </w:rPr>
        <w:t xml:space="preserve">ment </w:t>
      </w:r>
      <w:r w:rsidR="00AB733D" w:rsidRPr="00945ACC">
        <w:rPr>
          <w:color w:val="000000" w:themeColor="text1"/>
        </w:rPr>
        <w:t xml:space="preserve">of </w:t>
      </w:r>
      <w:r w:rsidR="00B16B40" w:rsidRPr="00945ACC">
        <w:rPr>
          <w:color w:val="000000" w:themeColor="text1"/>
        </w:rPr>
        <w:t>the study concept and the study design</w:t>
      </w:r>
      <w:r w:rsidR="00AB733D" w:rsidRPr="00945ACC">
        <w:rPr>
          <w:color w:val="000000" w:themeColor="text1"/>
        </w:rPr>
        <w:t>;</w:t>
      </w:r>
      <w:r w:rsidR="00B16B40" w:rsidRPr="00945ACC">
        <w:rPr>
          <w:color w:val="000000" w:themeColor="text1"/>
        </w:rPr>
        <w:t xml:space="preserve"> C.C, M.A., S.A.O. </w:t>
      </w:r>
      <w:r w:rsidR="00BF7996" w:rsidRPr="00945ACC">
        <w:rPr>
          <w:color w:val="000000" w:themeColor="text1"/>
        </w:rPr>
        <w:t>data collection</w:t>
      </w:r>
      <w:r w:rsidR="00AB733D" w:rsidRPr="00945ACC">
        <w:rPr>
          <w:color w:val="000000" w:themeColor="text1"/>
        </w:rPr>
        <w:t>;</w:t>
      </w:r>
      <w:r w:rsidR="00BF7996" w:rsidRPr="00945ACC">
        <w:rPr>
          <w:color w:val="000000" w:themeColor="text1"/>
        </w:rPr>
        <w:t xml:space="preserve"> </w:t>
      </w:r>
      <w:r w:rsidR="00B16B40" w:rsidRPr="00945ACC">
        <w:rPr>
          <w:color w:val="000000" w:themeColor="text1"/>
        </w:rPr>
        <w:t xml:space="preserve">S.A.O and C.C </w:t>
      </w:r>
      <w:r w:rsidR="00BF7996" w:rsidRPr="00945ACC">
        <w:rPr>
          <w:color w:val="000000" w:themeColor="text1"/>
        </w:rPr>
        <w:t xml:space="preserve">data analysis under </w:t>
      </w:r>
      <w:r w:rsidR="00B16B40" w:rsidRPr="00945ACC">
        <w:rPr>
          <w:color w:val="000000" w:themeColor="text1"/>
        </w:rPr>
        <w:t xml:space="preserve">the supervision of M.A.; S.A.O. and C.C </w:t>
      </w:r>
      <w:r w:rsidR="00BF7996" w:rsidRPr="00945ACC">
        <w:rPr>
          <w:color w:val="000000" w:themeColor="text1"/>
        </w:rPr>
        <w:t>data interpretation and</w:t>
      </w:r>
      <w:r w:rsidR="00B16B40" w:rsidRPr="00945ACC">
        <w:rPr>
          <w:color w:val="000000" w:themeColor="text1"/>
        </w:rPr>
        <w:t xml:space="preserve"> manuscript</w:t>
      </w:r>
      <w:r w:rsidR="00AB733D" w:rsidRPr="00945ACC">
        <w:rPr>
          <w:color w:val="000000" w:themeColor="text1"/>
        </w:rPr>
        <w:t xml:space="preserve"> writing; </w:t>
      </w:r>
      <w:r w:rsidR="00B16B40" w:rsidRPr="00945ACC">
        <w:rPr>
          <w:color w:val="000000" w:themeColor="text1"/>
        </w:rPr>
        <w:t xml:space="preserve">M.A., C.G., and S.I. </w:t>
      </w:r>
      <w:r w:rsidR="00AB733D" w:rsidRPr="00945ACC">
        <w:rPr>
          <w:color w:val="000000" w:themeColor="text1"/>
        </w:rPr>
        <w:t>review and editing;</w:t>
      </w:r>
      <w:r w:rsidR="00BF7996" w:rsidRPr="00945ACC">
        <w:rPr>
          <w:color w:val="000000" w:themeColor="text1"/>
        </w:rPr>
        <w:t xml:space="preserve"> M.A. and C.G. supervision and project administration</w:t>
      </w:r>
      <w:r w:rsidR="00B16B40" w:rsidRPr="00945ACC">
        <w:rPr>
          <w:color w:val="000000" w:themeColor="text1"/>
        </w:rPr>
        <w:t xml:space="preserve">. All authors approved the final version of </w:t>
      </w:r>
      <w:r w:rsidR="00050DA2" w:rsidRPr="00945ACC">
        <w:rPr>
          <w:color w:val="000000" w:themeColor="text1"/>
        </w:rPr>
        <w:t xml:space="preserve">the </w:t>
      </w:r>
      <w:r w:rsidR="00B16B40" w:rsidRPr="00945ACC">
        <w:rPr>
          <w:color w:val="000000" w:themeColor="text1"/>
        </w:rPr>
        <w:t>manuscript.</w:t>
      </w:r>
    </w:p>
    <w:p w14:paraId="05A7F8D8" w14:textId="77777777" w:rsidR="00874399" w:rsidRPr="00945ACC" w:rsidRDefault="00B16B40">
      <w:pPr>
        <w:pStyle w:val="Titolo1"/>
        <w:numPr>
          <w:ilvl w:val="0"/>
          <w:numId w:val="2"/>
        </w:numPr>
        <w:spacing w:line="523" w:lineRule="auto"/>
        <w:jc w:val="both"/>
      </w:pPr>
      <w:bookmarkStart w:id="7" w:name="_heading=h.obycowcz3p3v" w:colFirst="0" w:colLast="0"/>
      <w:bookmarkEnd w:id="7"/>
      <w:r w:rsidRPr="00945ACC">
        <w:t xml:space="preserve">Conflict of interests </w:t>
      </w:r>
    </w:p>
    <w:p w14:paraId="18023D21" w14:textId="77777777" w:rsidR="00874399" w:rsidRPr="00945ACC" w:rsidRDefault="00B16B40">
      <w:pPr>
        <w:spacing w:line="523" w:lineRule="auto"/>
        <w:jc w:val="both"/>
        <w:rPr>
          <w:color w:val="000000" w:themeColor="text1"/>
        </w:rPr>
      </w:pPr>
      <w:r w:rsidRPr="00945ACC">
        <w:rPr>
          <w:color w:val="000000" w:themeColor="text1"/>
        </w:rPr>
        <w:t>Authors reported no conflict of interest</w:t>
      </w:r>
    </w:p>
    <w:p w14:paraId="28EFD97B" w14:textId="77777777" w:rsidR="00874399" w:rsidRPr="00945ACC" w:rsidRDefault="00B16B40" w:rsidP="00475CDB">
      <w:pPr>
        <w:pStyle w:val="Titolo1"/>
        <w:numPr>
          <w:ilvl w:val="0"/>
          <w:numId w:val="2"/>
        </w:numPr>
      </w:pPr>
      <w:r w:rsidRPr="00945ACC">
        <w:t>References</w:t>
      </w:r>
    </w:p>
    <w:p w14:paraId="2DD6C92A" w14:textId="2FB487A3" w:rsidR="004A155E" w:rsidRPr="00945ACC" w:rsidRDefault="00475CDB" w:rsidP="004A155E">
      <w:pPr>
        <w:widowControl w:val="0"/>
        <w:autoSpaceDE w:val="0"/>
        <w:autoSpaceDN w:val="0"/>
        <w:adjustRightInd w:val="0"/>
        <w:ind w:left="480" w:hanging="480"/>
        <w:rPr>
          <w:noProof/>
          <w:color w:val="000000" w:themeColor="text1"/>
        </w:rPr>
      </w:pPr>
      <w:r w:rsidRPr="00945ACC">
        <w:rPr>
          <w:color w:val="000000" w:themeColor="text1"/>
        </w:rPr>
        <w:fldChar w:fldCharType="begin" w:fldLock="1"/>
      </w:r>
      <w:r w:rsidRPr="00945ACC">
        <w:rPr>
          <w:color w:val="000000" w:themeColor="text1"/>
        </w:rPr>
        <w:instrText xml:space="preserve">ADDIN Mendeley Bibliography CSL_BIBLIOGRAPHY </w:instrText>
      </w:r>
      <w:r w:rsidRPr="00945ACC">
        <w:rPr>
          <w:color w:val="000000" w:themeColor="text1"/>
        </w:rPr>
        <w:fldChar w:fldCharType="separate"/>
      </w:r>
      <w:r w:rsidR="004A155E" w:rsidRPr="00945ACC">
        <w:rPr>
          <w:noProof/>
          <w:color w:val="000000" w:themeColor="text1"/>
        </w:rPr>
        <w:t xml:space="preserve">Aiken, L. S., West, S. G., &amp; Reno, R. R. (1991). </w:t>
      </w:r>
      <w:r w:rsidR="004A155E" w:rsidRPr="00945ACC">
        <w:rPr>
          <w:i/>
          <w:iCs/>
          <w:noProof/>
          <w:color w:val="000000" w:themeColor="text1"/>
        </w:rPr>
        <w:t>Multiple regression: Testing and interpreting interactions</w:t>
      </w:r>
      <w:r w:rsidR="004A155E" w:rsidRPr="00945ACC">
        <w:rPr>
          <w:noProof/>
          <w:color w:val="000000" w:themeColor="text1"/>
        </w:rPr>
        <w:t>. Sage.</w:t>
      </w:r>
    </w:p>
    <w:p w14:paraId="23F00921" w14:textId="77777777" w:rsidR="004A155E" w:rsidRPr="00945ACC" w:rsidRDefault="004A155E" w:rsidP="004A155E">
      <w:pPr>
        <w:widowControl w:val="0"/>
        <w:autoSpaceDE w:val="0"/>
        <w:autoSpaceDN w:val="0"/>
        <w:adjustRightInd w:val="0"/>
        <w:ind w:left="480" w:hanging="480"/>
        <w:rPr>
          <w:noProof/>
          <w:color w:val="000000" w:themeColor="text1"/>
        </w:rPr>
      </w:pPr>
      <w:r w:rsidRPr="00945ACC">
        <w:rPr>
          <w:noProof/>
          <w:color w:val="000000" w:themeColor="text1"/>
        </w:rPr>
        <w:t xml:space="preserve">Al-Musharaf, S. (2020). Prevalence and Predictors of Emotional Eating among Healthy Young Saudi Women during the COVID-19 Pandemic. </w:t>
      </w:r>
      <w:r w:rsidRPr="00945ACC">
        <w:rPr>
          <w:i/>
          <w:iCs/>
          <w:noProof/>
          <w:color w:val="000000" w:themeColor="text1"/>
        </w:rPr>
        <w:t>Nutrients</w:t>
      </w:r>
      <w:r w:rsidRPr="00945ACC">
        <w:rPr>
          <w:noProof/>
          <w:color w:val="000000" w:themeColor="text1"/>
        </w:rPr>
        <w:t xml:space="preserve">, </w:t>
      </w:r>
      <w:r w:rsidRPr="00945ACC">
        <w:rPr>
          <w:i/>
          <w:iCs/>
          <w:noProof/>
          <w:color w:val="000000" w:themeColor="text1"/>
        </w:rPr>
        <w:t>12</w:t>
      </w:r>
      <w:r w:rsidRPr="00945ACC">
        <w:rPr>
          <w:noProof/>
          <w:color w:val="000000" w:themeColor="text1"/>
        </w:rPr>
        <w:t>(10), 2923.</w:t>
      </w:r>
    </w:p>
    <w:p w14:paraId="4A9B0BA8" w14:textId="77777777" w:rsidR="004A155E" w:rsidRPr="00945ACC" w:rsidRDefault="004A155E" w:rsidP="004A155E">
      <w:pPr>
        <w:widowControl w:val="0"/>
        <w:autoSpaceDE w:val="0"/>
        <w:autoSpaceDN w:val="0"/>
        <w:adjustRightInd w:val="0"/>
        <w:ind w:left="480" w:hanging="480"/>
        <w:rPr>
          <w:noProof/>
          <w:color w:val="000000" w:themeColor="text1"/>
        </w:rPr>
      </w:pPr>
      <w:r w:rsidRPr="00945ACC">
        <w:rPr>
          <w:noProof/>
          <w:color w:val="000000" w:themeColor="text1"/>
        </w:rPr>
        <w:t xml:space="preserve">American Psychiatric Association. (2013). </w:t>
      </w:r>
      <w:r w:rsidRPr="00945ACC">
        <w:rPr>
          <w:i/>
          <w:iCs/>
          <w:noProof/>
          <w:color w:val="000000" w:themeColor="text1"/>
        </w:rPr>
        <w:t>Diagnostic and statistical manual of mental disorders DSM-5</w:t>
      </w:r>
      <w:r w:rsidRPr="00945ACC">
        <w:rPr>
          <w:noProof/>
          <w:color w:val="000000" w:themeColor="text1"/>
        </w:rPr>
        <w:t xml:space="preserve"> (5th ed.). Washington, DC: American Psychiatric Association.</w:t>
      </w:r>
    </w:p>
    <w:p w14:paraId="391B0F9D" w14:textId="77777777" w:rsidR="004A155E" w:rsidRPr="00945ACC" w:rsidRDefault="004A155E" w:rsidP="004A155E">
      <w:pPr>
        <w:widowControl w:val="0"/>
        <w:autoSpaceDE w:val="0"/>
        <w:autoSpaceDN w:val="0"/>
        <w:adjustRightInd w:val="0"/>
        <w:ind w:left="480" w:hanging="480"/>
        <w:rPr>
          <w:noProof/>
          <w:color w:val="000000" w:themeColor="text1"/>
        </w:rPr>
      </w:pPr>
      <w:r w:rsidRPr="00945ACC">
        <w:rPr>
          <w:noProof/>
          <w:color w:val="000000" w:themeColor="text1"/>
        </w:rPr>
        <w:t xml:space="preserve">Ammar, A., Brach, M., Trabelsi, K., Chtourou, H., Boukhris, O., Masmoudi, L., … Consortium, O. B. of the E.-C. (2020). Effects of COVID-19 Home Confinement on Eating Behaviour and Physical Activity: Results of the ECLB-COVID19 International Online Survey. </w:t>
      </w:r>
      <w:r w:rsidRPr="00945ACC">
        <w:rPr>
          <w:i/>
          <w:iCs/>
          <w:noProof/>
          <w:color w:val="000000" w:themeColor="text1"/>
        </w:rPr>
        <w:t>Nutrients</w:t>
      </w:r>
      <w:r w:rsidRPr="00945ACC">
        <w:rPr>
          <w:noProof/>
          <w:color w:val="000000" w:themeColor="text1"/>
        </w:rPr>
        <w:t xml:space="preserve">, </w:t>
      </w:r>
      <w:r w:rsidRPr="00945ACC">
        <w:rPr>
          <w:i/>
          <w:iCs/>
          <w:noProof/>
          <w:color w:val="000000" w:themeColor="text1"/>
        </w:rPr>
        <w:t>12</w:t>
      </w:r>
      <w:r w:rsidRPr="00945ACC">
        <w:rPr>
          <w:noProof/>
          <w:color w:val="000000" w:themeColor="text1"/>
        </w:rPr>
        <w:t>(6), 1583. https://doi.org/10.3390/nu12061583</w:t>
      </w:r>
    </w:p>
    <w:p w14:paraId="5E32BCDF" w14:textId="77777777" w:rsidR="004A155E" w:rsidRPr="00945ACC" w:rsidRDefault="004A155E" w:rsidP="004A155E">
      <w:pPr>
        <w:widowControl w:val="0"/>
        <w:autoSpaceDE w:val="0"/>
        <w:autoSpaceDN w:val="0"/>
        <w:adjustRightInd w:val="0"/>
        <w:ind w:left="480" w:hanging="480"/>
        <w:rPr>
          <w:noProof/>
          <w:color w:val="000000" w:themeColor="text1"/>
        </w:rPr>
      </w:pPr>
      <w:r w:rsidRPr="00945ACC">
        <w:rPr>
          <w:noProof/>
          <w:color w:val="000000" w:themeColor="text1"/>
        </w:rPr>
        <w:t xml:space="preserve">Baker, S. R., Farrokhnia, R. A., Meyer, S., Pagel, M., &amp; Yannelis, C. (2020). </w:t>
      </w:r>
      <w:r w:rsidRPr="00945ACC">
        <w:rPr>
          <w:i/>
          <w:iCs/>
          <w:noProof/>
          <w:color w:val="000000" w:themeColor="text1"/>
        </w:rPr>
        <w:t xml:space="preserve">How Does Household </w:t>
      </w:r>
      <w:r w:rsidRPr="00945ACC">
        <w:rPr>
          <w:i/>
          <w:iCs/>
          <w:noProof/>
          <w:color w:val="000000" w:themeColor="text1"/>
        </w:rPr>
        <w:lastRenderedPageBreak/>
        <w:t>Spending Respond to an Epidemic? Consumption During the 2020 COVID-19 Pandemic</w:t>
      </w:r>
      <w:r w:rsidRPr="00945ACC">
        <w:rPr>
          <w:noProof/>
          <w:color w:val="000000" w:themeColor="text1"/>
        </w:rPr>
        <w:t>. Retrieved from National Bureau of Economic Research website: http://www.nber.org/papers/w26949</w:t>
      </w:r>
    </w:p>
    <w:p w14:paraId="5B8491C0" w14:textId="77777777" w:rsidR="004A155E" w:rsidRPr="00945ACC" w:rsidRDefault="004A155E" w:rsidP="004A155E">
      <w:pPr>
        <w:widowControl w:val="0"/>
        <w:autoSpaceDE w:val="0"/>
        <w:autoSpaceDN w:val="0"/>
        <w:adjustRightInd w:val="0"/>
        <w:ind w:left="480" w:hanging="480"/>
        <w:rPr>
          <w:noProof/>
          <w:color w:val="000000" w:themeColor="text1"/>
        </w:rPr>
      </w:pPr>
      <w:r w:rsidRPr="00945ACC">
        <w:rPr>
          <w:noProof/>
          <w:color w:val="000000" w:themeColor="text1"/>
        </w:rPr>
        <w:t xml:space="preserve">Barua, S. (2020). Understanding Coronanomics: The Economic Implications of the Coronavirus (COVID-19) Pandemic. </w:t>
      </w:r>
      <w:r w:rsidRPr="00945ACC">
        <w:rPr>
          <w:i/>
          <w:iCs/>
          <w:noProof/>
          <w:color w:val="000000" w:themeColor="text1"/>
        </w:rPr>
        <w:t>SSRN Electronic Journal</w:t>
      </w:r>
      <w:r w:rsidRPr="00945ACC">
        <w:rPr>
          <w:noProof/>
          <w:color w:val="000000" w:themeColor="text1"/>
        </w:rPr>
        <w:t>. https://doi.org/10.2139/ssrn.3566477</w:t>
      </w:r>
    </w:p>
    <w:p w14:paraId="07D84B52" w14:textId="77777777" w:rsidR="004A155E" w:rsidRPr="00945ACC" w:rsidRDefault="004A155E" w:rsidP="004A155E">
      <w:pPr>
        <w:widowControl w:val="0"/>
        <w:autoSpaceDE w:val="0"/>
        <w:autoSpaceDN w:val="0"/>
        <w:adjustRightInd w:val="0"/>
        <w:ind w:left="480" w:hanging="480"/>
        <w:rPr>
          <w:noProof/>
          <w:color w:val="000000" w:themeColor="text1"/>
        </w:rPr>
      </w:pPr>
      <w:r w:rsidRPr="00945ACC">
        <w:rPr>
          <w:noProof/>
          <w:color w:val="000000" w:themeColor="text1"/>
        </w:rPr>
        <w:t xml:space="preserve">Bates, D., Mächler, M., Bolker, B., &amp; Walker, S. (2015). Fitting Linear Mixed-Effects Models Using {lme4}. </w:t>
      </w:r>
      <w:r w:rsidRPr="00945ACC">
        <w:rPr>
          <w:i/>
          <w:iCs/>
          <w:noProof/>
          <w:color w:val="000000" w:themeColor="text1"/>
        </w:rPr>
        <w:t>Journal of Statistical Software</w:t>
      </w:r>
      <w:r w:rsidRPr="00945ACC">
        <w:rPr>
          <w:noProof/>
          <w:color w:val="000000" w:themeColor="text1"/>
        </w:rPr>
        <w:t xml:space="preserve">, </w:t>
      </w:r>
      <w:r w:rsidRPr="00945ACC">
        <w:rPr>
          <w:i/>
          <w:iCs/>
          <w:noProof/>
          <w:color w:val="000000" w:themeColor="text1"/>
        </w:rPr>
        <w:t>67</w:t>
      </w:r>
      <w:r w:rsidRPr="00945ACC">
        <w:rPr>
          <w:noProof/>
          <w:color w:val="000000" w:themeColor="text1"/>
        </w:rPr>
        <w:t>(1), 1–48. https://doi.org/10.18637/jss.v067.i01</w:t>
      </w:r>
    </w:p>
    <w:p w14:paraId="0FCE30BB" w14:textId="77777777" w:rsidR="004A155E" w:rsidRPr="00945ACC" w:rsidRDefault="004A155E" w:rsidP="004A155E">
      <w:pPr>
        <w:widowControl w:val="0"/>
        <w:autoSpaceDE w:val="0"/>
        <w:autoSpaceDN w:val="0"/>
        <w:adjustRightInd w:val="0"/>
        <w:ind w:left="480" w:hanging="480"/>
        <w:rPr>
          <w:noProof/>
          <w:color w:val="000000" w:themeColor="text1"/>
        </w:rPr>
      </w:pPr>
      <w:r w:rsidRPr="00945ACC">
        <w:rPr>
          <w:noProof/>
          <w:color w:val="000000" w:themeColor="text1"/>
        </w:rPr>
        <w:t xml:space="preserve">Benjamini, Y., &amp; Hochberg, Y. (1995). Controlling the False Discovery Rate: A Practical and Powerful Approach to Multiple Testing. </w:t>
      </w:r>
      <w:r w:rsidRPr="00945ACC">
        <w:rPr>
          <w:i/>
          <w:iCs/>
          <w:noProof/>
          <w:color w:val="000000" w:themeColor="text1"/>
        </w:rPr>
        <w:t>Journal of the Royal Statistical Society. Series B (Methodological)</w:t>
      </w:r>
      <w:r w:rsidRPr="00945ACC">
        <w:rPr>
          <w:noProof/>
          <w:color w:val="000000" w:themeColor="text1"/>
        </w:rPr>
        <w:t xml:space="preserve">, </w:t>
      </w:r>
      <w:r w:rsidRPr="00945ACC">
        <w:rPr>
          <w:i/>
          <w:iCs/>
          <w:noProof/>
          <w:color w:val="000000" w:themeColor="text1"/>
        </w:rPr>
        <w:t>57</w:t>
      </w:r>
      <w:r w:rsidRPr="00945ACC">
        <w:rPr>
          <w:noProof/>
          <w:color w:val="000000" w:themeColor="text1"/>
        </w:rPr>
        <w:t>(1), 289–300. Retrieved from https://www.jstor.org/stable/2346101</w:t>
      </w:r>
    </w:p>
    <w:p w14:paraId="7430224A" w14:textId="77777777" w:rsidR="004A155E" w:rsidRPr="00945ACC" w:rsidRDefault="004A155E" w:rsidP="004A155E">
      <w:pPr>
        <w:widowControl w:val="0"/>
        <w:autoSpaceDE w:val="0"/>
        <w:autoSpaceDN w:val="0"/>
        <w:adjustRightInd w:val="0"/>
        <w:ind w:left="480" w:hanging="480"/>
        <w:rPr>
          <w:noProof/>
          <w:color w:val="000000" w:themeColor="text1"/>
        </w:rPr>
      </w:pPr>
      <w:r w:rsidRPr="00945ACC">
        <w:rPr>
          <w:noProof/>
          <w:color w:val="000000" w:themeColor="text1"/>
        </w:rPr>
        <w:t xml:space="preserve">Benker, B. (2020). Stockpiling as resilience: Defending and contextualising extra food procurement during lockdown. </w:t>
      </w:r>
      <w:r w:rsidRPr="00945ACC">
        <w:rPr>
          <w:i/>
          <w:iCs/>
          <w:noProof/>
          <w:color w:val="000000" w:themeColor="text1"/>
        </w:rPr>
        <w:t>Appetite</w:t>
      </w:r>
      <w:r w:rsidRPr="00945ACC">
        <w:rPr>
          <w:noProof/>
          <w:color w:val="000000" w:themeColor="text1"/>
        </w:rPr>
        <w:t>, 104981.</w:t>
      </w:r>
    </w:p>
    <w:p w14:paraId="75A05F19" w14:textId="77777777" w:rsidR="004A155E" w:rsidRPr="00945ACC" w:rsidRDefault="004A155E" w:rsidP="004A155E">
      <w:pPr>
        <w:widowControl w:val="0"/>
        <w:autoSpaceDE w:val="0"/>
        <w:autoSpaceDN w:val="0"/>
        <w:adjustRightInd w:val="0"/>
        <w:ind w:left="480" w:hanging="480"/>
        <w:rPr>
          <w:noProof/>
          <w:color w:val="000000" w:themeColor="text1"/>
        </w:rPr>
      </w:pPr>
      <w:r w:rsidRPr="00945ACC">
        <w:rPr>
          <w:noProof/>
          <w:color w:val="000000" w:themeColor="text1"/>
        </w:rPr>
        <w:t xml:space="preserve">Bolker, B. M., Brooks, M. E., Clark, C. J., Geange, S. W., Poulsen, J. R., Stevens, M. H. H., &amp; White, J.-S. S. (2009). Generalized linear mixed models: a practical guide for ecology and evolution. </w:t>
      </w:r>
      <w:r w:rsidRPr="00945ACC">
        <w:rPr>
          <w:i/>
          <w:iCs/>
          <w:noProof/>
          <w:color w:val="000000" w:themeColor="text1"/>
        </w:rPr>
        <w:t>Trends in Ecology &amp; Evolution</w:t>
      </w:r>
      <w:r w:rsidRPr="00945ACC">
        <w:rPr>
          <w:noProof/>
          <w:color w:val="000000" w:themeColor="text1"/>
        </w:rPr>
        <w:t xml:space="preserve">, </w:t>
      </w:r>
      <w:r w:rsidRPr="00945ACC">
        <w:rPr>
          <w:i/>
          <w:iCs/>
          <w:noProof/>
          <w:color w:val="000000" w:themeColor="text1"/>
        </w:rPr>
        <w:t>24</w:t>
      </w:r>
      <w:r w:rsidRPr="00945ACC">
        <w:rPr>
          <w:noProof/>
          <w:color w:val="000000" w:themeColor="text1"/>
        </w:rPr>
        <w:t>(3), 127–135.</w:t>
      </w:r>
    </w:p>
    <w:p w14:paraId="246D49C7" w14:textId="77777777" w:rsidR="004A155E" w:rsidRPr="00945ACC" w:rsidRDefault="004A155E" w:rsidP="004A155E">
      <w:pPr>
        <w:widowControl w:val="0"/>
        <w:autoSpaceDE w:val="0"/>
        <w:autoSpaceDN w:val="0"/>
        <w:adjustRightInd w:val="0"/>
        <w:ind w:left="480" w:hanging="480"/>
        <w:rPr>
          <w:noProof/>
          <w:color w:val="000000" w:themeColor="text1"/>
        </w:rPr>
      </w:pPr>
      <w:r w:rsidRPr="00945ACC">
        <w:rPr>
          <w:noProof/>
          <w:color w:val="000000" w:themeColor="text1"/>
        </w:rPr>
        <w:t xml:space="preserve">Bressi, C., Taylor, G., Parker, J., Bressi, S., Brambilla, V., Aguglia, E., … Bucca, M. (1996). Cross validation of the factor structure of the 20-item Toronto Alexithymia Scale: an Italian multicenter study. </w:t>
      </w:r>
      <w:r w:rsidRPr="00945ACC">
        <w:rPr>
          <w:i/>
          <w:iCs/>
          <w:noProof/>
          <w:color w:val="000000" w:themeColor="text1"/>
        </w:rPr>
        <w:t>Journal of Psychosomatic Research</w:t>
      </w:r>
      <w:r w:rsidRPr="00945ACC">
        <w:rPr>
          <w:noProof/>
          <w:color w:val="000000" w:themeColor="text1"/>
        </w:rPr>
        <w:t xml:space="preserve">, </w:t>
      </w:r>
      <w:r w:rsidRPr="00945ACC">
        <w:rPr>
          <w:i/>
          <w:iCs/>
          <w:noProof/>
          <w:color w:val="000000" w:themeColor="text1"/>
        </w:rPr>
        <w:t>41</w:t>
      </w:r>
      <w:r w:rsidRPr="00945ACC">
        <w:rPr>
          <w:noProof/>
          <w:color w:val="000000" w:themeColor="text1"/>
        </w:rPr>
        <w:t>(6), 551–559.</w:t>
      </w:r>
    </w:p>
    <w:p w14:paraId="0FB42F56" w14:textId="77777777" w:rsidR="004A155E" w:rsidRPr="00945ACC" w:rsidRDefault="004A155E" w:rsidP="004A155E">
      <w:pPr>
        <w:widowControl w:val="0"/>
        <w:autoSpaceDE w:val="0"/>
        <w:autoSpaceDN w:val="0"/>
        <w:adjustRightInd w:val="0"/>
        <w:ind w:left="480" w:hanging="480"/>
        <w:rPr>
          <w:noProof/>
          <w:color w:val="000000" w:themeColor="text1"/>
          <w:lang w:val="it-IT"/>
        </w:rPr>
      </w:pPr>
      <w:r w:rsidRPr="00945ACC">
        <w:rPr>
          <w:noProof/>
          <w:color w:val="000000" w:themeColor="text1"/>
        </w:rPr>
        <w:t xml:space="preserve">Brown, S., Opitz, M.-C., Peebles, A. I., Sharpe, H., Duffy, F., &amp; Newman, E. (2020). A qualitative exploration of the impact of COVID-19 on individuals with eating disorders in the UK. </w:t>
      </w:r>
      <w:r w:rsidRPr="00945ACC">
        <w:rPr>
          <w:i/>
          <w:iCs/>
          <w:noProof/>
          <w:color w:val="000000" w:themeColor="text1"/>
          <w:lang w:val="it-IT"/>
        </w:rPr>
        <w:t>Appetite</w:t>
      </w:r>
      <w:r w:rsidRPr="00945ACC">
        <w:rPr>
          <w:noProof/>
          <w:color w:val="000000" w:themeColor="text1"/>
          <w:lang w:val="it-IT"/>
        </w:rPr>
        <w:t xml:space="preserve">, </w:t>
      </w:r>
      <w:r w:rsidRPr="00945ACC">
        <w:rPr>
          <w:i/>
          <w:iCs/>
          <w:noProof/>
          <w:color w:val="000000" w:themeColor="text1"/>
          <w:lang w:val="it-IT"/>
        </w:rPr>
        <w:t>156</w:t>
      </w:r>
      <w:r w:rsidRPr="00945ACC">
        <w:rPr>
          <w:noProof/>
          <w:color w:val="000000" w:themeColor="text1"/>
          <w:lang w:val="it-IT"/>
        </w:rPr>
        <w:t>, 104977.</w:t>
      </w:r>
    </w:p>
    <w:p w14:paraId="0E88BA21" w14:textId="77777777" w:rsidR="004A155E" w:rsidRPr="00945ACC" w:rsidRDefault="004A155E" w:rsidP="004A155E">
      <w:pPr>
        <w:widowControl w:val="0"/>
        <w:autoSpaceDE w:val="0"/>
        <w:autoSpaceDN w:val="0"/>
        <w:adjustRightInd w:val="0"/>
        <w:ind w:left="480" w:hanging="480"/>
        <w:rPr>
          <w:noProof/>
          <w:color w:val="000000" w:themeColor="text1"/>
        </w:rPr>
      </w:pPr>
      <w:r w:rsidRPr="00945ACC">
        <w:rPr>
          <w:noProof/>
          <w:color w:val="000000" w:themeColor="text1"/>
          <w:lang w:val="it-IT"/>
        </w:rPr>
        <w:t xml:space="preserve">Casagrande, M., Boncompagni, I., Forte, G., Guarino, A., &amp; Favieri, F. (2019). </w:t>
      </w:r>
      <w:r w:rsidRPr="00945ACC">
        <w:rPr>
          <w:noProof/>
          <w:color w:val="000000" w:themeColor="text1"/>
        </w:rPr>
        <w:t xml:space="preserve">Emotion and overeating behavior: effects of alexithymia and emotional regulation on overweight and obesity. </w:t>
      </w:r>
      <w:r w:rsidRPr="00945ACC">
        <w:rPr>
          <w:i/>
          <w:iCs/>
          <w:noProof/>
          <w:color w:val="000000" w:themeColor="text1"/>
        </w:rPr>
        <w:t>Eating and Weight Disorders-Studies on Anorexia, Bulimia and Obesity</w:t>
      </w:r>
      <w:r w:rsidRPr="00945ACC">
        <w:rPr>
          <w:noProof/>
          <w:color w:val="000000" w:themeColor="text1"/>
        </w:rPr>
        <w:t>, 1–13.</w:t>
      </w:r>
    </w:p>
    <w:p w14:paraId="2E594D32" w14:textId="77777777" w:rsidR="004A155E" w:rsidRPr="00945ACC" w:rsidRDefault="004A155E" w:rsidP="004A155E">
      <w:pPr>
        <w:widowControl w:val="0"/>
        <w:autoSpaceDE w:val="0"/>
        <w:autoSpaceDN w:val="0"/>
        <w:adjustRightInd w:val="0"/>
        <w:ind w:left="480" w:hanging="480"/>
        <w:rPr>
          <w:noProof/>
          <w:color w:val="000000" w:themeColor="text1"/>
        </w:rPr>
      </w:pPr>
      <w:r w:rsidRPr="00945ACC">
        <w:rPr>
          <w:noProof/>
          <w:color w:val="000000" w:themeColor="text1"/>
        </w:rPr>
        <w:t xml:space="preserve">Cities deserted, families separated and social life on hold in Italy’s first day of lockdown. (2020). Retrieved November 6, 2020, from CNN website: </w:t>
      </w:r>
      <w:r w:rsidRPr="00945ACC">
        <w:rPr>
          <w:noProof/>
          <w:color w:val="000000" w:themeColor="text1"/>
        </w:rPr>
        <w:lastRenderedPageBreak/>
        <w:t>https://edition.cnn.com/2020/03/10/europe/italy-coronavirus-quarantine-europe-intl/index.html</w:t>
      </w:r>
    </w:p>
    <w:p w14:paraId="32F33C66" w14:textId="77777777" w:rsidR="004A155E" w:rsidRPr="00945ACC" w:rsidRDefault="004A155E" w:rsidP="004A155E">
      <w:pPr>
        <w:widowControl w:val="0"/>
        <w:autoSpaceDE w:val="0"/>
        <w:autoSpaceDN w:val="0"/>
        <w:adjustRightInd w:val="0"/>
        <w:ind w:left="480" w:hanging="480"/>
        <w:rPr>
          <w:noProof/>
          <w:color w:val="000000" w:themeColor="text1"/>
        </w:rPr>
      </w:pPr>
      <w:r w:rsidRPr="00945ACC">
        <w:rPr>
          <w:noProof/>
          <w:color w:val="000000" w:themeColor="text1"/>
          <w:lang w:val="it-IT"/>
        </w:rPr>
        <w:t xml:space="preserve">Conte annuncia l’inasprimento delle misure: “Italia zona protetta.” </w:t>
      </w:r>
      <w:r w:rsidRPr="00945ACC">
        <w:rPr>
          <w:noProof/>
          <w:color w:val="000000" w:themeColor="text1"/>
        </w:rPr>
        <w:t>(2020). Retrieved November 6, 2020, from https://www.ansa.it/sito/notizie/cronaca/2020/03/09/borrelli-salgono-a-7985-i-malati-1598-rispetto-a-ieri.-_dd169084-d4a9-4391-9d1c-2d9f42bace3f.html</w:t>
      </w:r>
    </w:p>
    <w:p w14:paraId="3860E89A" w14:textId="77777777" w:rsidR="004A155E" w:rsidRPr="00945ACC" w:rsidRDefault="004A155E" w:rsidP="004A155E">
      <w:pPr>
        <w:widowControl w:val="0"/>
        <w:autoSpaceDE w:val="0"/>
        <w:autoSpaceDN w:val="0"/>
        <w:adjustRightInd w:val="0"/>
        <w:ind w:left="480" w:hanging="480"/>
        <w:rPr>
          <w:noProof/>
          <w:color w:val="000000" w:themeColor="text1"/>
          <w:lang w:val="it-IT"/>
        </w:rPr>
      </w:pPr>
      <w:r w:rsidRPr="00945ACC">
        <w:rPr>
          <w:noProof/>
          <w:color w:val="000000" w:themeColor="text1"/>
          <w:lang w:val="it-IT"/>
        </w:rPr>
        <w:t xml:space="preserve">Dakanalis, A., Zanetti, M. A., Clerici, M., Madeddu, F., Riva, G., &amp; Caccialanza, R. (2013). </w:t>
      </w:r>
      <w:r w:rsidRPr="00945ACC">
        <w:rPr>
          <w:noProof/>
          <w:color w:val="000000" w:themeColor="text1"/>
        </w:rPr>
        <w:t xml:space="preserve">Italian version of the Dutch Eating Behavior Questionnaire. Psychometric proprieties and measurement invariance across sex, BMI-status and age. </w:t>
      </w:r>
      <w:r w:rsidRPr="00945ACC">
        <w:rPr>
          <w:i/>
          <w:iCs/>
          <w:noProof/>
          <w:color w:val="000000" w:themeColor="text1"/>
          <w:lang w:val="it-IT"/>
        </w:rPr>
        <w:t>Appetite</w:t>
      </w:r>
      <w:r w:rsidRPr="00945ACC">
        <w:rPr>
          <w:noProof/>
          <w:color w:val="000000" w:themeColor="text1"/>
          <w:lang w:val="it-IT"/>
        </w:rPr>
        <w:t xml:space="preserve">, </w:t>
      </w:r>
      <w:r w:rsidRPr="00945ACC">
        <w:rPr>
          <w:i/>
          <w:iCs/>
          <w:noProof/>
          <w:color w:val="000000" w:themeColor="text1"/>
          <w:lang w:val="it-IT"/>
        </w:rPr>
        <w:t>71</w:t>
      </w:r>
      <w:r w:rsidRPr="00945ACC">
        <w:rPr>
          <w:noProof/>
          <w:color w:val="000000" w:themeColor="text1"/>
          <w:lang w:val="it-IT"/>
        </w:rPr>
        <w:t>, 187–195.</w:t>
      </w:r>
    </w:p>
    <w:p w14:paraId="78C823B9" w14:textId="77777777" w:rsidR="004A155E" w:rsidRPr="00945ACC" w:rsidRDefault="004A155E" w:rsidP="004A155E">
      <w:pPr>
        <w:widowControl w:val="0"/>
        <w:autoSpaceDE w:val="0"/>
        <w:autoSpaceDN w:val="0"/>
        <w:adjustRightInd w:val="0"/>
        <w:ind w:left="480" w:hanging="480"/>
        <w:rPr>
          <w:noProof/>
          <w:color w:val="000000" w:themeColor="text1"/>
          <w:lang w:val="it-IT"/>
        </w:rPr>
      </w:pPr>
      <w:r w:rsidRPr="00945ACC">
        <w:rPr>
          <w:noProof/>
          <w:color w:val="000000" w:themeColor="text1"/>
          <w:lang w:val="it-IT"/>
        </w:rPr>
        <w:t xml:space="preserve">Di Renzo, L., Gualtieri, P., Cinelli, G., Bigioni, G., Soldati, L., Attinà, A., … </w:t>
      </w:r>
      <w:r w:rsidRPr="00945ACC">
        <w:rPr>
          <w:noProof/>
          <w:color w:val="000000" w:themeColor="text1"/>
        </w:rPr>
        <w:t xml:space="preserve">Carrano, E. (2020). Psychological aspects and eating habits during COVID-19 home confinement: Results of EHLC-COVID-19 Italian Online Survey. </w:t>
      </w:r>
      <w:r w:rsidRPr="00945ACC">
        <w:rPr>
          <w:i/>
          <w:iCs/>
          <w:noProof/>
          <w:color w:val="000000" w:themeColor="text1"/>
          <w:lang w:val="it-IT"/>
        </w:rPr>
        <w:t>Nutrients</w:t>
      </w:r>
      <w:r w:rsidRPr="00945ACC">
        <w:rPr>
          <w:noProof/>
          <w:color w:val="000000" w:themeColor="text1"/>
          <w:lang w:val="it-IT"/>
        </w:rPr>
        <w:t xml:space="preserve">, </w:t>
      </w:r>
      <w:r w:rsidRPr="00945ACC">
        <w:rPr>
          <w:i/>
          <w:iCs/>
          <w:noProof/>
          <w:color w:val="000000" w:themeColor="text1"/>
          <w:lang w:val="it-IT"/>
        </w:rPr>
        <w:t>12</w:t>
      </w:r>
      <w:r w:rsidRPr="00945ACC">
        <w:rPr>
          <w:noProof/>
          <w:color w:val="000000" w:themeColor="text1"/>
          <w:lang w:val="it-IT"/>
        </w:rPr>
        <w:t>(7), 2152.</w:t>
      </w:r>
    </w:p>
    <w:p w14:paraId="310F70DC" w14:textId="77777777" w:rsidR="004A155E" w:rsidRPr="00945ACC" w:rsidRDefault="004A155E" w:rsidP="004A155E">
      <w:pPr>
        <w:widowControl w:val="0"/>
        <w:autoSpaceDE w:val="0"/>
        <w:autoSpaceDN w:val="0"/>
        <w:adjustRightInd w:val="0"/>
        <w:ind w:left="480" w:hanging="480"/>
        <w:rPr>
          <w:noProof/>
          <w:color w:val="000000" w:themeColor="text1"/>
        </w:rPr>
      </w:pPr>
      <w:r w:rsidRPr="00945ACC">
        <w:rPr>
          <w:noProof/>
          <w:color w:val="000000" w:themeColor="text1"/>
          <w:lang w:val="it-IT"/>
        </w:rPr>
        <w:t xml:space="preserve">Di Renzo, L., Gualtieri, P., Pivari, F., Soldati, L., Attinà, A., Cinelli, G., … </w:t>
      </w:r>
      <w:r w:rsidRPr="00945ACC">
        <w:rPr>
          <w:noProof/>
          <w:color w:val="000000" w:themeColor="text1"/>
        </w:rPr>
        <w:t xml:space="preserve">De Lorenzo, A. (2020). Eating habits and lifestyle changes during COVID-19 lockdown: an Italian survey. </w:t>
      </w:r>
      <w:r w:rsidRPr="00945ACC">
        <w:rPr>
          <w:i/>
          <w:iCs/>
          <w:noProof/>
          <w:color w:val="000000" w:themeColor="text1"/>
        </w:rPr>
        <w:t>Journal of Translational Medicine</w:t>
      </w:r>
      <w:r w:rsidRPr="00945ACC">
        <w:rPr>
          <w:noProof/>
          <w:color w:val="000000" w:themeColor="text1"/>
        </w:rPr>
        <w:t xml:space="preserve">, </w:t>
      </w:r>
      <w:r w:rsidRPr="00945ACC">
        <w:rPr>
          <w:i/>
          <w:iCs/>
          <w:noProof/>
          <w:color w:val="000000" w:themeColor="text1"/>
        </w:rPr>
        <w:t>18</w:t>
      </w:r>
      <w:r w:rsidRPr="00945ACC">
        <w:rPr>
          <w:noProof/>
          <w:color w:val="000000" w:themeColor="text1"/>
        </w:rPr>
        <w:t>(1), 229. https://doi.org/10.1186/s12967-020-02399-5</w:t>
      </w:r>
    </w:p>
    <w:p w14:paraId="38697D1E" w14:textId="77777777" w:rsidR="004A155E" w:rsidRPr="00945ACC" w:rsidRDefault="004A155E" w:rsidP="004A155E">
      <w:pPr>
        <w:widowControl w:val="0"/>
        <w:autoSpaceDE w:val="0"/>
        <w:autoSpaceDN w:val="0"/>
        <w:adjustRightInd w:val="0"/>
        <w:ind w:left="480" w:hanging="480"/>
        <w:rPr>
          <w:noProof/>
          <w:color w:val="000000" w:themeColor="text1"/>
        </w:rPr>
      </w:pPr>
      <w:r w:rsidRPr="00945ACC">
        <w:rPr>
          <w:noProof/>
          <w:color w:val="000000" w:themeColor="text1"/>
        </w:rPr>
        <w:t xml:space="preserve">Dominy, N. L., Johnson, W. B., &amp; Koch, C. (2000). Perception of Parental Acceptance in Women With Binge Eating Disorder. </w:t>
      </w:r>
      <w:r w:rsidRPr="00945ACC">
        <w:rPr>
          <w:i/>
          <w:iCs/>
          <w:noProof/>
          <w:color w:val="000000" w:themeColor="text1"/>
        </w:rPr>
        <w:t>The Journal of Psychology</w:t>
      </w:r>
      <w:r w:rsidRPr="00945ACC">
        <w:rPr>
          <w:noProof/>
          <w:color w:val="000000" w:themeColor="text1"/>
        </w:rPr>
        <w:t xml:space="preserve">, </w:t>
      </w:r>
      <w:r w:rsidRPr="00945ACC">
        <w:rPr>
          <w:i/>
          <w:iCs/>
          <w:noProof/>
          <w:color w:val="000000" w:themeColor="text1"/>
        </w:rPr>
        <w:t>134</w:t>
      </w:r>
      <w:r w:rsidRPr="00945ACC">
        <w:rPr>
          <w:noProof/>
          <w:color w:val="000000" w:themeColor="text1"/>
        </w:rPr>
        <w:t>(1), 23–36. https://doi.org/10.1080/00223980009600846</w:t>
      </w:r>
    </w:p>
    <w:p w14:paraId="41F1AF88" w14:textId="77777777" w:rsidR="004A155E" w:rsidRPr="00945ACC" w:rsidRDefault="004A155E" w:rsidP="004A155E">
      <w:pPr>
        <w:widowControl w:val="0"/>
        <w:autoSpaceDE w:val="0"/>
        <w:autoSpaceDN w:val="0"/>
        <w:adjustRightInd w:val="0"/>
        <w:ind w:left="480" w:hanging="480"/>
        <w:rPr>
          <w:noProof/>
          <w:color w:val="000000" w:themeColor="text1"/>
        </w:rPr>
      </w:pPr>
      <w:r w:rsidRPr="00945ACC">
        <w:rPr>
          <w:noProof/>
          <w:color w:val="000000" w:themeColor="text1"/>
        </w:rPr>
        <w:t>Europe is in a new phase of reopening, but it’s hardly a return to normal. (2020). Retrieved November 6, 2020, from https://edition.cnn.com/2020/05/04/europe/europe-coronavirus-reopening-lockdown-intl/index.html</w:t>
      </w:r>
    </w:p>
    <w:p w14:paraId="6FE7C0C1" w14:textId="77777777" w:rsidR="004A155E" w:rsidRPr="00945ACC" w:rsidRDefault="004A155E" w:rsidP="004A155E">
      <w:pPr>
        <w:widowControl w:val="0"/>
        <w:autoSpaceDE w:val="0"/>
        <w:autoSpaceDN w:val="0"/>
        <w:adjustRightInd w:val="0"/>
        <w:ind w:left="480" w:hanging="480"/>
        <w:rPr>
          <w:noProof/>
          <w:color w:val="000000" w:themeColor="text1"/>
        </w:rPr>
      </w:pPr>
      <w:r w:rsidRPr="00945ACC">
        <w:rPr>
          <w:noProof/>
          <w:color w:val="000000" w:themeColor="text1"/>
          <w:lang w:val="it-IT"/>
        </w:rPr>
        <w:t xml:space="preserve">Fase 2: prove di normalità, runner e bici nei parchi, primi funerali. </w:t>
      </w:r>
      <w:r w:rsidRPr="00945ACC">
        <w:rPr>
          <w:noProof/>
          <w:color w:val="000000" w:themeColor="text1"/>
        </w:rPr>
        <w:t>(2020). Retrieved November 6, 2020, from https://www.ansa.it/sito/notizie/cronaca/2020/05/04/fase-2-milano-e-roma-piu-auto-in-giro-_9f7f5a07-49c4-4dd8-930c-0d6d32ab3c1b.html</w:t>
      </w:r>
    </w:p>
    <w:p w14:paraId="28DAAFD7" w14:textId="77777777" w:rsidR="004A155E" w:rsidRPr="00945ACC" w:rsidRDefault="004A155E" w:rsidP="004A155E">
      <w:pPr>
        <w:widowControl w:val="0"/>
        <w:autoSpaceDE w:val="0"/>
        <w:autoSpaceDN w:val="0"/>
        <w:adjustRightInd w:val="0"/>
        <w:ind w:left="480" w:hanging="480"/>
        <w:rPr>
          <w:noProof/>
          <w:color w:val="000000" w:themeColor="text1"/>
        </w:rPr>
      </w:pPr>
      <w:r w:rsidRPr="00945ACC">
        <w:rPr>
          <w:noProof/>
          <w:color w:val="000000" w:themeColor="text1"/>
          <w:lang w:val="it-IT"/>
        </w:rPr>
        <w:t xml:space="preserve">Fernández‐Aranda, F., Casas, M., Claes, L., Bryan, D. C., Favaro, A., Granero, R., … </w:t>
      </w:r>
      <w:r w:rsidRPr="00945ACC">
        <w:rPr>
          <w:noProof/>
          <w:color w:val="000000" w:themeColor="text1"/>
        </w:rPr>
        <w:t xml:space="preserve">Le Grange, D. (2020). COVID‐19 and implications for eating disorders. </w:t>
      </w:r>
      <w:r w:rsidRPr="00945ACC">
        <w:rPr>
          <w:i/>
          <w:iCs/>
          <w:noProof/>
          <w:color w:val="000000" w:themeColor="text1"/>
        </w:rPr>
        <w:t>European Eating Disorders Review</w:t>
      </w:r>
      <w:r w:rsidRPr="00945ACC">
        <w:rPr>
          <w:noProof/>
          <w:color w:val="000000" w:themeColor="text1"/>
        </w:rPr>
        <w:t xml:space="preserve">, </w:t>
      </w:r>
      <w:r w:rsidRPr="00945ACC">
        <w:rPr>
          <w:i/>
          <w:iCs/>
          <w:noProof/>
          <w:color w:val="000000" w:themeColor="text1"/>
        </w:rPr>
        <w:t>28</w:t>
      </w:r>
      <w:r w:rsidRPr="00945ACC">
        <w:rPr>
          <w:noProof/>
          <w:color w:val="000000" w:themeColor="text1"/>
        </w:rPr>
        <w:t>(3), 239.</w:t>
      </w:r>
    </w:p>
    <w:p w14:paraId="68988B2B" w14:textId="77777777" w:rsidR="004A155E" w:rsidRPr="00945ACC" w:rsidRDefault="004A155E" w:rsidP="004A155E">
      <w:pPr>
        <w:widowControl w:val="0"/>
        <w:autoSpaceDE w:val="0"/>
        <w:autoSpaceDN w:val="0"/>
        <w:adjustRightInd w:val="0"/>
        <w:ind w:left="480" w:hanging="480"/>
        <w:rPr>
          <w:noProof/>
          <w:color w:val="000000" w:themeColor="text1"/>
        </w:rPr>
      </w:pPr>
      <w:r w:rsidRPr="00945ACC">
        <w:rPr>
          <w:noProof/>
          <w:color w:val="000000" w:themeColor="text1"/>
        </w:rPr>
        <w:t xml:space="preserve">Fox, J., Weisberg, S., &amp; Price, B. (2019). </w:t>
      </w:r>
      <w:r w:rsidRPr="00945ACC">
        <w:rPr>
          <w:i/>
          <w:iCs/>
          <w:noProof/>
          <w:color w:val="000000" w:themeColor="text1"/>
        </w:rPr>
        <w:t>carData: Companion to Applied Regression Data Sets</w:t>
      </w:r>
      <w:r w:rsidRPr="00945ACC">
        <w:rPr>
          <w:noProof/>
          <w:color w:val="000000" w:themeColor="text1"/>
        </w:rPr>
        <w:t xml:space="preserve">. </w:t>
      </w:r>
      <w:r w:rsidRPr="00945ACC">
        <w:rPr>
          <w:noProof/>
          <w:color w:val="000000" w:themeColor="text1"/>
        </w:rPr>
        <w:lastRenderedPageBreak/>
        <w:t>Retrieved from https://cran.r-project.org/package=carData</w:t>
      </w:r>
    </w:p>
    <w:p w14:paraId="3F1FD613" w14:textId="77777777" w:rsidR="004A155E" w:rsidRPr="00945ACC" w:rsidRDefault="004A155E" w:rsidP="004A155E">
      <w:pPr>
        <w:widowControl w:val="0"/>
        <w:autoSpaceDE w:val="0"/>
        <w:autoSpaceDN w:val="0"/>
        <w:adjustRightInd w:val="0"/>
        <w:ind w:left="480" w:hanging="480"/>
        <w:rPr>
          <w:noProof/>
          <w:color w:val="000000" w:themeColor="text1"/>
        </w:rPr>
      </w:pPr>
      <w:r w:rsidRPr="00945ACC">
        <w:rPr>
          <w:noProof/>
          <w:color w:val="000000" w:themeColor="text1"/>
        </w:rPr>
        <w:t xml:space="preserve">Freeman, L. M. Y., &amp; Gil, K. M. (2004). Daily stress, coping, and dietary restraint in binge eating. </w:t>
      </w:r>
      <w:r w:rsidRPr="00945ACC">
        <w:rPr>
          <w:i/>
          <w:iCs/>
          <w:noProof/>
          <w:color w:val="000000" w:themeColor="text1"/>
        </w:rPr>
        <w:t>International Journal of Eating Disorders</w:t>
      </w:r>
      <w:r w:rsidRPr="00945ACC">
        <w:rPr>
          <w:noProof/>
          <w:color w:val="000000" w:themeColor="text1"/>
        </w:rPr>
        <w:t xml:space="preserve">, </w:t>
      </w:r>
      <w:r w:rsidRPr="00945ACC">
        <w:rPr>
          <w:i/>
          <w:iCs/>
          <w:noProof/>
          <w:color w:val="000000" w:themeColor="text1"/>
        </w:rPr>
        <w:t>36</w:t>
      </w:r>
      <w:r w:rsidRPr="00945ACC">
        <w:rPr>
          <w:noProof/>
          <w:color w:val="000000" w:themeColor="text1"/>
        </w:rPr>
        <w:t>(2), 204–212. https://doi.org/10.1002/eat.20012</w:t>
      </w:r>
    </w:p>
    <w:p w14:paraId="43646E7E" w14:textId="77777777" w:rsidR="004A155E" w:rsidRPr="00945ACC" w:rsidRDefault="004A155E" w:rsidP="004A155E">
      <w:pPr>
        <w:widowControl w:val="0"/>
        <w:autoSpaceDE w:val="0"/>
        <w:autoSpaceDN w:val="0"/>
        <w:adjustRightInd w:val="0"/>
        <w:ind w:left="480" w:hanging="480"/>
        <w:rPr>
          <w:noProof/>
          <w:color w:val="000000" w:themeColor="text1"/>
        </w:rPr>
      </w:pPr>
      <w:r w:rsidRPr="00945ACC">
        <w:rPr>
          <w:noProof/>
          <w:color w:val="000000" w:themeColor="text1"/>
        </w:rPr>
        <w:t xml:space="preserve">Geliebter, A., &amp; Aversa, A. (2003). Emotional eating in overweight, normal weight, and underweight individuals. </w:t>
      </w:r>
      <w:r w:rsidRPr="00945ACC">
        <w:rPr>
          <w:i/>
          <w:iCs/>
          <w:noProof/>
          <w:color w:val="000000" w:themeColor="text1"/>
        </w:rPr>
        <w:t>Eating Behaviors</w:t>
      </w:r>
      <w:r w:rsidRPr="00945ACC">
        <w:rPr>
          <w:noProof/>
          <w:color w:val="000000" w:themeColor="text1"/>
        </w:rPr>
        <w:t xml:space="preserve">, </w:t>
      </w:r>
      <w:r w:rsidRPr="00945ACC">
        <w:rPr>
          <w:i/>
          <w:iCs/>
          <w:noProof/>
          <w:color w:val="000000" w:themeColor="text1"/>
        </w:rPr>
        <w:t>3</w:t>
      </w:r>
      <w:r w:rsidRPr="00945ACC">
        <w:rPr>
          <w:noProof/>
          <w:color w:val="000000" w:themeColor="text1"/>
        </w:rPr>
        <w:t>(4), 341–347. https://doi.org/10.1016/s1471-0153(02)00100-9</w:t>
      </w:r>
    </w:p>
    <w:p w14:paraId="7EEFBE92" w14:textId="77777777" w:rsidR="004A155E" w:rsidRPr="00945ACC" w:rsidRDefault="004A155E" w:rsidP="004A155E">
      <w:pPr>
        <w:widowControl w:val="0"/>
        <w:autoSpaceDE w:val="0"/>
        <w:autoSpaceDN w:val="0"/>
        <w:adjustRightInd w:val="0"/>
        <w:ind w:left="480" w:hanging="480"/>
        <w:rPr>
          <w:noProof/>
          <w:color w:val="000000" w:themeColor="text1"/>
        </w:rPr>
      </w:pPr>
      <w:r w:rsidRPr="00945ACC">
        <w:rPr>
          <w:noProof/>
          <w:color w:val="000000" w:themeColor="text1"/>
        </w:rPr>
        <w:t xml:space="preserve">Goossens, L., Braet, C., Vlierberghe, L. Van, &amp; Mels, S. (2009). Loss of control over eating in overweight youngsters: The role of anxiety, depression and emotional eating. </w:t>
      </w:r>
      <w:r w:rsidRPr="00945ACC">
        <w:rPr>
          <w:i/>
          <w:iCs/>
          <w:noProof/>
          <w:color w:val="000000" w:themeColor="text1"/>
        </w:rPr>
        <w:t>European Eating Disorders Review</w:t>
      </w:r>
      <w:r w:rsidRPr="00945ACC">
        <w:rPr>
          <w:noProof/>
          <w:color w:val="000000" w:themeColor="text1"/>
        </w:rPr>
        <w:t xml:space="preserve">, </w:t>
      </w:r>
      <w:r w:rsidRPr="00945ACC">
        <w:rPr>
          <w:i/>
          <w:iCs/>
          <w:noProof/>
          <w:color w:val="000000" w:themeColor="text1"/>
        </w:rPr>
        <w:t>17</w:t>
      </w:r>
      <w:r w:rsidRPr="00945ACC">
        <w:rPr>
          <w:noProof/>
          <w:color w:val="000000" w:themeColor="text1"/>
        </w:rPr>
        <w:t>(1), 68–78. https://doi.org/10.1002/erv.892</w:t>
      </w:r>
    </w:p>
    <w:p w14:paraId="4E6EEF55" w14:textId="77777777" w:rsidR="004A155E" w:rsidRPr="00945ACC" w:rsidRDefault="004A155E" w:rsidP="004A155E">
      <w:pPr>
        <w:widowControl w:val="0"/>
        <w:autoSpaceDE w:val="0"/>
        <w:autoSpaceDN w:val="0"/>
        <w:adjustRightInd w:val="0"/>
        <w:ind w:left="480" w:hanging="480"/>
        <w:rPr>
          <w:noProof/>
          <w:color w:val="000000" w:themeColor="text1"/>
        </w:rPr>
      </w:pPr>
      <w:r w:rsidRPr="00945ACC">
        <w:rPr>
          <w:noProof/>
          <w:color w:val="000000" w:themeColor="text1"/>
        </w:rPr>
        <w:t xml:space="preserve">Harrington, E. F., Crowther, J. H., Henrickson, H. C. P., &amp; Mickelson, K. D. (2006). The relationships among trauma, stress, ethnicity, and binge eating. </w:t>
      </w:r>
      <w:r w:rsidRPr="00945ACC">
        <w:rPr>
          <w:i/>
          <w:iCs/>
          <w:noProof/>
          <w:color w:val="000000" w:themeColor="text1"/>
        </w:rPr>
        <w:t>Cultural Diversity &amp; Ethnic Minority Psychology</w:t>
      </w:r>
      <w:r w:rsidRPr="00945ACC">
        <w:rPr>
          <w:noProof/>
          <w:color w:val="000000" w:themeColor="text1"/>
        </w:rPr>
        <w:t xml:space="preserve">, </w:t>
      </w:r>
      <w:r w:rsidRPr="00945ACC">
        <w:rPr>
          <w:i/>
          <w:iCs/>
          <w:noProof/>
          <w:color w:val="000000" w:themeColor="text1"/>
        </w:rPr>
        <w:t>12</w:t>
      </w:r>
      <w:r w:rsidRPr="00945ACC">
        <w:rPr>
          <w:noProof/>
          <w:color w:val="000000" w:themeColor="text1"/>
        </w:rPr>
        <w:t>(2), 212–229. https://doi.org/10.1037/1099-9809.12.2.212</w:t>
      </w:r>
    </w:p>
    <w:p w14:paraId="10E0794E" w14:textId="77777777" w:rsidR="004A155E" w:rsidRPr="00945ACC" w:rsidRDefault="004A155E" w:rsidP="004A155E">
      <w:pPr>
        <w:widowControl w:val="0"/>
        <w:autoSpaceDE w:val="0"/>
        <w:autoSpaceDN w:val="0"/>
        <w:adjustRightInd w:val="0"/>
        <w:ind w:left="480" w:hanging="480"/>
        <w:rPr>
          <w:noProof/>
          <w:color w:val="000000" w:themeColor="text1"/>
        </w:rPr>
      </w:pPr>
      <w:r w:rsidRPr="00945ACC">
        <w:rPr>
          <w:noProof/>
          <w:color w:val="000000" w:themeColor="text1"/>
        </w:rPr>
        <w:t xml:space="preserve">Herman, B. K., Deal, L. S., DiBenedetti, D. B., Nelson, L., Fehnel, S. E., &amp; Brown, T. M. (2016). Development of the 7-item binge-eating disorder screener (BEDS-7). </w:t>
      </w:r>
      <w:r w:rsidRPr="00945ACC">
        <w:rPr>
          <w:i/>
          <w:iCs/>
          <w:noProof/>
          <w:color w:val="000000" w:themeColor="text1"/>
        </w:rPr>
        <w:t>The Primary Care Companion for CNS Disorders</w:t>
      </w:r>
      <w:r w:rsidRPr="00945ACC">
        <w:rPr>
          <w:noProof/>
          <w:color w:val="000000" w:themeColor="text1"/>
        </w:rPr>
        <w:t xml:space="preserve">, </w:t>
      </w:r>
      <w:r w:rsidRPr="00945ACC">
        <w:rPr>
          <w:i/>
          <w:iCs/>
          <w:noProof/>
          <w:color w:val="000000" w:themeColor="text1"/>
        </w:rPr>
        <w:t>18</w:t>
      </w:r>
      <w:r w:rsidRPr="00945ACC">
        <w:rPr>
          <w:noProof/>
          <w:color w:val="000000" w:themeColor="text1"/>
        </w:rPr>
        <w:t>(2).</w:t>
      </w:r>
    </w:p>
    <w:p w14:paraId="0E9A6E9F" w14:textId="77777777" w:rsidR="004A155E" w:rsidRPr="00945ACC" w:rsidRDefault="004A155E" w:rsidP="004A155E">
      <w:pPr>
        <w:widowControl w:val="0"/>
        <w:autoSpaceDE w:val="0"/>
        <w:autoSpaceDN w:val="0"/>
        <w:adjustRightInd w:val="0"/>
        <w:ind w:left="480" w:hanging="480"/>
        <w:rPr>
          <w:noProof/>
          <w:color w:val="000000" w:themeColor="text1"/>
        </w:rPr>
      </w:pPr>
      <w:r w:rsidRPr="00945ACC">
        <w:rPr>
          <w:noProof/>
          <w:color w:val="000000" w:themeColor="text1"/>
        </w:rPr>
        <w:t>International Food Council Information. (2020). 2020 Food and Health Survey. Retrieved July 28, 2020, from https://foodinsight.org/2020-food-and-health-survey/</w:t>
      </w:r>
    </w:p>
    <w:p w14:paraId="55926F99" w14:textId="77777777" w:rsidR="004A155E" w:rsidRPr="00945ACC" w:rsidRDefault="004A155E" w:rsidP="004A155E">
      <w:pPr>
        <w:widowControl w:val="0"/>
        <w:autoSpaceDE w:val="0"/>
        <w:autoSpaceDN w:val="0"/>
        <w:adjustRightInd w:val="0"/>
        <w:ind w:left="480" w:hanging="480"/>
        <w:rPr>
          <w:noProof/>
          <w:color w:val="000000" w:themeColor="text1"/>
        </w:rPr>
      </w:pPr>
      <w:r w:rsidRPr="00945ACC">
        <w:rPr>
          <w:noProof/>
          <w:color w:val="000000" w:themeColor="text1"/>
        </w:rPr>
        <w:t xml:space="preserve">Kessler, R. C., Berglund, P. A., Chiu, W. T., Deitz, A. C., Hudson, J. I., Shahly, V., … Benjet, C. (2013). The prevalence and correlates of binge eating disorder in the World Health Organization World Mental Health Surveys. </w:t>
      </w:r>
      <w:r w:rsidRPr="00945ACC">
        <w:rPr>
          <w:i/>
          <w:iCs/>
          <w:noProof/>
          <w:color w:val="000000" w:themeColor="text1"/>
        </w:rPr>
        <w:t>Biological Psychiatry</w:t>
      </w:r>
      <w:r w:rsidRPr="00945ACC">
        <w:rPr>
          <w:noProof/>
          <w:color w:val="000000" w:themeColor="text1"/>
        </w:rPr>
        <w:t xml:space="preserve">, </w:t>
      </w:r>
      <w:r w:rsidRPr="00945ACC">
        <w:rPr>
          <w:i/>
          <w:iCs/>
          <w:noProof/>
          <w:color w:val="000000" w:themeColor="text1"/>
        </w:rPr>
        <w:t>73</w:t>
      </w:r>
      <w:r w:rsidRPr="00945ACC">
        <w:rPr>
          <w:noProof/>
          <w:color w:val="000000" w:themeColor="text1"/>
        </w:rPr>
        <w:t>(9), 904–914.</w:t>
      </w:r>
    </w:p>
    <w:p w14:paraId="6DD0365E" w14:textId="77777777" w:rsidR="004A155E" w:rsidRPr="00945ACC" w:rsidRDefault="004A155E" w:rsidP="004A155E">
      <w:pPr>
        <w:widowControl w:val="0"/>
        <w:autoSpaceDE w:val="0"/>
        <w:autoSpaceDN w:val="0"/>
        <w:adjustRightInd w:val="0"/>
        <w:ind w:left="480" w:hanging="480"/>
        <w:rPr>
          <w:noProof/>
          <w:color w:val="000000" w:themeColor="text1"/>
        </w:rPr>
      </w:pPr>
      <w:r w:rsidRPr="00945ACC">
        <w:rPr>
          <w:noProof/>
          <w:color w:val="000000" w:themeColor="text1"/>
        </w:rPr>
        <w:t xml:space="preserve">Kroenke, K., Spitzer, R. L., &amp; Williams, J. B. W. (2003). The Patient Health Questionnaire-2: validity of a two-item depression screener. </w:t>
      </w:r>
      <w:r w:rsidRPr="00945ACC">
        <w:rPr>
          <w:i/>
          <w:iCs/>
          <w:noProof/>
          <w:color w:val="000000" w:themeColor="text1"/>
        </w:rPr>
        <w:t>Medical Care</w:t>
      </w:r>
      <w:r w:rsidRPr="00945ACC">
        <w:rPr>
          <w:noProof/>
          <w:color w:val="000000" w:themeColor="text1"/>
        </w:rPr>
        <w:t>, 1284–1292.</w:t>
      </w:r>
    </w:p>
    <w:p w14:paraId="67C2A2AA" w14:textId="77777777" w:rsidR="004A155E" w:rsidRPr="00945ACC" w:rsidRDefault="004A155E" w:rsidP="004A155E">
      <w:pPr>
        <w:widowControl w:val="0"/>
        <w:autoSpaceDE w:val="0"/>
        <w:autoSpaceDN w:val="0"/>
        <w:adjustRightInd w:val="0"/>
        <w:ind w:left="480" w:hanging="480"/>
        <w:rPr>
          <w:noProof/>
          <w:color w:val="000000" w:themeColor="text1"/>
        </w:rPr>
      </w:pPr>
      <w:r w:rsidRPr="00945ACC">
        <w:rPr>
          <w:noProof/>
          <w:color w:val="000000" w:themeColor="text1"/>
        </w:rPr>
        <w:t xml:space="preserve">Kroenke, K., Spitzer, R. L., Williams, J. B. W., Monahan, P. O., &amp; Löwe, B. (2007). Anxiety disorders in primary care: prevalence, impairment, comorbidity, and detection. </w:t>
      </w:r>
      <w:r w:rsidRPr="00945ACC">
        <w:rPr>
          <w:i/>
          <w:iCs/>
          <w:noProof/>
          <w:color w:val="000000" w:themeColor="text1"/>
        </w:rPr>
        <w:t>Annals of Internal Medicine</w:t>
      </w:r>
      <w:r w:rsidRPr="00945ACC">
        <w:rPr>
          <w:noProof/>
          <w:color w:val="000000" w:themeColor="text1"/>
        </w:rPr>
        <w:t xml:space="preserve">, </w:t>
      </w:r>
      <w:r w:rsidRPr="00945ACC">
        <w:rPr>
          <w:i/>
          <w:iCs/>
          <w:noProof/>
          <w:color w:val="000000" w:themeColor="text1"/>
        </w:rPr>
        <w:t>146</w:t>
      </w:r>
      <w:r w:rsidRPr="00945ACC">
        <w:rPr>
          <w:noProof/>
          <w:color w:val="000000" w:themeColor="text1"/>
        </w:rPr>
        <w:t>(5), 317–325.</w:t>
      </w:r>
    </w:p>
    <w:p w14:paraId="30E750F7" w14:textId="77777777" w:rsidR="004A155E" w:rsidRPr="00945ACC" w:rsidRDefault="004A155E" w:rsidP="004A155E">
      <w:pPr>
        <w:widowControl w:val="0"/>
        <w:autoSpaceDE w:val="0"/>
        <w:autoSpaceDN w:val="0"/>
        <w:adjustRightInd w:val="0"/>
        <w:ind w:left="480" w:hanging="480"/>
        <w:rPr>
          <w:noProof/>
          <w:color w:val="000000" w:themeColor="text1"/>
        </w:rPr>
      </w:pPr>
      <w:r w:rsidRPr="00945ACC">
        <w:rPr>
          <w:noProof/>
          <w:color w:val="000000" w:themeColor="text1"/>
        </w:rPr>
        <w:t xml:space="preserve">Kuznetsova, A., Brockhoff, P. B., &amp; Christensen, R. H. B. (2017). lmerTest Package: Tests in Linear Mixed Effects Models. </w:t>
      </w:r>
      <w:r w:rsidRPr="00945ACC">
        <w:rPr>
          <w:i/>
          <w:iCs/>
          <w:noProof/>
          <w:color w:val="000000" w:themeColor="text1"/>
        </w:rPr>
        <w:t>Journal of Statistical Software</w:t>
      </w:r>
      <w:r w:rsidRPr="00945ACC">
        <w:rPr>
          <w:noProof/>
          <w:color w:val="000000" w:themeColor="text1"/>
        </w:rPr>
        <w:t xml:space="preserve">, </w:t>
      </w:r>
      <w:r w:rsidRPr="00945ACC">
        <w:rPr>
          <w:i/>
          <w:iCs/>
          <w:noProof/>
          <w:color w:val="000000" w:themeColor="text1"/>
        </w:rPr>
        <w:t>82</w:t>
      </w:r>
      <w:r w:rsidRPr="00945ACC">
        <w:rPr>
          <w:noProof/>
          <w:color w:val="000000" w:themeColor="text1"/>
        </w:rPr>
        <w:t xml:space="preserve">(13). </w:t>
      </w:r>
      <w:r w:rsidRPr="00945ACC">
        <w:rPr>
          <w:noProof/>
          <w:color w:val="000000" w:themeColor="text1"/>
        </w:rPr>
        <w:lastRenderedPageBreak/>
        <w:t>https://doi.org/10.18637/jss.v082.i13</w:t>
      </w:r>
    </w:p>
    <w:p w14:paraId="3519DB37" w14:textId="77777777" w:rsidR="004A155E" w:rsidRPr="00945ACC" w:rsidRDefault="004A155E" w:rsidP="004A155E">
      <w:pPr>
        <w:widowControl w:val="0"/>
        <w:autoSpaceDE w:val="0"/>
        <w:autoSpaceDN w:val="0"/>
        <w:adjustRightInd w:val="0"/>
        <w:ind w:left="480" w:hanging="480"/>
        <w:rPr>
          <w:noProof/>
          <w:color w:val="000000" w:themeColor="text1"/>
        </w:rPr>
      </w:pPr>
      <w:r w:rsidRPr="00945ACC">
        <w:rPr>
          <w:noProof/>
          <w:color w:val="000000" w:themeColor="text1"/>
        </w:rPr>
        <w:t xml:space="preserve">Lattimore, P. J. (2001). Stress-induced eating: an alternative method for inducing ego-threatening stress. </w:t>
      </w:r>
      <w:r w:rsidRPr="00945ACC">
        <w:rPr>
          <w:i/>
          <w:iCs/>
          <w:noProof/>
          <w:color w:val="000000" w:themeColor="text1"/>
        </w:rPr>
        <w:t>Appetite</w:t>
      </w:r>
      <w:r w:rsidRPr="00945ACC">
        <w:rPr>
          <w:noProof/>
          <w:color w:val="000000" w:themeColor="text1"/>
        </w:rPr>
        <w:t xml:space="preserve">, </w:t>
      </w:r>
      <w:r w:rsidRPr="00945ACC">
        <w:rPr>
          <w:i/>
          <w:iCs/>
          <w:noProof/>
          <w:color w:val="000000" w:themeColor="text1"/>
        </w:rPr>
        <w:t>36</w:t>
      </w:r>
      <w:r w:rsidRPr="00945ACC">
        <w:rPr>
          <w:noProof/>
          <w:color w:val="000000" w:themeColor="text1"/>
        </w:rPr>
        <w:t>(2), 187–188. https://doi.org/10.1006/appe.2000.0387</w:t>
      </w:r>
    </w:p>
    <w:p w14:paraId="3BFB8B65" w14:textId="77777777" w:rsidR="004A155E" w:rsidRPr="00945ACC" w:rsidRDefault="004A155E" w:rsidP="004A155E">
      <w:pPr>
        <w:widowControl w:val="0"/>
        <w:autoSpaceDE w:val="0"/>
        <w:autoSpaceDN w:val="0"/>
        <w:adjustRightInd w:val="0"/>
        <w:ind w:left="480" w:hanging="480"/>
        <w:rPr>
          <w:noProof/>
          <w:color w:val="000000" w:themeColor="text1"/>
        </w:rPr>
      </w:pPr>
      <w:r w:rsidRPr="00945ACC">
        <w:rPr>
          <w:noProof/>
          <w:color w:val="000000" w:themeColor="text1"/>
        </w:rPr>
        <w:t xml:space="preserve">Levine, M. D., &amp; Marcus, M. D. (1997). Eating behavior following stress in women with and without bulimic symptoms | SpringerLink. </w:t>
      </w:r>
      <w:r w:rsidRPr="00945ACC">
        <w:rPr>
          <w:i/>
          <w:iCs/>
          <w:noProof/>
          <w:color w:val="000000" w:themeColor="text1"/>
        </w:rPr>
        <w:t>Annals of Behavioral Medicine: A Publication of the Society of Behavioral Medicine</w:t>
      </w:r>
      <w:r w:rsidRPr="00945ACC">
        <w:rPr>
          <w:noProof/>
          <w:color w:val="000000" w:themeColor="text1"/>
        </w:rPr>
        <w:t xml:space="preserve">, </w:t>
      </w:r>
      <w:r w:rsidRPr="00945ACC">
        <w:rPr>
          <w:i/>
          <w:iCs/>
          <w:noProof/>
          <w:color w:val="000000" w:themeColor="text1"/>
        </w:rPr>
        <w:t>19</w:t>
      </w:r>
      <w:r w:rsidRPr="00945ACC">
        <w:rPr>
          <w:noProof/>
          <w:color w:val="000000" w:themeColor="text1"/>
        </w:rPr>
        <w:t>(2), 132–138. https://doi.org/10.1007/BF02883330</w:t>
      </w:r>
    </w:p>
    <w:p w14:paraId="3C1F874B" w14:textId="77777777" w:rsidR="004A155E" w:rsidRPr="00945ACC" w:rsidRDefault="004A155E" w:rsidP="004A155E">
      <w:pPr>
        <w:widowControl w:val="0"/>
        <w:autoSpaceDE w:val="0"/>
        <w:autoSpaceDN w:val="0"/>
        <w:adjustRightInd w:val="0"/>
        <w:ind w:left="480" w:hanging="480"/>
        <w:rPr>
          <w:noProof/>
          <w:color w:val="000000" w:themeColor="text1"/>
        </w:rPr>
      </w:pPr>
      <w:r w:rsidRPr="00945ACC">
        <w:rPr>
          <w:noProof/>
          <w:color w:val="000000" w:themeColor="text1"/>
        </w:rPr>
        <w:t xml:space="preserve">Maxwell, H., Tasca, G., Ritchie, K., Balfour, L., &amp; Bissada, H. (2013). Change in attachment insecurity is related to improved outcomes 1-year post group therapy in women with binge eating disorder. </w:t>
      </w:r>
      <w:r w:rsidRPr="00945ACC">
        <w:rPr>
          <w:i/>
          <w:iCs/>
          <w:noProof/>
          <w:color w:val="000000" w:themeColor="text1"/>
        </w:rPr>
        <w:t>Psychotherapy (Chicago, Ill.)</w:t>
      </w:r>
      <w:r w:rsidRPr="00945ACC">
        <w:rPr>
          <w:noProof/>
          <w:color w:val="000000" w:themeColor="text1"/>
        </w:rPr>
        <w:t xml:space="preserve">, </w:t>
      </w:r>
      <w:r w:rsidRPr="00945ACC">
        <w:rPr>
          <w:i/>
          <w:iCs/>
          <w:noProof/>
          <w:color w:val="000000" w:themeColor="text1"/>
        </w:rPr>
        <w:t>51</w:t>
      </w:r>
      <w:r w:rsidRPr="00945ACC">
        <w:rPr>
          <w:noProof/>
          <w:color w:val="000000" w:themeColor="text1"/>
        </w:rPr>
        <w:t>(1), 57–65. https://doi.org/10.1037/a0031100</w:t>
      </w:r>
    </w:p>
    <w:p w14:paraId="20962DC7" w14:textId="77777777" w:rsidR="004A155E" w:rsidRPr="00945ACC" w:rsidRDefault="004A155E" w:rsidP="004A155E">
      <w:pPr>
        <w:widowControl w:val="0"/>
        <w:autoSpaceDE w:val="0"/>
        <w:autoSpaceDN w:val="0"/>
        <w:adjustRightInd w:val="0"/>
        <w:ind w:left="480" w:hanging="480"/>
        <w:rPr>
          <w:noProof/>
          <w:color w:val="000000" w:themeColor="text1"/>
          <w:lang w:val="it-IT"/>
        </w:rPr>
      </w:pPr>
      <w:r w:rsidRPr="00945ACC">
        <w:rPr>
          <w:noProof/>
          <w:color w:val="000000" w:themeColor="text1"/>
        </w:rPr>
        <w:t xml:space="preserve">Michels, N., Sioen, I., Braet, C., Eiben, G., Hebestreit, A., Huybrechts, I., … De Henauw, S. (2012). Stress, emotional eating behaviour and dietary patterns in children. </w:t>
      </w:r>
      <w:r w:rsidRPr="00945ACC">
        <w:rPr>
          <w:i/>
          <w:iCs/>
          <w:noProof/>
          <w:color w:val="000000" w:themeColor="text1"/>
          <w:lang w:val="it-IT"/>
        </w:rPr>
        <w:t>Appetite</w:t>
      </w:r>
      <w:r w:rsidRPr="00945ACC">
        <w:rPr>
          <w:noProof/>
          <w:color w:val="000000" w:themeColor="text1"/>
          <w:lang w:val="it-IT"/>
        </w:rPr>
        <w:t xml:space="preserve">, </w:t>
      </w:r>
      <w:r w:rsidRPr="00945ACC">
        <w:rPr>
          <w:i/>
          <w:iCs/>
          <w:noProof/>
          <w:color w:val="000000" w:themeColor="text1"/>
          <w:lang w:val="it-IT"/>
        </w:rPr>
        <w:t>59</w:t>
      </w:r>
      <w:r w:rsidRPr="00945ACC">
        <w:rPr>
          <w:noProof/>
          <w:color w:val="000000" w:themeColor="text1"/>
          <w:lang w:val="it-IT"/>
        </w:rPr>
        <w:t>(3), 762–769. https://doi.org/10.1016/j.appet.2012.08.010</w:t>
      </w:r>
    </w:p>
    <w:p w14:paraId="3C66E37D" w14:textId="77777777" w:rsidR="004A155E" w:rsidRPr="00945ACC" w:rsidRDefault="004A155E" w:rsidP="004A155E">
      <w:pPr>
        <w:widowControl w:val="0"/>
        <w:autoSpaceDE w:val="0"/>
        <w:autoSpaceDN w:val="0"/>
        <w:adjustRightInd w:val="0"/>
        <w:ind w:left="480" w:hanging="480"/>
        <w:rPr>
          <w:noProof/>
          <w:color w:val="000000" w:themeColor="text1"/>
        </w:rPr>
      </w:pPr>
      <w:r w:rsidRPr="00945ACC">
        <w:rPr>
          <w:noProof/>
          <w:color w:val="000000" w:themeColor="text1"/>
          <w:lang w:val="it-IT"/>
        </w:rPr>
        <w:t xml:space="preserve">Mondo, M., Sechi, C., &amp; Cabras, C. (2019). </w:t>
      </w:r>
      <w:r w:rsidRPr="00945ACC">
        <w:rPr>
          <w:noProof/>
          <w:color w:val="000000" w:themeColor="text1"/>
        </w:rPr>
        <w:t xml:space="preserve">Psychometric evaluation of three versions of the Italian perceived stress scale. </w:t>
      </w:r>
      <w:r w:rsidRPr="00945ACC">
        <w:rPr>
          <w:i/>
          <w:iCs/>
          <w:noProof/>
          <w:color w:val="000000" w:themeColor="text1"/>
        </w:rPr>
        <w:t>Current Psychology</w:t>
      </w:r>
      <w:r w:rsidRPr="00945ACC">
        <w:rPr>
          <w:noProof/>
          <w:color w:val="000000" w:themeColor="text1"/>
        </w:rPr>
        <w:t>, 1–9.</w:t>
      </w:r>
    </w:p>
    <w:p w14:paraId="52321517" w14:textId="77777777" w:rsidR="004A155E" w:rsidRPr="00945ACC" w:rsidRDefault="004A155E" w:rsidP="004A155E">
      <w:pPr>
        <w:widowControl w:val="0"/>
        <w:autoSpaceDE w:val="0"/>
        <w:autoSpaceDN w:val="0"/>
        <w:adjustRightInd w:val="0"/>
        <w:ind w:left="480" w:hanging="480"/>
        <w:rPr>
          <w:noProof/>
          <w:color w:val="000000" w:themeColor="text1"/>
        </w:rPr>
      </w:pPr>
      <w:r w:rsidRPr="00945ACC">
        <w:rPr>
          <w:noProof/>
          <w:color w:val="000000" w:themeColor="text1"/>
        </w:rPr>
        <w:t xml:space="preserve">Nguyen-Rodriguez, S. T., Chou, C.-P., Unger, J. B., &amp; Spruijt-Metz, D. (2008). BMI as a moderator of perceived stress and emotional eating in adolescents. </w:t>
      </w:r>
      <w:r w:rsidRPr="00945ACC">
        <w:rPr>
          <w:i/>
          <w:iCs/>
          <w:noProof/>
          <w:color w:val="000000" w:themeColor="text1"/>
        </w:rPr>
        <w:t>Eating Behaviors</w:t>
      </w:r>
      <w:r w:rsidRPr="00945ACC">
        <w:rPr>
          <w:noProof/>
          <w:color w:val="000000" w:themeColor="text1"/>
        </w:rPr>
        <w:t xml:space="preserve">, </w:t>
      </w:r>
      <w:r w:rsidRPr="00945ACC">
        <w:rPr>
          <w:i/>
          <w:iCs/>
          <w:noProof/>
          <w:color w:val="000000" w:themeColor="text1"/>
        </w:rPr>
        <w:t>9</w:t>
      </w:r>
      <w:r w:rsidRPr="00945ACC">
        <w:rPr>
          <w:noProof/>
          <w:color w:val="000000" w:themeColor="text1"/>
        </w:rPr>
        <w:t>(2), 238–246. https://doi.org/10.1016/j.eatbeh.2007.09.001</w:t>
      </w:r>
    </w:p>
    <w:p w14:paraId="665FF5A9" w14:textId="77777777" w:rsidR="004A155E" w:rsidRPr="00945ACC" w:rsidRDefault="004A155E" w:rsidP="004A155E">
      <w:pPr>
        <w:widowControl w:val="0"/>
        <w:autoSpaceDE w:val="0"/>
        <w:autoSpaceDN w:val="0"/>
        <w:adjustRightInd w:val="0"/>
        <w:ind w:left="480" w:hanging="480"/>
        <w:rPr>
          <w:noProof/>
          <w:color w:val="000000" w:themeColor="text1"/>
        </w:rPr>
      </w:pPr>
      <w:r w:rsidRPr="00945ACC">
        <w:rPr>
          <w:noProof/>
          <w:color w:val="000000" w:themeColor="text1"/>
        </w:rPr>
        <w:t xml:space="preserve">Nguyen-Rodriguez, S. T., Unger, J. B., &amp; Spruijt-Metz, D. (2009). Psychological Determinants of Emotional Eating in Adolescence. </w:t>
      </w:r>
      <w:r w:rsidRPr="00945ACC">
        <w:rPr>
          <w:i/>
          <w:iCs/>
          <w:noProof/>
          <w:color w:val="000000" w:themeColor="text1"/>
        </w:rPr>
        <w:t>Eating Disorders</w:t>
      </w:r>
      <w:r w:rsidRPr="00945ACC">
        <w:rPr>
          <w:noProof/>
          <w:color w:val="000000" w:themeColor="text1"/>
        </w:rPr>
        <w:t xml:space="preserve">, </w:t>
      </w:r>
      <w:r w:rsidRPr="00945ACC">
        <w:rPr>
          <w:i/>
          <w:iCs/>
          <w:noProof/>
          <w:color w:val="000000" w:themeColor="text1"/>
        </w:rPr>
        <w:t>17</w:t>
      </w:r>
      <w:r w:rsidRPr="00945ACC">
        <w:rPr>
          <w:noProof/>
          <w:color w:val="000000" w:themeColor="text1"/>
        </w:rPr>
        <w:t>(3), 211–224. https://doi.org/10.1080/10640260902848543</w:t>
      </w:r>
    </w:p>
    <w:p w14:paraId="0A603A3A" w14:textId="77777777" w:rsidR="004A155E" w:rsidRPr="00945ACC" w:rsidRDefault="004A155E" w:rsidP="004A155E">
      <w:pPr>
        <w:widowControl w:val="0"/>
        <w:autoSpaceDE w:val="0"/>
        <w:autoSpaceDN w:val="0"/>
        <w:adjustRightInd w:val="0"/>
        <w:ind w:left="480" w:hanging="480"/>
        <w:rPr>
          <w:noProof/>
          <w:color w:val="000000" w:themeColor="text1"/>
        </w:rPr>
      </w:pPr>
      <w:r w:rsidRPr="00945ACC">
        <w:rPr>
          <w:noProof/>
          <w:color w:val="000000" w:themeColor="text1"/>
          <w:lang w:val="it-IT"/>
        </w:rPr>
        <w:t xml:space="preserve">Pace, U., Cacioppo, M., &amp; Schimmenti, A. (2012). </w:t>
      </w:r>
      <w:r w:rsidRPr="00945ACC">
        <w:rPr>
          <w:noProof/>
          <w:color w:val="000000" w:themeColor="text1"/>
        </w:rPr>
        <w:t xml:space="preserve">The Moderating Role of Father’s Care on the Onset of Binge Eating Symptoms Among Female Late Adolescents with Insecure Attachment. </w:t>
      </w:r>
      <w:r w:rsidRPr="00945ACC">
        <w:rPr>
          <w:i/>
          <w:iCs/>
          <w:noProof/>
          <w:color w:val="000000" w:themeColor="text1"/>
        </w:rPr>
        <w:t>Child Psychiatry &amp; Human Development</w:t>
      </w:r>
      <w:r w:rsidRPr="00945ACC">
        <w:rPr>
          <w:noProof/>
          <w:color w:val="000000" w:themeColor="text1"/>
        </w:rPr>
        <w:t xml:space="preserve">, </w:t>
      </w:r>
      <w:r w:rsidRPr="00945ACC">
        <w:rPr>
          <w:i/>
          <w:iCs/>
          <w:noProof/>
          <w:color w:val="000000" w:themeColor="text1"/>
        </w:rPr>
        <w:t>43</w:t>
      </w:r>
      <w:r w:rsidRPr="00945ACC">
        <w:rPr>
          <w:noProof/>
          <w:color w:val="000000" w:themeColor="text1"/>
        </w:rPr>
        <w:t>(2), 282–292. https://doi.org/10.1007/s10578-011-0269-7</w:t>
      </w:r>
    </w:p>
    <w:p w14:paraId="28A670C7" w14:textId="77777777" w:rsidR="004A155E" w:rsidRPr="00945ACC" w:rsidRDefault="004A155E" w:rsidP="004A155E">
      <w:pPr>
        <w:widowControl w:val="0"/>
        <w:autoSpaceDE w:val="0"/>
        <w:autoSpaceDN w:val="0"/>
        <w:adjustRightInd w:val="0"/>
        <w:ind w:left="480" w:hanging="480"/>
        <w:rPr>
          <w:noProof/>
          <w:color w:val="000000" w:themeColor="text1"/>
        </w:rPr>
      </w:pPr>
      <w:r w:rsidRPr="00945ACC">
        <w:rPr>
          <w:noProof/>
          <w:color w:val="000000" w:themeColor="text1"/>
        </w:rPr>
        <w:t xml:space="preserve">Palmisano, G. L., Innamorati, M., &amp; Vanderlinden, J. (2016). Life adverse experiences in relation with obesity and binge eating disorder: A systematic review. </w:t>
      </w:r>
      <w:r w:rsidRPr="00945ACC">
        <w:rPr>
          <w:i/>
          <w:iCs/>
          <w:noProof/>
          <w:color w:val="000000" w:themeColor="text1"/>
        </w:rPr>
        <w:t>Journal of Behavioral Addictions</w:t>
      </w:r>
      <w:r w:rsidRPr="00945ACC">
        <w:rPr>
          <w:noProof/>
          <w:color w:val="000000" w:themeColor="text1"/>
        </w:rPr>
        <w:t xml:space="preserve">, </w:t>
      </w:r>
      <w:r w:rsidRPr="00945ACC">
        <w:rPr>
          <w:i/>
          <w:iCs/>
          <w:noProof/>
          <w:color w:val="000000" w:themeColor="text1"/>
        </w:rPr>
        <w:t>5</w:t>
      </w:r>
      <w:r w:rsidRPr="00945ACC">
        <w:rPr>
          <w:noProof/>
          <w:color w:val="000000" w:themeColor="text1"/>
        </w:rPr>
        <w:t>(1), 11–31.</w:t>
      </w:r>
    </w:p>
    <w:p w14:paraId="1441547E" w14:textId="77777777" w:rsidR="004A155E" w:rsidRPr="00945ACC" w:rsidRDefault="004A155E" w:rsidP="004A155E">
      <w:pPr>
        <w:widowControl w:val="0"/>
        <w:autoSpaceDE w:val="0"/>
        <w:autoSpaceDN w:val="0"/>
        <w:adjustRightInd w:val="0"/>
        <w:ind w:left="480" w:hanging="480"/>
        <w:rPr>
          <w:noProof/>
          <w:color w:val="000000" w:themeColor="text1"/>
        </w:rPr>
      </w:pPr>
      <w:r w:rsidRPr="00945ACC">
        <w:rPr>
          <w:noProof/>
          <w:color w:val="000000" w:themeColor="text1"/>
        </w:rPr>
        <w:lastRenderedPageBreak/>
        <w:t xml:space="preserve">Pietrobelli, A., Pecoraro, L., Ferruzzi, A., Heo, M., Faith, M., Zoller, T., … Heymsfield, S. B. (2020). Effects of COVID‐19 lockdown on lifestyle behaviors in children with obesity living in Verona, Italy: a longitudinal study. </w:t>
      </w:r>
      <w:r w:rsidRPr="00945ACC">
        <w:rPr>
          <w:i/>
          <w:iCs/>
          <w:noProof/>
          <w:color w:val="000000" w:themeColor="text1"/>
        </w:rPr>
        <w:t>Obesity</w:t>
      </w:r>
      <w:r w:rsidRPr="00945ACC">
        <w:rPr>
          <w:noProof/>
          <w:color w:val="000000" w:themeColor="text1"/>
        </w:rPr>
        <w:t>.</w:t>
      </w:r>
    </w:p>
    <w:p w14:paraId="29532337" w14:textId="77777777" w:rsidR="004A155E" w:rsidRPr="00945ACC" w:rsidRDefault="004A155E" w:rsidP="004A155E">
      <w:pPr>
        <w:widowControl w:val="0"/>
        <w:autoSpaceDE w:val="0"/>
        <w:autoSpaceDN w:val="0"/>
        <w:adjustRightInd w:val="0"/>
        <w:ind w:left="480" w:hanging="480"/>
        <w:rPr>
          <w:noProof/>
          <w:color w:val="000000" w:themeColor="text1"/>
        </w:rPr>
      </w:pPr>
      <w:r w:rsidRPr="00945ACC">
        <w:rPr>
          <w:noProof/>
          <w:color w:val="000000" w:themeColor="text1"/>
        </w:rPr>
        <w:t xml:space="preserve">Pink, A. E., Lee, M., Price, M., &amp; Williams, C. (2019). A serial mediation model of the relationship between alexithymia and BMI: The role of negative affect, negative urgency and emotional eating. </w:t>
      </w:r>
      <w:r w:rsidRPr="00945ACC">
        <w:rPr>
          <w:i/>
          <w:iCs/>
          <w:noProof/>
          <w:color w:val="000000" w:themeColor="text1"/>
        </w:rPr>
        <w:t>Appetite</w:t>
      </w:r>
      <w:r w:rsidRPr="00945ACC">
        <w:rPr>
          <w:noProof/>
          <w:color w:val="000000" w:themeColor="text1"/>
        </w:rPr>
        <w:t xml:space="preserve">, </w:t>
      </w:r>
      <w:r w:rsidRPr="00945ACC">
        <w:rPr>
          <w:i/>
          <w:iCs/>
          <w:noProof/>
          <w:color w:val="000000" w:themeColor="text1"/>
        </w:rPr>
        <w:t>133</w:t>
      </w:r>
      <w:r w:rsidRPr="00945ACC">
        <w:rPr>
          <w:noProof/>
          <w:color w:val="000000" w:themeColor="text1"/>
        </w:rPr>
        <w:t>, 270–278.</w:t>
      </w:r>
    </w:p>
    <w:p w14:paraId="757ACCB8" w14:textId="77777777" w:rsidR="004A155E" w:rsidRPr="00945ACC" w:rsidRDefault="004A155E" w:rsidP="004A155E">
      <w:pPr>
        <w:widowControl w:val="0"/>
        <w:autoSpaceDE w:val="0"/>
        <w:autoSpaceDN w:val="0"/>
        <w:adjustRightInd w:val="0"/>
        <w:ind w:left="480" w:hanging="480"/>
        <w:rPr>
          <w:noProof/>
          <w:color w:val="000000" w:themeColor="text1"/>
        </w:rPr>
      </w:pPr>
      <w:r w:rsidRPr="00945ACC">
        <w:rPr>
          <w:noProof/>
          <w:color w:val="000000" w:themeColor="text1"/>
        </w:rPr>
        <w:t xml:space="preserve">Qiu, J., Shen, B., Zhao, M., Wang, Z., Xie, B., &amp; Xu, Y. (2020). A nationwide survey of psychological distress among Chinese people in the COVID-19 epidemic: implications and policy recommendations. </w:t>
      </w:r>
      <w:r w:rsidRPr="00945ACC">
        <w:rPr>
          <w:i/>
          <w:iCs/>
          <w:noProof/>
          <w:color w:val="000000" w:themeColor="text1"/>
        </w:rPr>
        <w:t>General Psychiatry</w:t>
      </w:r>
      <w:r w:rsidRPr="00945ACC">
        <w:rPr>
          <w:noProof/>
          <w:color w:val="000000" w:themeColor="text1"/>
        </w:rPr>
        <w:t xml:space="preserve">, </w:t>
      </w:r>
      <w:r w:rsidRPr="00945ACC">
        <w:rPr>
          <w:i/>
          <w:iCs/>
          <w:noProof/>
          <w:color w:val="000000" w:themeColor="text1"/>
        </w:rPr>
        <w:t>33</w:t>
      </w:r>
      <w:r w:rsidRPr="00945ACC">
        <w:rPr>
          <w:noProof/>
          <w:color w:val="000000" w:themeColor="text1"/>
        </w:rPr>
        <w:t>(2).</w:t>
      </w:r>
    </w:p>
    <w:p w14:paraId="030CA396" w14:textId="77777777" w:rsidR="004A155E" w:rsidRPr="00945ACC" w:rsidRDefault="004A155E" w:rsidP="004A155E">
      <w:pPr>
        <w:widowControl w:val="0"/>
        <w:autoSpaceDE w:val="0"/>
        <w:autoSpaceDN w:val="0"/>
        <w:adjustRightInd w:val="0"/>
        <w:ind w:left="480" w:hanging="480"/>
        <w:rPr>
          <w:noProof/>
          <w:color w:val="000000" w:themeColor="text1"/>
        </w:rPr>
      </w:pPr>
      <w:r w:rsidRPr="00945ACC">
        <w:rPr>
          <w:noProof/>
          <w:color w:val="000000" w:themeColor="text1"/>
        </w:rPr>
        <w:t xml:space="preserve">Raspopow, K., Matheson, K., Abizaid, A., &amp; Anisman, H. (2013). Unsupportive social interactions influence emotional eating behaviors. The role of coping styles as mediators. </w:t>
      </w:r>
      <w:r w:rsidRPr="00945ACC">
        <w:rPr>
          <w:i/>
          <w:iCs/>
          <w:noProof/>
          <w:color w:val="000000" w:themeColor="text1"/>
        </w:rPr>
        <w:t>Appetite</w:t>
      </w:r>
      <w:r w:rsidRPr="00945ACC">
        <w:rPr>
          <w:noProof/>
          <w:color w:val="000000" w:themeColor="text1"/>
        </w:rPr>
        <w:t xml:space="preserve">, </w:t>
      </w:r>
      <w:r w:rsidRPr="00945ACC">
        <w:rPr>
          <w:i/>
          <w:iCs/>
          <w:noProof/>
          <w:color w:val="000000" w:themeColor="text1"/>
        </w:rPr>
        <w:t>62</w:t>
      </w:r>
      <w:r w:rsidRPr="00945ACC">
        <w:rPr>
          <w:noProof/>
          <w:color w:val="000000" w:themeColor="text1"/>
        </w:rPr>
        <w:t>, 143–149.</w:t>
      </w:r>
    </w:p>
    <w:p w14:paraId="16EC64F9" w14:textId="77777777" w:rsidR="004A155E" w:rsidRPr="00945ACC" w:rsidRDefault="004A155E" w:rsidP="004A155E">
      <w:pPr>
        <w:widowControl w:val="0"/>
        <w:autoSpaceDE w:val="0"/>
        <w:autoSpaceDN w:val="0"/>
        <w:adjustRightInd w:val="0"/>
        <w:ind w:left="480" w:hanging="480"/>
        <w:rPr>
          <w:noProof/>
          <w:color w:val="000000" w:themeColor="text1"/>
        </w:rPr>
      </w:pPr>
      <w:r w:rsidRPr="00945ACC">
        <w:rPr>
          <w:noProof/>
          <w:color w:val="000000" w:themeColor="text1"/>
        </w:rPr>
        <w:t xml:space="preserve">Robinson, E., Boyland, E., Chisholm, A., Harrold, J., Maloney, N. G., Marty, L., … Hardman, C. A. (2020). Obesity, eating behavior and physical activity during COVID-19 lockdown: A study of UK adults. </w:t>
      </w:r>
      <w:r w:rsidRPr="00945ACC">
        <w:rPr>
          <w:i/>
          <w:iCs/>
          <w:noProof/>
          <w:color w:val="000000" w:themeColor="text1"/>
        </w:rPr>
        <w:t>Appetite</w:t>
      </w:r>
      <w:r w:rsidRPr="00945ACC">
        <w:rPr>
          <w:noProof/>
          <w:color w:val="000000" w:themeColor="text1"/>
        </w:rPr>
        <w:t>, 104853.</w:t>
      </w:r>
    </w:p>
    <w:p w14:paraId="05EA4FC6" w14:textId="77777777" w:rsidR="004A155E" w:rsidRPr="00945ACC" w:rsidRDefault="004A155E" w:rsidP="004A155E">
      <w:pPr>
        <w:widowControl w:val="0"/>
        <w:autoSpaceDE w:val="0"/>
        <w:autoSpaceDN w:val="0"/>
        <w:adjustRightInd w:val="0"/>
        <w:ind w:left="480" w:hanging="480"/>
        <w:rPr>
          <w:noProof/>
          <w:color w:val="000000" w:themeColor="text1"/>
        </w:rPr>
      </w:pPr>
      <w:r w:rsidRPr="00945ACC">
        <w:rPr>
          <w:noProof/>
          <w:color w:val="000000" w:themeColor="text1"/>
        </w:rPr>
        <w:t xml:space="preserve">Rosenbaum, D. L., &amp; White, K. S. (2015). The relation of anxiety, depression, and stress to binge eating behavior. </w:t>
      </w:r>
      <w:r w:rsidRPr="00945ACC">
        <w:rPr>
          <w:i/>
          <w:iCs/>
          <w:noProof/>
          <w:color w:val="000000" w:themeColor="text1"/>
        </w:rPr>
        <w:t>Journal of Health Psychology</w:t>
      </w:r>
      <w:r w:rsidRPr="00945ACC">
        <w:rPr>
          <w:noProof/>
          <w:color w:val="000000" w:themeColor="text1"/>
        </w:rPr>
        <w:t xml:space="preserve">, </w:t>
      </w:r>
      <w:r w:rsidRPr="00945ACC">
        <w:rPr>
          <w:i/>
          <w:iCs/>
          <w:noProof/>
          <w:color w:val="000000" w:themeColor="text1"/>
        </w:rPr>
        <w:t>20</w:t>
      </w:r>
      <w:r w:rsidRPr="00945ACC">
        <w:rPr>
          <w:noProof/>
          <w:color w:val="000000" w:themeColor="text1"/>
        </w:rPr>
        <w:t>(6), 887–898. https://doi.org/10.1177/1359105315580212</w:t>
      </w:r>
    </w:p>
    <w:p w14:paraId="09030299" w14:textId="77777777" w:rsidR="004A155E" w:rsidRPr="00945ACC" w:rsidRDefault="004A155E" w:rsidP="004A155E">
      <w:pPr>
        <w:widowControl w:val="0"/>
        <w:autoSpaceDE w:val="0"/>
        <w:autoSpaceDN w:val="0"/>
        <w:adjustRightInd w:val="0"/>
        <w:ind w:left="480" w:hanging="480"/>
        <w:rPr>
          <w:noProof/>
          <w:color w:val="000000" w:themeColor="text1"/>
        </w:rPr>
      </w:pPr>
      <w:r w:rsidRPr="00945ACC">
        <w:rPr>
          <w:noProof/>
          <w:color w:val="000000" w:themeColor="text1"/>
        </w:rPr>
        <w:t xml:space="preserve">Rossi, R., Socci, V., Talevi, D., Mensi, S., Niolu, C., Pacitti, F., … Di Lorenzo, G. (2020). COVID-19 pandemic and lockdown measures impact on mental health among the general population in Italy. </w:t>
      </w:r>
      <w:r w:rsidRPr="00945ACC">
        <w:rPr>
          <w:i/>
          <w:iCs/>
          <w:noProof/>
          <w:color w:val="000000" w:themeColor="text1"/>
        </w:rPr>
        <w:t>Frontiers in Psychiatry</w:t>
      </w:r>
      <w:r w:rsidRPr="00945ACC">
        <w:rPr>
          <w:noProof/>
          <w:color w:val="000000" w:themeColor="text1"/>
        </w:rPr>
        <w:t xml:space="preserve">, </w:t>
      </w:r>
      <w:r w:rsidRPr="00945ACC">
        <w:rPr>
          <w:i/>
          <w:iCs/>
          <w:noProof/>
          <w:color w:val="000000" w:themeColor="text1"/>
        </w:rPr>
        <w:t>11</w:t>
      </w:r>
      <w:r w:rsidRPr="00945ACC">
        <w:rPr>
          <w:noProof/>
          <w:color w:val="000000" w:themeColor="text1"/>
        </w:rPr>
        <w:t>, 790.</w:t>
      </w:r>
    </w:p>
    <w:p w14:paraId="53876CBD" w14:textId="77777777" w:rsidR="004A155E" w:rsidRPr="00945ACC" w:rsidRDefault="004A155E" w:rsidP="004A155E">
      <w:pPr>
        <w:widowControl w:val="0"/>
        <w:autoSpaceDE w:val="0"/>
        <w:autoSpaceDN w:val="0"/>
        <w:adjustRightInd w:val="0"/>
        <w:ind w:left="480" w:hanging="480"/>
        <w:rPr>
          <w:noProof/>
          <w:color w:val="000000" w:themeColor="text1"/>
        </w:rPr>
      </w:pPr>
      <w:r w:rsidRPr="00945ACC">
        <w:rPr>
          <w:noProof/>
          <w:color w:val="000000" w:themeColor="text1"/>
        </w:rPr>
        <w:t xml:space="preserve">Salari, N., Hosseinian-Far, A., Jalali, R., Vaisi-Raygani, A., Rasoulpoor, S., Mohammadi, M., … Khaledi-Paveh, B. (2020). Prevalence of stress, anxiety, depression among the general population during the COVID-19 pandemic: a systematic review and meta-analysis. </w:t>
      </w:r>
      <w:r w:rsidRPr="00945ACC">
        <w:rPr>
          <w:i/>
          <w:iCs/>
          <w:noProof/>
          <w:color w:val="000000" w:themeColor="text1"/>
        </w:rPr>
        <w:t>Globalization and Health</w:t>
      </w:r>
      <w:r w:rsidRPr="00945ACC">
        <w:rPr>
          <w:noProof/>
          <w:color w:val="000000" w:themeColor="text1"/>
        </w:rPr>
        <w:t xml:space="preserve">, </w:t>
      </w:r>
      <w:r w:rsidRPr="00945ACC">
        <w:rPr>
          <w:i/>
          <w:iCs/>
          <w:noProof/>
          <w:color w:val="000000" w:themeColor="text1"/>
        </w:rPr>
        <w:t>16</w:t>
      </w:r>
      <w:r w:rsidRPr="00945ACC">
        <w:rPr>
          <w:noProof/>
          <w:color w:val="000000" w:themeColor="text1"/>
        </w:rPr>
        <w:t>(1), 1–11.</w:t>
      </w:r>
    </w:p>
    <w:p w14:paraId="0D63819B" w14:textId="77777777" w:rsidR="004A155E" w:rsidRPr="00945ACC" w:rsidRDefault="004A155E" w:rsidP="004A155E">
      <w:pPr>
        <w:widowControl w:val="0"/>
        <w:autoSpaceDE w:val="0"/>
        <w:autoSpaceDN w:val="0"/>
        <w:adjustRightInd w:val="0"/>
        <w:ind w:left="480" w:hanging="480"/>
        <w:rPr>
          <w:noProof/>
          <w:color w:val="000000" w:themeColor="text1"/>
        </w:rPr>
      </w:pPr>
      <w:r w:rsidRPr="00945ACC">
        <w:rPr>
          <w:noProof/>
          <w:color w:val="000000" w:themeColor="text1"/>
        </w:rPr>
        <w:t xml:space="preserve">Scarmozzino, F., &amp; Visioli, F. (2020). Covid-19 and the Subsequent Lockdown Modified Dietary </w:t>
      </w:r>
      <w:r w:rsidRPr="00945ACC">
        <w:rPr>
          <w:noProof/>
          <w:color w:val="000000" w:themeColor="text1"/>
        </w:rPr>
        <w:lastRenderedPageBreak/>
        <w:t xml:space="preserve">Habits of Almost Half the Population in an Italian Sample. </w:t>
      </w:r>
      <w:r w:rsidRPr="00945ACC">
        <w:rPr>
          <w:i/>
          <w:iCs/>
          <w:noProof/>
          <w:color w:val="000000" w:themeColor="text1"/>
        </w:rPr>
        <w:t>Foods</w:t>
      </w:r>
      <w:r w:rsidRPr="00945ACC">
        <w:rPr>
          <w:noProof/>
          <w:color w:val="000000" w:themeColor="text1"/>
        </w:rPr>
        <w:t xml:space="preserve">, </w:t>
      </w:r>
      <w:r w:rsidRPr="00945ACC">
        <w:rPr>
          <w:i/>
          <w:iCs/>
          <w:noProof/>
          <w:color w:val="000000" w:themeColor="text1"/>
        </w:rPr>
        <w:t>9</w:t>
      </w:r>
      <w:r w:rsidRPr="00945ACC">
        <w:rPr>
          <w:noProof/>
          <w:color w:val="000000" w:themeColor="text1"/>
        </w:rPr>
        <w:t>(5), 675. https://doi.org/10.3390/foods9050675</w:t>
      </w:r>
    </w:p>
    <w:p w14:paraId="3D6FBCD9" w14:textId="77777777" w:rsidR="004A155E" w:rsidRPr="00945ACC" w:rsidRDefault="004A155E" w:rsidP="004A155E">
      <w:pPr>
        <w:widowControl w:val="0"/>
        <w:autoSpaceDE w:val="0"/>
        <w:autoSpaceDN w:val="0"/>
        <w:adjustRightInd w:val="0"/>
        <w:ind w:left="480" w:hanging="480"/>
        <w:rPr>
          <w:noProof/>
          <w:color w:val="000000" w:themeColor="text1"/>
        </w:rPr>
      </w:pPr>
      <w:r w:rsidRPr="00945ACC">
        <w:rPr>
          <w:noProof/>
          <w:color w:val="000000" w:themeColor="text1"/>
        </w:rPr>
        <w:t xml:space="preserve">Scharmer, C., Martinez, K., Gorrell, S., Reilly, E. E., Donahue, J. M., &amp; Anderson, D. A. (2020). Eating disorder pathology and compulsive exercise during the COVID‐19 public health emergency: Examining risk associated with COVID‐19 anxiety and intolerance of uncertainty. </w:t>
      </w:r>
      <w:r w:rsidRPr="00945ACC">
        <w:rPr>
          <w:i/>
          <w:iCs/>
          <w:noProof/>
          <w:color w:val="000000" w:themeColor="text1"/>
        </w:rPr>
        <w:t>International Journal of Eating Disorders</w:t>
      </w:r>
      <w:r w:rsidRPr="00945ACC">
        <w:rPr>
          <w:noProof/>
          <w:color w:val="000000" w:themeColor="text1"/>
        </w:rPr>
        <w:t>.</w:t>
      </w:r>
    </w:p>
    <w:p w14:paraId="02ACAAC0" w14:textId="77777777" w:rsidR="004A155E" w:rsidRPr="00945ACC" w:rsidRDefault="004A155E" w:rsidP="004A155E">
      <w:pPr>
        <w:widowControl w:val="0"/>
        <w:autoSpaceDE w:val="0"/>
        <w:autoSpaceDN w:val="0"/>
        <w:adjustRightInd w:val="0"/>
        <w:ind w:left="480" w:hanging="480"/>
        <w:rPr>
          <w:noProof/>
          <w:color w:val="000000" w:themeColor="text1"/>
        </w:rPr>
      </w:pPr>
      <w:r w:rsidRPr="00945ACC">
        <w:rPr>
          <w:noProof/>
          <w:color w:val="000000" w:themeColor="text1"/>
        </w:rPr>
        <w:t xml:space="preserve">Schneider, K. L., Appelhans, B. M., Whited, M. C., Oleski, J., &amp; Pagoto, S. L. (2010). Trait anxiety, but not trait anger, predisposes obese individuals to emotional eating. </w:t>
      </w:r>
      <w:r w:rsidRPr="00945ACC">
        <w:rPr>
          <w:i/>
          <w:iCs/>
          <w:noProof/>
          <w:color w:val="000000" w:themeColor="text1"/>
        </w:rPr>
        <w:t>Appetite</w:t>
      </w:r>
      <w:r w:rsidRPr="00945ACC">
        <w:rPr>
          <w:noProof/>
          <w:color w:val="000000" w:themeColor="text1"/>
        </w:rPr>
        <w:t xml:space="preserve">, </w:t>
      </w:r>
      <w:r w:rsidRPr="00945ACC">
        <w:rPr>
          <w:i/>
          <w:iCs/>
          <w:noProof/>
          <w:color w:val="000000" w:themeColor="text1"/>
        </w:rPr>
        <w:t>55</w:t>
      </w:r>
      <w:r w:rsidRPr="00945ACC">
        <w:rPr>
          <w:noProof/>
          <w:color w:val="000000" w:themeColor="text1"/>
        </w:rPr>
        <w:t>(3), 701–706. https://doi.org/10.1016/j.appet.2010.10.006</w:t>
      </w:r>
    </w:p>
    <w:p w14:paraId="351F3A07" w14:textId="77777777" w:rsidR="004A155E" w:rsidRPr="00945ACC" w:rsidRDefault="004A155E" w:rsidP="004A155E">
      <w:pPr>
        <w:widowControl w:val="0"/>
        <w:autoSpaceDE w:val="0"/>
        <w:autoSpaceDN w:val="0"/>
        <w:adjustRightInd w:val="0"/>
        <w:ind w:left="480" w:hanging="480"/>
        <w:rPr>
          <w:noProof/>
          <w:color w:val="000000" w:themeColor="text1"/>
        </w:rPr>
      </w:pPr>
      <w:r w:rsidRPr="00945ACC">
        <w:rPr>
          <w:noProof/>
          <w:color w:val="000000" w:themeColor="text1"/>
        </w:rPr>
        <w:t xml:space="preserve">Schulz, S., &amp; Laessle, R. G. (2010). Associations of negative affect and eating behaviour in obese women with and without binge eating disorder. </w:t>
      </w:r>
      <w:r w:rsidRPr="00945ACC">
        <w:rPr>
          <w:i/>
          <w:iCs/>
          <w:noProof/>
          <w:color w:val="000000" w:themeColor="text1"/>
        </w:rPr>
        <w:t>Eating and Weight Disorders - Studies on Anorexia, Bulimia and Obesity</w:t>
      </w:r>
      <w:r w:rsidRPr="00945ACC">
        <w:rPr>
          <w:noProof/>
          <w:color w:val="000000" w:themeColor="text1"/>
        </w:rPr>
        <w:t xml:space="preserve">, </w:t>
      </w:r>
      <w:r w:rsidRPr="00945ACC">
        <w:rPr>
          <w:i/>
          <w:iCs/>
          <w:noProof/>
          <w:color w:val="000000" w:themeColor="text1"/>
        </w:rPr>
        <w:t>15</w:t>
      </w:r>
      <w:r w:rsidRPr="00945ACC">
        <w:rPr>
          <w:noProof/>
          <w:color w:val="000000" w:themeColor="text1"/>
        </w:rPr>
        <w:t>(4), e287–e293. https://doi.org/10.1007/BF03325311</w:t>
      </w:r>
    </w:p>
    <w:p w14:paraId="0A01F3D1" w14:textId="77777777" w:rsidR="004A155E" w:rsidRPr="00945ACC" w:rsidRDefault="004A155E" w:rsidP="004A155E">
      <w:pPr>
        <w:widowControl w:val="0"/>
        <w:autoSpaceDE w:val="0"/>
        <w:autoSpaceDN w:val="0"/>
        <w:adjustRightInd w:val="0"/>
        <w:ind w:left="480" w:hanging="480"/>
        <w:rPr>
          <w:noProof/>
          <w:color w:val="000000" w:themeColor="text1"/>
        </w:rPr>
      </w:pPr>
      <w:r w:rsidRPr="00945ACC">
        <w:rPr>
          <w:noProof/>
          <w:color w:val="000000" w:themeColor="text1"/>
        </w:rPr>
        <w:t xml:space="preserve">Shankman, S. A., Funkhouser, C. J., Klein, D. N., Davila, J., Lerner, D., &amp; Hee, D. (2018). Reliability and validity of severity dimensions of psychopathology assessed using the Structured Clinical Interview for DSM‐5 (SCID). </w:t>
      </w:r>
      <w:r w:rsidRPr="00945ACC">
        <w:rPr>
          <w:i/>
          <w:iCs/>
          <w:noProof/>
          <w:color w:val="000000" w:themeColor="text1"/>
        </w:rPr>
        <w:t>International Journal of Methods in Psychiatric Research</w:t>
      </w:r>
      <w:r w:rsidRPr="00945ACC">
        <w:rPr>
          <w:noProof/>
          <w:color w:val="000000" w:themeColor="text1"/>
        </w:rPr>
        <w:t xml:space="preserve">, </w:t>
      </w:r>
      <w:r w:rsidRPr="00945ACC">
        <w:rPr>
          <w:i/>
          <w:iCs/>
          <w:noProof/>
          <w:color w:val="000000" w:themeColor="text1"/>
        </w:rPr>
        <w:t>27</w:t>
      </w:r>
      <w:r w:rsidRPr="00945ACC">
        <w:rPr>
          <w:noProof/>
          <w:color w:val="000000" w:themeColor="text1"/>
        </w:rPr>
        <w:t>(1), e1590.</w:t>
      </w:r>
    </w:p>
    <w:p w14:paraId="07F3582B" w14:textId="77777777" w:rsidR="004A155E" w:rsidRPr="00945ACC" w:rsidRDefault="004A155E" w:rsidP="004A155E">
      <w:pPr>
        <w:widowControl w:val="0"/>
        <w:autoSpaceDE w:val="0"/>
        <w:autoSpaceDN w:val="0"/>
        <w:adjustRightInd w:val="0"/>
        <w:ind w:left="480" w:hanging="480"/>
        <w:rPr>
          <w:noProof/>
          <w:color w:val="000000" w:themeColor="text1"/>
        </w:rPr>
      </w:pPr>
      <w:r w:rsidRPr="00945ACC">
        <w:rPr>
          <w:noProof/>
          <w:color w:val="000000" w:themeColor="text1"/>
        </w:rPr>
        <w:t xml:space="preserve">Sifneos, P. E. (1973). The Prevalence of ‘Alexithymic’ Characteristics in Psychosomatic Patients. </w:t>
      </w:r>
      <w:r w:rsidRPr="00945ACC">
        <w:rPr>
          <w:i/>
          <w:iCs/>
          <w:noProof/>
          <w:color w:val="000000" w:themeColor="text1"/>
        </w:rPr>
        <w:t>Psychotherapy and Psychosomatics</w:t>
      </w:r>
      <w:r w:rsidRPr="00945ACC">
        <w:rPr>
          <w:noProof/>
          <w:color w:val="000000" w:themeColor="text1"/>
        </w:rPr>
        <w:t xml:space="preserve">, </w:t>
      </w:r>
      <w:r w:rsidRPr="00945ACC">
        <w:rPr>
          <w:i/>
          <w:iCs/>
          <w:noProof/>
          <w:color w:val="000000" w:themeColor="text1"/>
        </w:rPr>
        <w:t>22</w:t>
      </w:r>
      <w:r w:rsidRPr="00945ACC">
        <w:rPr>
          <w:noProof/>
          <w:color w:val="000000" w:themeColor="text1"/>
        </w:rPr>
        <w:t>(2–6), 255–262. https://doi.org/10.1159/000286529</w:t>
      </w:r>
    </w:p>
    <w:p w14:paraId="1D8A28CA" w14:textId="77777777" w:rsidR="004A155E" w:rsidRPr="00945ACC" w:rsidRDefault="004A155E" w:rsidP="004A155E">
      <w:pPr>
        <w:widowControl w:val="0"/>
        <w:autoSpaceDE w:val="0"/>
        <w:autoSpaceDN w:val="0"/>
        <w:adjustRightInd w:val="0"/>
        <w:ind w:left="480" w:hanging="480"/>
        <w:rPr>
          <w:noProof/>
          <w:color w:val="000000" w:themeColor="text1"/>
        </w:rPr>
      </w:pPr>
      <w:r w:rsidRPr="00945ACC">
        <w:rPr>
          <w:noProof/>
          <w:color w:val="000000" w:themeColor="text1"/>
        </w:rPr>
        <w:t xml:space="preserve">Sim, K., Chua, H. C., Vieta, E., &amp; Fernandez, G. (2020). The anatomy of panic buying related to the current COVID-19 pandemic. </w:t>
      </w:r>
      <w:r w:rsidRPr="00945ACC">
        <w:rPr>
          <w:i/>
          <w:iCs/>
          <w:noProof/>
          <w:color w:val="000000" w:themeColor="text1"/>
        </w:rPr>
        <w:t>Psychiatry Research</w:t>
      </w:r>
      <w:r w:rsidRPr="00945ACC">
        <w:rPr>
          <w:noProof/>
          <w:color w:val="000000" w:themeColor="text1"/>
        </w:rPr>
        <w:t xml:space="preserve">, </w:t>
      </w:r>
      <w:r w:rsidRPr="00945ACC">
        <w:rPr>
          <w:i/>
          <w:iCs/>
          <w:noProof/>
          <w:color w:val="000000" w:themeColor="text1"/>
        </w:rPr>
        <w:t>288</w:t>
      </w:r>
      <w:r w:rsidRPr="00945ACC">
        <w:rPr>
          <w:noProof/>
          <w:color w:val="000000" w:themeColor="text1"/>
        </w:rPr>
        <w:t>, 113015. https://doi.org/10.1016/j.psychres.2020.113015</w:t>
      </w:r>
    </w:p>
    <w:p w14:paraId="584B8594" w14:textId="77777777" w:rsidR="004A155E" w:rsidRPr="00945ACC" w:rsidRDefault="004A155E" w:rsidP="004A155E">
      <w:pPr>
        <w:widowControl w:val="0"/>
        <w:autoSpaceDE w:val="0"/>
        <w:autoSpaceDN w:val="0"/>
        <w:adjustRightInd w:val="0"/>
        <w:ind w:left="480" w:hanging="480"/>
        <w:rPr>
          <w:noProof/>
          <w:color w:val="000000" w:themeColor="text1"/>
        </w:rPr>
      </w:pPr>
      <w:r w:rsidRPr="00945ACC">
        <w:rPr>
          <w:noProof/>
          <w:color w:val="000000" w:themeColor="text1"/>
        </w:rPr>
        <w:t xml:space="preserve">Sobal, J., &amp; Stunkard, A. J. (1989). Socioeconomic status and obesity: a review of the literature. </w:t>
      </w:r>
      <w:r w:rsidRPr="00945ACC">
        <w:rPr>
          <w:i/>
          <w:iCs/>
          <w:noProof/>
          <w:color w:val="000000" w:themeColor="text1"/>
        </w:rPr>
        <w:t>Psychological Bulletin</w:t>
      </w:r>
      <w:r w:rsidRPr="00945ACC">
        <w:rPr>
          <w:noProof/>
          <w:color w:val="000000" w:themeColor="text1"/>
        </w:rPr>
        <w:t xml:space="preserve">, </w:t>
      </w:r>
      <w:r w:rsidRPr="00945ACC">
        <w:rPr>
          <w:i/>
          <w:iCs/>
          <w:noProof/>
          <w:color w:val="000000" w:themeColor="text1"/>
        </w:rPr>
        <w:t>105</w:t>
      </w:r>
      <w:r w:rsidRPr="00945ACC">
        <w:rPr>
          <w:noProof/>
          <w:color w:val="000000" w:themeColor="text1"/>
        </w:rPr>
        <w:t>(2), 260.</w:t>
      </w:r>
    </w:p>
    <w:p w14:paraId="64506172" w14:textId="77777777" w:rsidR="004A155E" w:rsidRPr="00945ACC" w:rsidRDefault="004A155E" w:rsidP="004A155E">
      <w:pPr>
        <w:widowControl w:val="0"/>
        <w:autoSpaceDE w:val="0"/>
        <w:autoSpaceDN w:val="0"/>
        <w:adjustRightInd w:val="0"/>
        <w:ind w:left="480" w:hanging="480"/>
        <w:rPr>
          <w:noProof/>
          <w:color w:val="000000" w:themeColor="text1"/>
        </w:rPr>
      </w:pPr>
      <w:r w:rsidRPr="00945ACC">
        <w:rPr>
          <w:noProof/>
          <w:color w:val="000000" w:themeColor="text1"/>
        </w:rPr>
        <w:t xml:space="preserve">Spinosa, J., Christiansen, P., Dickson, J. M., Lorenzetti, V., &amp; Hardman, C. A. (2019). From socioeconomic disadvantage to obesity: the mediating role of psychological distress and emotional eating. </w:t>
      </w:r>
      <w:r w:rsidRPr="00945ACC">
        <w:rPr>
          <w:i/>
          <w:iCs/>
          <w:noProof/>
          <w:color w:val="000000" w:themeColor="text1"/>
        </w:rPr>
        <w:t>Obesity</w:t>
      </w:r>
      <w:r w:rsidRPr="00945ACC">
        <w:rPr>
          <w:noProof/>
          <w:color w:val="000000" w:themeColor="text1"/>
        </w:rPr>
        <w:t xml:space="preserve">, </w:t>
      </w:r>
      <w:r w:rsidRPr="00945ACC">
        <w:rPr>
          <w:i/>
          <w:iCs/>
          <w:noProof/>
          <w:color w:val="000000" w:themeColor="text1"/>
        </w:rPr>
        <w:t>27</w:t>
      </w:r>
      <w:r w:rsidRPr="00945ACC">
        <w:rPr>
          <w:noProof/>
          <w:color w:val="000000" w:themeColor="text1"/>
        </w:rPr>
        <w:t>(4), 559–564.</w:t>
      </w:r>
    </w:p>
    <w:p w14:paraId="7AB734B7" w14:textId="77777777" w:rsidR="004A155E" w:rsidRPr="00945ACC" w:rsidRDefault="004A155E" w:rsidP="004A155E">
      <w:pPr>
        <w:widowControl w:val="0"/>
        <w:autoSpaceDE w:val="0"/>
        <w:autoSpaceDN w:val="0"/>
        <w:adjustRightInd w:val="0"/>
        <w:ind w:left="480" w:hanging="480"/>
        <w:rPr>
          <w:noProof/>
          <w:color w:val="000000" w:themeColor="text1"/>
        </w:rPr>
      </w:pPr>
      <w:r w:rsidRPr="00945ACC">
        <w:rPr>
          <w:noProof/>
          <w:color w:val="000000" w:themeColor="text1"/>
        </w:rPr>
        <w:lastRenderedPageBreak/>
        <w:t>Statista. (2020a). Percentage growth in sales of food products during the coronavirus (COVID-19) outbreak in Italy between February and March 2020, by category. Retrieved November 11, 2020, from https://www.statista.com/statistics/1109965/best-selling-food-products-during-coronavirus-italy/</w:t>
      </w:r>
    </w:p>
    <w:p w14:paraId="616E5CAB" w14:textId="77777777" w:rsidR="004A155E" w:rsidRPr="00945ACC" w:rsidRDefault="004A155E" w:rsidP="004A155E">
      <w:pPr>
        <w:widowControl w:val="0"/>
        <w:autoSpaceDE w:val="0"/>
        <w:autoSpaceDN w:val="0"/>
        <w:adjustRightInd w:val="0"/>
        <w:ind w:left="480" w:hanging="480"/>
        <w:rPr>
          <w:noProof/>
          <w:color w:val="000000" w:themeColor="text1"/>
        </w:rPr>
      </w:pPr>
      <w:r w:rsidRPr="00945ACC">
        <w:rPr>
          <w:noProof/>
          <w:color w:val="000000" w:themeColor="text1"/>
        </w:rPr>
        <w:t>Statista. (2020b). Sales value growth of fresh food products during the coronavirus (COVID-19) outbreak in Italy in 2020. Retrieved November 6, 2020, from https://www.statista.com/statistics/1111159/fresh-food-products-during-the-coronavirus-outbreak-italy/</w:t>
      </w:r>
    </w:p>
    <w:p w14:paraId="61E606A1" w14:textId="77777777" w:rsidR="004A155E" w:rsidRPr="00945ACC" w:rsidRDefault="004A155E" w:rsidP="004A155E">
      <w:pPr>
        <w:widowControl w:val="0"/>
        <w:autoSpaceDE w:val="0"/>
        <w:autoSpaceDN w:val="0"/>
        <w:adjustRightInd w:val="0"/>
        <w:ind w:left="480" w:hanging="480"/>
        <w:rPr>
          <w:noProof/>
          <w:color w:val="000000" w:themeColor="text1"/>
        </w:rPr>
      </w:pPr>
      <w:r w:rsidRPr="00945ACC">
        <w:rPr>
          <w:noProof/>
          <w:color w:val="000000" w:themeColor="text1"/>
        </w:rPr>
        <w:t xml:space="preserve">Talbot, L. S., Maguen, S., Epel, E. S., Metzler, T. J., &amp; Neylan, T. C. (2013). Posttraumatic Stress Disorder Is Associated With Emotional Eating. </w:t>
      </w:r>
      <w:r w:rsidRPr="00945ACC">
        <w:rPr>
          <w:i/>
          <w:iCs/>
          <w:noProof/>
          <w:color w:val="000000" w:themeColor="text1"/>
        </w:rPr>
        <w:t>Journal of Traumatic Stress</w:t>
      </w:r>
      <w:r w:rsidRPr="00945ACC">
        <w:rPr>
          <w:noProof/>
          <w:color w:val="000000" w:themeColor="text1"/>
        </w:rPr>
        <w:t xml:space="preserve">, </w:t>
      </w:r>
      <w:r w:rsidRPr="00945ACC">
        <w:rPr>
          <w:i/>
          <w:iCs/>
          <w:noProof/>
          <w:color w:val="000000" w:themeColor="text1"/>
        </w:rPr>
        <w:t>26</w:t>
      </w:r>
      <w:r w:rsidRPr="00945ACC">
        <w:rPr>
          <w:noProof/>
          <w:color w:val="000000" w:themeColor="text1"/>
        </w:rPr>
        <w:t>(4), 521–525. https://doi.org/10.1002/jts.21824</w:t>
      </w:r>
    </w:p>
    <w:p w14:paraId="509927A7" w14:textId="77777777" w:rsidR="004A155E" w:rsidRPr="00945ACC" w:rsidRDefault="004A155E" w:rsidP="004A155E">
      <w:pPr>
        <w:widowControl w:val="0"/>
        <w:autoSpaceDE w:val="0"/>
        <w:autoSpaceDN w:val="0"/>
        <w:adjustRightInd w:val="0"/>
        <w:ind w:left="480" w:hanging="480"/>
        <w:rPr>
          <w:noProof/>
          <w:color w:val="000000" w:themeColor="text1"/>
        </w:rPr>
      </w:pPr>
      <w:r w:rsidRPr="00945ACC">
        <w:rPr>
          <w:noProof/>
          <w:color w:val="000000" w:themeColor="text1"/>
        </w:rPr>
        <w:t xml:space="preserve">Tan, C. C., &amp; Chow, C. M. (2014). Stress and emotional eating: The mediating role of eating dysregulation. </w:t>
      </w:r>
      <w:r w:rsidRPr="00945ACC">
        <w:rPr>
          <w:i/>
          <w:iCs/>
          <w:noProof/>
          <w:color w:val="000000" w:themeColor="text1"/>
        </w:rPr>
        <w:t>Personality and Individual Differences</w:t>
      </w:r>
      <w:r w:rsidRPr="00945ACC">
        <w:rPr>
          <w:noProof/>
          <w:color w:val="000000" w:themeColor="text1"/>
        </w:rPr>
        <w:t xml:space="preserve">, </w:t>
      </w:r>
      <w:r w:rsidRPr="00945ACC">
        <w:rPr>
          <w:i/>
          <w:iCs/>
          <w:noProof/>
          <w:color w:val="000000" w:themeColor="text1"/>
        </w:rPr>
        <w:t>66</w:t>
      </w:r>
      <w:r w:rsidRPr="00945ACC">
        <w:rPr>
          <w:noProof/>
          <w:color w:val="000000" w:themeColor="text1"/>
        </w:rPr>
        <w:t>, 1–4. https://doi.org/10.1016/j.paid.2014.02.033</w:t>
      </w:r>
    </w:p>
    <w:p w14:paraId="1E93115B" w14:textId="77777777" w:rsidR="004A155E" w:rsidRPr="00945ACC" w:rsidRDefault="004A155E" w:rsidP="004A155E">
      <w:pPr>
        <w:widowControl w:val="0"/>
        <w:autoSpaceDE w:val="0"/>
        <w:autoSpaceDN w:val="0"/>
        <w:adjustRightInd w:val="0"/>
        <w:ind w:left="480" w:hanging="480"/>
        <w:rPr>
          <w:noProof/>
          <w:color w:val="000000" w:themeColor="text1"/>
        </w:rPr>
      </w:pPr>
      <w:r w:rsidRPr="00945ACC">
        <w:rPr>
          <w:noProof/>
          <w:color w:val="000000" w:themeColor="text1"/>
        </w:rPr>
        <w:t xml:space="preserve">Taylor, G. J., Parker, J. D. A., Bagby, R. M., &amp; Bourke, M. P. (1996). Relationships between alexithymia and psychological characteristics associated with eating disorders. </w:t>
      </w:r>
      <w:r w:rsidRPr="00945ACC">
        <w:rPr>
          <w:i/>
          <w:iCs/>
          <w:noProof/>
          <w:color w:val="000000" w:themeColor="text1"/>
        </w:rPr>
        <w:t>Journal of Psychosomatic Research</w:t>
      </w:r>
      <w:r w:rsidRPr="00945ACC">
        <w:rPr>
          <w:noProof/>
          <w:color w:val="000000" w:themeColor="text1"/>
        </w:rPr>
        <w:t xml:space="preserve">, </w:t>
      </w:r>
      <w:r w:rsidRPr="00945ACC">
        <w:rPr>
          <w:i/>
          <w:iCs/>
          <w:noProof/>
          <w:color w:val="000000" w:themeColor="text1"/>
        </w:rPr>
        <w:t>41</w:t>
      </w:r>
      <w:r w:rsidRPr="00945ACC">
        <w:rPr>
          <w:noProof/>
          <w:color w:val="000000" w:themeColor="text1"/>
        </w:rPr>
        <w:t>(6), 561–568.</w:t>
      </w:r>
    </w:p>
    <w:p w14:paraId="0B0D81D1" w14:textId="77777777" w:rsidR="004A155E" w:rsidRPr="00945ACC" w:rsidRDefault="004A155E" w:rsidP="004A155E">
      <w:pPr>
        <w:widowControl w:val="0"/>
        <w:autoSpaceDE w:val="0"/>
        <w:autoSpaceDN w:val="0"/>
        <w:adjustRightInd w:val="0"/>
        <w:ind w:left="480" w:hanging="480"/>
        <w:rPr>
          <w:noProof/>
          <w:color w:val="000000" w:themeColor="text1"/>
        </w:rPr>
      </w:pPr>
      <w:r w:rsidRPr="00945ACC">
        <w:rPr>
          <w:noProof/>
          <w:color w:val="000000" w:themeColor="text1"/>
        </w:rPr>
        <w:t xml:space="preserve">Tchanturia, K., Davies, H., Roberts, M., Harrison, A., Nakazato, M., Schmidt, U., … Morris, R. (2012). Poor Cognitive Flexibility in Eating Disorders: Examining the Evidence using the Wisconsin Card Sorting Task. </w:t>
      </w:r>
      <w:r w:rsidRPr="00945ACC">
        <w:rPr>
          <w:i/>
          <w:iCs/>
          <w:noProof/>
          <w:color w:val="000000" w:themeColor="text1"/>
        </w:rPr>
        <w:t>PLOS ONE</w:t>
      </w:r>
      <w:r w:rsidRPr="00945ACC">
        <w:rPr>
          <w:noProof/>
          <w:color w:val="000000" w:themeColor="text1"/>
        </w:rPr>
        <w:t xml:space="preserve">, </w:t>
      </w:r>
      <w:r w:rsidRPr="00945ACC">
        <w:rPr>
          <w:i/>
          <w:iCs/>
          <w:noProof/>
          <w:color w:val="000000" w:themeColor="text1"/>
        </w:rPr>
        <w:t>7</w:t>
      </w:r>
      <w:r w:rsidRPr="00945ACC">
        <w:rPr>
          <w:noProof/>
          <w:color w:val="000000" w:themeColor="text1"/>
        </w:rPr>
        <w:t>(1), e28331. https://doi.org/10.1371/journal.pone.0028331</w:t>
      </w:r>
    </w:p>
    <w:p w14:paraId="2039D36B" w14:textId="77777777" w:rsidR="004A155E" w:rsidRPr="00945ACC" w:rsidRDefault="004A155E" w:rsidP="004A155E">
      <w:pPr>
        <w:widowControl w:val="0"/>
        <w:autoSpaceDE w:val="0"/>
        <w:autoSpaceDN w:val="0"/>
        <w:adjustRightInd w:val="0"/>
        <w:ind w:left="480" w:hanging="480"/>
        <w:rPr>
          <w:noProof/>
          <w:color w:val="000000" w:themeColor="text1"/>
        </w:rPr>
      </w:pPr>
      <w:r w:rsidRPr="00945ACC">
        <w:rPr>
          <w:noProof/>
          <w:color w:val="000000" w:themeColor="text1"/>
        </w:rPr>
        <w:t xml:space="preserve">Team, R. C. (2017). </w:t>
      </w:r>
      <w:r w:rsidRPr="00945ACC">
        <w:rPr>
          <w:i/>
          <w:iCs/>
          <w:noProof/>
          <w:color w:val="000000" w:themeColor="text1"/>
        </w:rPr>
        <w:t>R: A language and environment for statistical computing</w:t>
      </w:r>
      <w:r w:rsidRPr="00945ACC">
        <w:rPr>
          <w:noProof/>
          <w:color w:val="000000" w:themeColor="text1"/>
        </w:rPr>
        <w:t xml:space="preserve"> (3.4.3). 3.4.3. Retrieved from http://www.r-project.org/</w:t>
      </w:r>
    </w:p>
    <w:p w14:paraId="657074F4" w14:textId="77777777" w:rsidR="004A155E" w:rsidRPr="00945ACC" w:rsidRDefault="004A155E" w:rsidP="004A155E">
      <w:pPr>
        <w:widowControl w:val="0"/>
        <w:autoSpaceDE w:val="0"/>
        <w:autoSpaceDN w:val="0"/>
        <w:adjustRightInd w:val="0"/>
        <w:ind w:left="480" w:hanging="480"/>
        <w:rPr>
          <w:noProof/>
          <w:color w:val="000000" w:themeColor="text1"/>
        </w:rPr>
      </w:pPr>
      <w:r w:rsidRPr="00945ACC">
        <w:rPr>
          <w:noProof/>
          <w:color w:val="000000" w:themeColor="text1"/>
        </w:rPr>
        <w:t xml:space="preserve">Torres, S. J., &amp; Nowson, C. A. (2007). Relationship between stress, eating behavior, and obesity. </w:t>
      </w:r>
      <w:r w:rsidRPr="00945ACC">
        <w:rPr>
          <w:i/>
          <w:iCs/>
          <w:noProof/>
          <w:color w:val="000000" w:themeColor="text1"/>
        </w:rPr>
        <w:t>Nutrition</w:t>
      </w:r>
      <w:r w:rsidRPr="00945ACC">
        <w:rPr>
          <w:noProof/>
          <w:color w:val="000000" w:themeColor="text1"/>
        </w:rPr>
        <w:t xml:space="preserve">, </w:t>
      </w:r>
      <w:r w:rsidRPr="00945ACC">
        <w:rPr>
          <w:i/>
          <w:iCs/>
          <w:noProof/>
          <w:color w:val="000000" w:themeColor="text1"/>
        </w:rPr>
        <w:t>23</w:t>
      </w:r>
      <w:r w:rsidRPr="00945ACC">
        <w:rPr>
          <w:noProof/>
          <w:color w:val="000000" w:themeColor="text1"/>
        </w:rPr>
        <w:t>(11), 887–894. https://doi.org/10.1016/j.nut.2007.08.008</w:t>
      </w:r>
    </w:p>
    <w:p w14:paraId="2643A09D" w14:textId="77777777" w:rsidR="004A155E" w:rsidRPr="00945ACC" w:rsidRDefault="004A155E" w:rsidP="004A155E">
      <w:pPr>
        <w:widowControl w:val="0"/>
        <w:autoSpaceDE w:val="0"/>
        <w:autoSpaceDN w:val="0"/>
        <w:adjustRightInd w:val="0"/>
        <w:ind w:left="480" w:hanging="480"/>
        <w:rPr>
          <w:noProof/>
          <w:color w:val="000000" w:themeColor="text1"/>
        </w:rPr>
      </w:pPr>
      <w:r w:rsidRPr="00945ACC">
        <w:rPr>
          <w:noProof/>
          <w:color w:val="000000" w:themeColor="text1"/>
        </w:rPr>
        <w:t xml:space="preserve">van Strien, T., Frijters, J., Bergers, G. P. a., &amp; Defares, P. B. (1986). The Dutch Eating Behavior Questionnaire (DEBQ) for assessment of restrained, emotional, and external eating behavior. </w:t>
      </w:r>
      <w:r w:rsidRPr="00945ACC">
        <w:rPr>
          <w:i/>
          <w:iCs/>
          <w:noProof/>
          <w:color w:val="000000" w:themeColor="text1"/>
        </w:rPr>
        <w:t xml:space="preserve">{…} </w:t>
      </w:r>
      <w:r w:rsidRPr="00945ACC">
        <w:rPr>
          <w:i/>
          <w:iCs/>
          <w:noProof/>
          <w:color w:val="000000" w:themeColor="text1"/>
        </w:rPr>
        <w:lastRenderedPageBreak/>
        <w:t>Journal of Eating {…}</w:t>
      </w:r>
      <w:r w:rsidRPr="00945ACC">
        <w:rPr>
          <w:noProof/>
          <w:color w:val="000000" w:themeColor="text1"/>
        </w:rPr>
        <w:t xml:space="preserve">, </w:t>
      </w:r>
      <w:r w:rsidRPr="00945ACC">
        <w:rPr>
          <w:i/>
          <w:iCs/>
          <w:noProof/>
          <w:color w:val="000000" w:themeColor="text1"/>
        </w:rPr>
        <w:t>5</w:t>
      </w:r>
      <w:r w:rsidRPr="00945ACC">
        <w:rPr>
          <w:noProof/>
          <w:color w:val="000000" w:themeColor="text1"/>
        </w:rPr>
        <w:t>(2), 295–315. https://doi.org/10.1002/1098-108X(198602)5:2&lt;295::AID-EAT2260050209&gt;3.0.CO;2-T</w:t>
      </w:r>
    </w:p>
    <w:p w14:paraId="0B757710" w14:textId="77777777" w:rsidR="004A155E" w:rsidRPr="00945ACC" w:rsidRDefault="004A155E" w:rsidP="004A155E">
      <w:pPr>
        <w:widowControl w:val="0"/>
        <w:autoSpaceDE w:val="0"/>
        <w:autoSpaceDN w:val="0"/>
        <w:adjustRightInd w:val="0"/>
        <w:ind w:left="480" w:hanging="480"/>
        <w:rPr>
          <w:noProof/>
          <w:color w:val="000000" w:themeColor="text1"/>
        </w:rPr>
      </w:pPr>
      <w:r w:rsidRPr="00945ACC">
        <w:rPr>
          <w:noProof/>
          <w:color w:val="000000" w:themeColor="text1"/>
        </w:rPr>
        <w:t xml:space="preserve">van Strien, T., Herman, C. P., Anschutz, D. J., Engels, R. C. M. E., &amp; de Weerth, C. (2012). Moderation of distress-induced eating by emotional eating scores. </w:t>
      </w:r>
      <w:r w:rsidRPr="00945ACC">
        <w:rPr>
          <w:i/>
          <w:iCs/>
          <w:noProof/>
          <w:color w:val="000000" w:themeColor="text1"/>
        </w:rPr>
        <w:t>Appetite</w:t>
      </w:r>
      <w:r w:rsidRPr="00945ACC">
        <w:rPr>
          <w:noProof/>
          <w:color w:val="000000" w:themeColor="text1"/>
        </w:rPr>
        <w:t xml:space="preserve">, </w:t>
      </w:r>
      <w:r w:rsidRPr="00945ACC">
        <w:rPr>
          <w:i/>
          <w:iCs/>
          <w:noProof/>
          <w:color w:val="000000" w:themeColor="text1"/>
        </w:rPr>
        <w:t>58</w:t>
      </w:r>
      <w:r w:rsidRPr="00945ACC">
        <w:rPr>
          <w:noProof/>
          <w:color w:val="000000" w:themeColor="text1"/>
        </w:rPr>
        <w:t>(1), 277–284. https://doi.org/10.1016/j.appet.2011.10.005</w:t>
      </w:r>
    </w:p>
    <w:p w14:paraId="346553FD" w14:textId="77777777" w:rsidR="004A155E" w:rsidRPr="00945ACC" w:rsidRDefault="004A155E" w:rsidP="004A155E">
      <w:pPr>
        <w:widowControl w:val="0"/>
        <w:autoSpaceDE w:val="0"/>
        <w:autoSpaceDN w:val="0"/>
        <w:adjustRightInd w:val="0"/>
        <w:ind w:left="480" w:hanging="480"/>
        <w:rPr>
          <w:noProof/>
          <w:color w:val="000000" w:themeColor="text1"/>
        </w:rPr>
      </w:pPr>
      <w:r w:rsidRPr="00945ACC">
        <w:rPr>
          <w:noProof/>
          <w:color w:val="000000" w:themeColor="text1"/>
        </w:rPr>
        <w:t xml:space="preserve">Wallis, D. J., &amp; Hetherington, M. M. (2004). Stress and eating: the effects of ego-threat and cognitive demand on food intake in restrained and emotional eaters. </w:t>
      </w:r>
      <w:r w:rsidRPr="00945ACC">
        <w:rPr>
          <w:i/>
          <w:iCs/>
          <w:noProof/>
          <w:color w:val="000000" w:themeColor="text1"/>
        </w:rPr>
        <w:t>Appetite</w:t>
      </w:r>
      <w:r w:rsidRPr="00945ACC">
        <w:rPr>
          <w:noProof/>
          <w:color w:val="000000" w:themeColor="text1"/>
        </w:rPr>
        <w:t xml:space="preserve">, </w:t>
      </w:r>
      <w:r w:rsidRPr="00945ACC">
        <w:rPr>
          <w:i/>
          <w:iCs/>
          <w:noProof/>
          <w:color w:val="000000" w:themeColor="text1"/>
        </w:rPr>
        <w:t>43</w:t>
      </w:r>
      <w:r w:rsidRPr="00945ACC">
        <w:rPr>
          <w:noProof/>
          <w:color w:val="000000" w:themeColor="text1"/>
        </w:rPr>
        <w:t>(1), 39–46. https://doi.org/10.1016/j.appet.2004.02.001</w:t>
      </w:r>
    </w:p>
    <w:p w14:paraId="2E53ED13" w14:textId="77777777" w:rsidR="004A155E" w:rsidRPr="00945ACC" w:rsidRDefault="004A155E" w:rsidP="004A155E">
      <w:pPr>
        <w:widowControl w:val="0"/>
        <w:autoSpaceDE w:val="0"/>
        <w:autoSpaceDN w:val="0"/>
        <w:adjustRightInd w:val="0"/>
        <w:ind w:left="480" w:hanging="480"/>
        <w:rPr>
          <w:noProof/>
          <w:color w:val="000000" w:themeColor="text1"/>
        </w:rPr>
      </w:pPr>
      <w:r w:rsidRPr="00945ACC">
        <w:rPr>
          <w:noProof/>
          <w:color w:val="000000" w:themeColor="text1"/>
        </w:rPr>
        <w:t xml:space="preserve">Ward, A., Ramsay, R., &amp; Treasure, J. (2000). Attachment research in eating disorders. </w:t>
      </w:r>
      <w:r w:rsidRPr="00945ACC">
        <w:rPr>
          <w:i/>
          <w:iCs/>
          <w:noProof/>
          <w:color w:val="000000" w:themeColor="text1"/>
        </w:rPr>
        <w:t>The British Journal of Medical Psychology</w:t>
      </w:r>
      <w:r w:rsidRPr="00945ACC">
        <w:rPr>
          <w:noProof/>
          <w:color w:val="000000" w:themeColor="text1"/>
        </w:rPr>
        <w:t xml:space="preserve">, </w:t>
      </w:r>
      <w:r w:rsidRPr="00945ACC">
        <w:rPr>
          <w:i/>
          <w:iCs/>
          <w:noProof/>
          <w:color w:val="000000" w:themeColor="text1"/>
        </w:rPr>
        <w:t>73 ( Pt 1)</w:t>
      </w:r>
      <w:r w:rsidRPr="00945ACC">
        <w:rPr>
          <w:noProof/>
          <w:color w:val="000000" w:themeColor="text1"/>
        </w:rPr>
        <w:t>, 35–51. https://doi.org/10.1348/000711200160282</w:t>
      </w:r>
    </w:p>
    <w:p w14:paraId="64BAB569" w14:textId="77777777" w:rsidR="004A155E" w:rsidRPr="00945ACC" w:rsidRDefault="004A155E" w:rsidP="004A155E">
      <w:pPr>
        <w:widowControl w:val="0"/>
        <w:autoSpaceDE w:val="0"/>
        <w:autoSpaceDN w:val="0"/>
        <w:adjustRightInd w:val="0"/>
        <w:ind w:left="480" w:hanging="480"/>
        <w:rPr>
          <w:noProof/>
          <w:color w:val="000000" w:themeColor="text1"/>
        </w:rPr>
      </w:pPr>
      <w:r w:rsidRPr="00945ACC">
        <w:rPr>
          <w:noProof/>
          <w:color w:val="000000" w:themeColor="text1"/>
        </w:rPr>
        <w:t xml:space="preserve">World Health Organization. (2018, September 20). </w:t>
      </w:r>
      <w:r w:rsidRPr="00945ACC">
        <w:rPr>
          <w:i/>
          <w:iCs/>
          <w:noProof/>
          <w:color w:val="000000" w:themeColor="text1"/>
        </w:rPr>
        <w:t>Obesity and overweight, Key facts</w:t>
      </w:r>
      <w:r w:rsidRPr="00945ACC">
        <w:rPr>
          <w:noProof/>
          <w:color w:val="000000" w:themeColor="text1"/>
        </w:rPr>
        <w:t>. Retrieved from http://www.who.int/news-room/fact-sheets/detail/obesity-and-overweight</w:t>
      </w:r>
    </w:p>
    <w:p w14:paraId="15CD015C" w14:textId="77777777" w:rsidR="000D1D54" w:rsidRDefault="00475CDB" w:rsidP="00945ACC">
      <w:pPr>
        <w:widowControl w:val="0"/>
        <w:autoSpaceDE w:val="0"/>
        <w:autoSpaceDN w:val="0"/>
        <w:adjustRightInd w:val="0"/>
        <w:ind w:left="480" w:hanging="480"/>
        <w:rPr>
          <w:color w:val="000000" w:themeColor="text1"/>
        </w:rPr>
      </w:pPr>
      <w:r w:rsidRPr="00945ACC">
        <w:rPr>
          <w:color w:val="000000" w:themeColor="text1"/>
        </w:rPr>
        <w:fldChar w:fldCharType="end"/>
      </w:r>
      <w:bookmarkStart w:id="8" w:name="_heading=h.4ox6byxsaw5g" w:colFirst="0" w:colLast="0"/>
      <w:bookmarkEnd w:id="8"/>
    </w:p>
    <w:p w14:paraId="17AFCC53" w14:textId="77777777" w:rsidR="00945ACC" w:rsidRPr="00945ACC" w:rsidRDefault="00945ACC" w:rsidP="00945ACC"/>
    <w:p w14:paraId="3675EA82" w14:textId="24D1B753" w:rsidR="00945ACC" w:rsidRPr="00945ACC" w:rsidRDefault="00945ACC" w:rsidP="00945ACC">
      <w:pPr>
        <w:sectPr w:rsidR="00945ACC" w:rsidRPr="00945ACC">
          <w:pgSz w:w="11900" w:h="16840"/>
          <w:pgMar w:top="1417" w:right="1134" w:bottom="1134" w:left="1134" w:header="708" w:footer="708" w:gutter="0"/>
          <w:cols w:space="720" w:equalWidth="0">
            <w:col w:w="9972"/>
          </w:cols>
        </w:sectPr>
      </w:pPr>
    </w:p>
    <w:p w14:paraId="34F54EFC" w14:textId="77777777" w:rsidR="005C2127" w:rsidRPr="00945ACC" w:rsidRDefault="005C2127" w:rsidP="005C2127">
      <w:pPr>
        <w:spacing w:line="360" w:lineRule="auto"/>
        <w:jc w:val="both"/>
        <w:rPr>
          <w:b/>
          <w:color w:val="000000" w:themeColor="text1"/>
        </w:rPr>
      </w:pPr>
    </w:p>
    <w:p w14:paraId="250B83A8" w14:textId="77777777" w:rsidR="005C2127" w:rsidRPr="00945ACC" w:rsidRDefault="005C2127" w:rsidP="005C2127">
      <w:pPr>
        <w:spacing w:line="360" w:lineRule="auto"/>
        <w:jc w:val="both"/>
        <w:rPr>
          <w:b/>
          <w:color w:val="000000" w:themeColor="text1"/>
        </w:rPr>
      </w:pPr>
    </w:p>
    <w:p w14:paraId="776F6758" w14:textId="07DCA36B" w:rsidR="005C2127" w:rsidRPr="00945ACC" w:rsidRDefault="005C2127" w:rsidP="006C571E">
      <w:pPr>
        <w:rPr>
          <w:color w:val="000000" w:themeColor="text1"/>
        </w:rPr>
      </w:pPr>
    </w:p>
    <w:sectPr w:rsidR="005C2127" w:rsidRPr="00945ACC">
      <w:pgSz w:w="11900" w:h="16840"/>
      <w:pgMar w:top="1417" w:right="1134" w:bottom="1134" w:left="1134" w:header="708" w:footer="708" w:gutter="0"/>
      <w:cols w:space="720" w:equalWidth="0">
        <w:col w:w="9972"/>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8B1DC6" w14:textId="77777777" w:rsidR="00F74B03" w:rsidRDefault="00F74B03" w:rsidP="005723D7">
      <w:pPr>
        <w:spacing w:line="240" w:lineRule="auto"/>
      </w:pPr>
      <w:r>
        <w:separator/>
      </w:r>
    </w:p>
  </w:endnote>
  <w:endnote w:type="continuationSeparator" w:id="0">
    <w:p w14:paraId="3A221D85" w14:textId="77777777" w:rsidR="00F74B03" w:rsidRDefault="00F74B03" w:rsidP="005723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Georgia">
    <w:altName w:val="﷽﷽﷽﷽﷽﷽﷽﷽"/>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eropagina"/>
      </w:rPr>
      <w:id w:val="1643153044"/>
      <w:docPartObj>
        <w:docPartGallery w:val="Page Numbers (Bottom of Page)"/>
        <w:docPartUnique/>
      </w:docPartObj>
    </w:sdtPr>
    <w:sdtEndPr>
      <w:rPr>
        <w:rStyle w:val="Numeropagina"/>
      </w:rPr>
    </w:sdtEndPr>
    <w:sdtContent>
      <w:p w14:paraId="104BF980" w14:textId="5C1875F0" w:rsidR="006E099C" w:rsidRDefault="006E099C" w:rsidP="00143FB1">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0C396107" w14:textId="77777777" w:rsidR="006E099C" w:rsidRDefault="006E099C" w:rsidP="00143FB1">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eropagina"/>
      </w:rPr>
      <w:id w:val="454302629"/>
      <w:docPartObj>
        <w:docPartGallery w:val="Page Numbers (Bottom of Page)"/>
        <w:docPartUnique/>
      </w:docPartObj>
    </w:sdtPr>
    <w:sdtEndPr>
      <w:rPr>
        <w:rStyle w:val="Numeropagina"/>
      </w:rPr>
    </w:sdtEndPr>
    <w:sdtContent>
      <w:p w14:paraId="7255DEB0" w14:textId="232A2F05" w:rsidR="006E099C" w:rsidRDefault="006E099C" w:rsidP="00CF2710">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separate"/>
        </w:r>
        <w:r w:rsidR="00E83A5D">
          <w:rPr>
            <w:rStyle w:val="Numeropagina"/>
            <w:noProof/>
          </w:rPr>
          <w:t>13</w:t>
        </w:r>
        <w:r>
          <w:rPr>
            <w:rStyle w:val="Numeropagina"/>
          </w:rPr>
          <w:fldChar w:fldCharType="end"/>
        </w:r>
      </w:p>
    </w:sdtContent>
  </w:sdt>
  <w:p w14:paraId="6A5C4F2A" w14:textId="77777777" w:rsidR="006E099C" w:rsidRDefault="006E099C" w:rsidP="00CF2710">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543C7C" w14:textId="77777777" w:rsidR="00F74B03" w:rsidRDefault="00F74B03" w:rsidP="005723D7">
      <w:pPr>
        <w:spacing w:line="240" w:lineRule="auto"/>
      </w:pPr>
      <w:r>
        <w:separator/>
      </w:r>
    </w:p>
  </w:footnote>
  <w:footnote w:type="continuationSeparator" w:id="0">
    <w:p w14:paraId="130012BA" w14:textId="77777777" w:rsidR="00F74B03" w:rsidRDefault="00F74B03" w:rsidP="005723D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F1412A8"/>
    <w:multiLevelType w:val="multilevel"/>
    <w:tmpl w:val="F68041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F31734F"/>
    <w:multiLevelType w:val="multilevel"/>
    <w:tmpl w:val="027A41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2DD6CD8"/>
    <w:multiLevelType w:val="multilevel"/>
    <w:tmpl w:val="DC58B694"/>
    <w:lvl w:ilvl="0">
      <w:start w:val="3"/>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3" w15:restartNumberingAfterBreak="0">
    <w:nsid w:val="54AB61F3"/>
    <w:multiLevelType w:val="multilevel"/>
    <w:tmpl w:val="44FCFDFE"/>
    <w:lvl w:ilvl="0">
      <w:start w:val="2"/>
      <w:numFmt w:val="decimal"/>
      <w:lvlText w:val="%1."/>
      <w:lvlJc w:val="left"/>
      <w:pPr>
        <w:ind w:left="360" w:hanging="360"/>
      </w:pPr>
      <w:rPr>
        <w:rFonts w:hint="default"/>
        <w:u w:val="none"/>
      </w:rPr>
    </w:lvl>
    <w:lvl w:ilvl="1">
      <w:start w:val="1"/>
      <w:numFmt w:val="lowerLetter"/>
      <w:lvlText w:val="%2."/>
      <w:lvlJc w:val="left"/>
      <w:pPr>
        <w:ind w:left="1080" w:hanging="360"/>
      </w:pPr>
      <w:rPr>
        <w:rFonts w:hint="default"/>
        <w:u w:val="none"/>
      </w:rPr>
    </w:lvl>
    <w:lvl w:ilvl="2">
      <w:start w:val="1"/>
      <w:numFmt w:val="lowerRoman"/>
      <w:lvlText w:val="%3."/>
      <w:lvlJc w:val="right"/>
      <w:pPr>
        <w:ind w:left="1800" w:hanging="360"/>
      </w:pPr>
      <w:rPr>
        <w:rFonts w:hint="default"/>
        <w:u w:val="none"/>
      </w:rPr>
    </w:lvl>
    <w:lvl w:ilvl="3">
      <w:start w:val="1"/>
      <w:numFmt w:val="decimal"/>
      <w:lvlText w:val="%4."/>
      <w:lvlJc w:val="left"/>
      <w:pPr>
        <w:ind w:left="2520" w:hanging="360"/>
      </w:pPr>
      <w:rPr>
        <w:rFonts w:hint="default"/>
        <w:u w:val="none"/>
      </w:rPr>
    </w:lvl>
    <w:lvl w:ilvl="4">
      <w:start w:val="1"/>
      <w:numFmt w:val="lowerLetter"/>
      <w:lvlText w:val="%5."/>
      <w:lvlJc w:val="left"/>
      <w:pPr>
        <w:ind w:left="3240" w:hanging="360"/>
      </w:pPr>
      <w:rPr>
        <w:rFonts w:hint="default"/>
        <w:u w:val="none"/>
      </w:rPr>
    </w:lvl>
    <w:lvl w:ilvl="5">
      <w:start w:val="1"/>
      <w:numFmt w:val="lowerRoman"/>
      <w:lvlText w:val="%6."/>
      <w:lvlJc w:val="right"/>
      <w:pPr>
        <w:ind w:left="3960" w:hanging="360"/>
      </w:pPr>
      <w:rPr>
        <w:rFonts w:hint="default"/>
        <w:u w:val="none"/>
      </w:rPr>
    </w:lvl>
    <w:lvl w:ilvl="6">
      <w:start w:val="1"/>
      <w:numFmt w:val="decimal"/>
      <w:lvlText w:val="%7."/>
      <w:lvlJc w:val="left"/>
      <w:pPr>
        <w:ind w:left="4680" w:hanging="360"/>
      </w:pPr>
      <w:rPr>
        <w:rFonts w:hint="default"/>
        <w:u w:val="none"/>
      </w:rPr>
    </w:lvl>
    <w:lvl w:ilvl="7">
      <w:start w:val="1"/>
      <w:numFmt w:val="lowerLetter"/>
      <w:lvlText w:val="%8."/>
      <w:lvlJc w:val="left"/>
      <w:pPr>
        <w:ind w:left="5400" w:hanging="360"/>
      </w:pPr>
      <w:rPr>
        <w:rFonts w:hint="default"/>
        <w:u w:val="none"/>
      </w:rPr>
    </w:lvl>
    <w:lvl w:ilvl="8">
      <w:start w:val="1"/>
      <w:numFmt w:val="lowerRoman"/>
      <w:lvlText w:val="%9."/>
      <w:lvlJc w:val="right"/>
      <w:pPr>
        <w:ind w:left="6120" w:hanging="360"/>
      </w:pPr>
      <w:rPr>
        <w:rFonts w:hint="default"/>
        <w:u w:val="none"/>
      </w:rPr>
    </w:lvl>
  </w:abstractNum>
  <w:abstractNum w:abstractNumId="4" w15:restartNumberingAfterBreak="0">
    <w:nsid w:val="618A3009"/>
    <w:multiLevelType w:val="multilevel"/>
    <w:tmpl w:val="7CCE8B40"/>
    <w:lvl w:ilvl="0">
      <w:start w:val="3"/>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hideSpellingErrors/>
  <w:hideGrammaticalErrors/>
  <w:activeWritingStyle w:appName="MSWord" w:lang="it-IT" w:vendorID="64" w:dllVersion="6" w:nlCheck="1" w:checkStyle="0"/>
  <w:activeWritingStyle w:appName="MSWord" w:lang="en-GB" w:vendorID="64" w:dllVersion="6" w:nlCheck="1" w:checkStyle="1"/>
  <w:activeWritingStyle w:appName="MSWord" w:lang="en-GB" w:vendorID="64" w:dllVersion="4096" w:nlCheck="1" w:checkStyle="0"/>
  <w:activeWritingStyle w:appName="MSWord" w:lang="it-IT" w:vendorID="64" w:dllVersion="4096" w:nlCheck="1" w:checkStyle="0"/>
  <w:activeWritingStyle w:appName="MSWord" w:lang="en-US" w:vendorID="64" w:dllVersion="4096" w:nlCheck="1" w:checkStyle="0"/>
  <w:activeWritingStyle w:appName="MSWord" w:lang="en-US" w:vendorID="64" w:dllVersion="6" w:nlCheck="1" w:checkStyle="1"/>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QxNzC1NDQwNTC1sDBT0lEKTi0uzszPAykwqgUA+9BrkCwAAAA="/>
  </w:docVars>
  <w:rsids>
    <w:rsidRoot w:val="00874399"/>
    <w:rsid w:val="00050DA2"/>
    <w:rsid w:val="0009728D"/>
    <w:rsid w:val="000A2A76"/>
    <w:rsid w:val="000B10C2"/>
    <w:rsid w:val="000D1D54"/>
    <w:rsid w:val="000F5A9F"/>
    <w:rsid w:val="00105F70"/>
    <w:rsid w:val="001126CC"/>
    <w:rsid w:val="001173E8"/>
    <w:rsid w:val="001245A3"/>
    <w:rsid w:val="001319BF"/>
    <w:rsid w:val="00136A72"/>
    <w:rsid w:val="00143FB1"/>
    <w:rsid w:val="00175F6C"/>
    <w:rsid w:val="001835A3"/>
    <w:rsid w:val="00190BC1"/>
    <w:rsid w:val="001B1A4F"/>
    <w:rsid w:val="001D2F06"/>
    <w:rsid w:val="00227BA2"/>
    <w:rsid w:val="002616A2"/>
    <w:rsid w:val="00261B23"/>
    <w:rsid w:val="00265186"/>
    <w:rsid w:val="0027353A"/>
    <w:rsid w:val="00284890"/>
    <w:rsid w:val="002D4FBF"/>
    <w:rsid w:val="00332135"/>
    <w:rsid w:val="0034789B"/>
    <w:rsid w:val="00383FD5"/>
    <w:rsid w:val="00391BA6"/>
    <w:rsid w:val="00393E07"/>
    <w:rsid w:val="003C08DB"/>
    <w:rsid w:val="004319CB"/>
    <w:rsid w:val="00457252"/>
    <w:rsid w:val="00475C05"/>
    <w:rsid w:val="00475CDB"/>
    <w:rsid w:val="004833BE"/>
    <w:rsid w:val="0048638A"/>
    <w:rsid w:val="004911D8"/>
    <w:rsid w:val="004A155E"/>
    <w:rsid w:val="004A359B"/>
    <w:rsid w:val="004C1004"/>
    <w:rsid w:val="004C27BD"/>
    <w:rsid w:val="004E3F05"/>
    <w:rsid w:val="0051506D"/>
    <w:rsid w:val="00523DE4"/>
    <w:rsid w:val="00524C4C"/>
    <w:rsid w:val="00537AB0"/>
    <w:rsid w:val="005723D7"/>
    <w:rsid w:val="00592433"/>
    <w:rsid w:val="005C2127"/>
    <w:rsid w:val="005F5697"/>
    <w:rsid w:val="00620D34"/>
    <w:rsid w:val="006C571E"/>
    <w:rsid w:val="006D5B6E"/>
    <w:rsid w:val="006E099C"/>
    <w:rsid w:val="006E1C67"/>
    <w:rsid w:val="007112F6"/>
    <w:rsid w:val="0072084F"/>
    <w:rsid w:val="00730857"/>
    <w:rsid w:val="0074396A"/>
    <w:rsid w:val="0076089A"/>
    <w:rsid w:val="007722E2"/>
    <w:rsid w:val="007A4252"/>
    <w:rsid w:val="007D490D"/>
    <w:rsid w:val="008026B3"/>
    <w:rsid w:val="00803F06"/>
    <w:rsid w:val="008142A1"/>
    <w:rsid w:val="00822333"/>
    <w:rsid w:val="008323FA"/>
    <w:rsid w:val="00844E65"/>
    <w:rsid w:val="00864843"/>
    <w:rsid w:val="00874399"/>
    <w:rsid w:val="008746BF"/>
    <w:rsid w:val="00874A1B"/>
    <w:rsid w:val="00885112"/>
    <w:rsid w:val="008A4AF5"/>
    <w:rsid w:val="008B746C"/>
    <w:rsid w:val="00912DD3"/>
    <w:rsid w:val="009174C7"/>
    <w:rsid w:val="0092001B"/>
    <w:rsid w:val="00945ACC"/>
    <w:rsid w:val="00963E08"/>
    <w:rsid w:val="0097707C"/>
    <w:rsid w:val="0098722C"/>
    <w:rsid w:val="009969F6"/>
    <w:rsid w:val="009A1311"/>
    <w:rsid w:val="009E6C89"/>
    <w:rsid w:val="00A1161C"/>
    <w:rsid w:val="00A325E3"/>
    <w:rsid w:val="00A627CE"/>
    <w:rsid w:val="00AA1B44"/>
    <w:rsid w:val="00AB733D"/>
    <w:rsid w:val="00AC1680"/>
    <w:rsid w:val="00AE208E"/>
    <w:rsid w:val="00B10EBA"/>
    <w:rsid w:val="00B16B40"/>
    <w:rsid w:val="00B210B7"/>
    <w:rsid w:val="00B213A1"/>
    <w:rsid w:val="00B241B8"/>
    <w:rsid w:val="00B32563"/>
    <w:rsid w:val="00B35674"/>
    <w:rsid w:val="00B64BC6"/>
    <w:rsid w:val="00B64EC4"/>
    <w:rsid w:val="00B93887"/>
    <w:rsid w:val="00B95E28"/>
    <w:rsid w:val="00BD7676"/>
    <w:rsid w:val="00BF7996"/>
    <w:rsid w:val="00C02243"/>
    <w:rsid w:val="00C11E80"/>
    <w:rsid w:val="00CA3CD5"/>
    <w:rsid w:val="00CA6F64"/>
    <w:rsid w:val="00CC603E"/>
    <w:rsid w:val="00CC69C2"/>
    <w:rsid w:val="00CF2710"/>
    <w:rsid w:val="00D11CE2"/>
    <w:rsid w:val="00D13313"/>
    <w:rsid w:val="00D30988"/>
    <w:rsid w:val="00D551E7"/>
    <w:rsid w:val="00D56D6B"/>
    <w:rsid w:val="00D93E09"/>
    <w:rsid w:val="00DB6D05"/>
    <w:rsid w:val="00DC7ED4"/>
    <w:rsid w:val="00DE7BFF"/>
    <w:rsid w:val="00E03173"/>
    <w:rsid w:val="00E05666"/>
    <w:rsid w:val="00E57470"/>
    <w:rsid w:val="00E83A5D"/>
    <w:rsid w:val="00EE477B"/>
    <w:rsid w:val="00F142E6"/>
    <w:rsid w:val="00F36275"/>
    <w:rsid w:val="00F44244"/>
    <w:rsid w:val="00F47DD2"/>
    <w:rsid w:val="00F74B03"/>
    <w:rsid w:val="00F831E9"/>
    <w:rsid w:val="00F942DF"/>
    <w:rsid w:val="00FA3F56"/>
    <w:rsid w:val="00FB09B3"/>
    <w:rsid w:val="00FE556C"/>
    <w:rsid w:val="00FE6337"/>
    <w:rsid w:val="00FF7C0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4A23CB"/>
  <w15:docId w15:val="{F3CEFA37-5FC9-D045-83C3-2833057DA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GB" w:eastAsia="it-IT" w:bidi="ar-SA"/>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7F8"/>
  </w:style>
  <w:style w:type="paragraph" w:styleId="Titolo1">
    <w:name w:val="heading 1"/>
    <w:basedOn w:val="Normale"/>
    <w:next w:val="Normale"/>
    <w:link w:val="Titolo1Carattere"/>
    <w:uiPriority w:val="9"/>
    <w:qFormat/>
    <w:rsid w:val="005B67F8"/>
    <w:pPr>
      <w:keepNext/>
      <w:keepLines/>
      <w:spacing w:before="240"/>
      <w:outlineLvl w:val="0"/>
    </w:pPr>
    <w:rPr>
      <w:rFonts w:eastAsiaTheme="majorEastAsia" w:cstheme="majorBidi"/>
      <w:b/>
      <w:color w:val="000000" w:themeColor="text1"/>
      <w:szCs w:val="32"/>
    </w:rPr>
  </w:style>
  <w:style w:type="paragraph" w:styleId="Titolo2">
    <w:name w:val="heading 2"/>
    <w:basedOn w:val="Normale"/>
    <w:next w:val="Normale"/>
    <w:link w:val="Titolo2Carattere"/>
    <w:uiPriority w:val="9"/>
    <w:unhideWhenUsed/>
    <w:qFormat/>
    <w:rsid w:val="004F3D91"/>
    <w:pPr>
      <w:keepNext/>
      <w:keepLines/>
      <w:spacing w:before="40"/>
      <w:outlineLvl w:val="1"/>
    </w:pPr>
    <w:rPr>
      <w:rFonts w:eastAsiaTheme="majorEastAsia" w:cstheme="majorBidi"/>
      <w:b/>
      <w:i/>
      <w:color w:val="000000" w:themeColor="text1"/>
      <w:szCs w:val="26"/>
    </w:rPr>
  </w:style>
  <w:style w:type="paragraph" w:styleId="Titolo3">
    <w:name w:val="heading 3"/>
    <w:basedOn w:val="Normale"/>
    <w:next w:val="Normale"/>
    <w:link w:val="Titolo3Carattere"/>
    <w:uiPriority w:val="9"/>
    <w:unhideWhenUsed/>
    <w:qFormat/>
    <w:rsid w:val="004F3D91"/>
    <w:pPr>
      <w:keepNext/>
      <w:keepLines/>
      <w:spacing w:before="40"/>
      <w:outlineLvl w:val="2"/>
    </w:pPr>
    <w:rPr>
      <w:rFonts w:eastAsiaTheme="majorEastAsia" w:cstheme="majorBidi"/>
      <w:i/>
      <w:color w:val="000000" w:themeColor="text1"/>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olo">
    <w:name w:val="Title"/>
    <w:basedOn w:val="Normale"/>
    <w:next w:val="Normale"/>
    <w:link w:val="TitoloCarattere"/>
    <w:uiPriority w:val="10"/>
    <w:qFormat/>
    <w:rsid w:val="005B67F8"/>
    <w:pPr>
      <w:spacing w:line="360" w:lineRule="auto"/>
      <w:contextualSpacing/>
      <w:jc w:val="center"/>
    </w:pPr>
    <w:rPr>
      <w:rFonts w:eastAsiaTheme="majorEastAsia" w:cstheme="majorBidi"/>
      <w:b/>
      <w:spacing w:val="-10"/>
      <w:kern w:val="28"/>
      <w:sz w:val="36"/>
      <w:szCs w:val="56"/>
    </w:rPr>
  </w:style>
  <w:style w:type="character" w:customStyle="1" w:styleId="TitoloCarattere">
    <w:name w:val="Titolo Carattere"/>
    <w:basedOn w:val="Carpredefinitoparagrafo"/>
    <w:link w:val="Titolo"/>
    <w:uiPriority w:val="10"/>
    <w:rsid w:val="005B67F8"/>
    <w:rPr>
      <w:rFonts w:ascii="Times New Roman" w:eastAsiaTheme="majorEastAsia" w:hAnsi="Times New Roman" w:cstheme="majorBidi"/>
      <w:b/>
      <w:spacing w:val="-10"/>
      <w:kern w:val="28"/>
      <w:sz w:val="36"/>
      <w:szCs w:val="56"/>
      <w:lang w:val="en-GB"/>
    </w:rPr>
  </w:style>
  <w:style w:type="character" w:customStyle="1" w:styleId="Titolo1Carattere">
    <w:name w:val="Titolo 1 Carattere"/>
    <w:basedOn w:val="Carpredefinitoparagrafo"/>
    <w:link w:val="Titolo1"/>
    <w:uiPriority w:val="9"/>
    <w:rsid w:val="005B67F8"/>
    <w:rPr>
      <w:rFonts w:ascii="Times New Roman" w:eastAsiaTheme="majorEastAsia" w:hAnsi="Times New Roman" w:cstheme="majorBidi"/>
      <w:b/>
      <w:color w:val="000000" w:themeColor="text1"/>
      <w:szCs w:val="32"/>
      <w:lang w:val="en-GB"/>
    </w:rPr>
  </w:style>
  <w:style w:type="character" w:customStyle="1" w:styleId="Titolo2Carattere">
    <w:name w:val="Titolo 2 Carattere"/>
    <w:basedOn w:val="Carpredefinitoparagrafo"/>
    <w:link w:val="Titolo2"/>
    <w:uiPriority w:val="9"/>
    <w:rsid w:val="004F3D91"/>
    <w:rPr>
      <w:rFonts w:ascii="Times New Roman" w:eastAsiaTheme="majorEastAsia" w:hAnsi="Times New Roman" w:cstheme="majorBidi"/>
      <w:b/>
      <w:i/>
      <w:color w:val="000000" w:themeColor="text1"/>
      <w:szCs w:val="26"/>
      <w:lang w:val="en-GB"/>
    </w:rPr>
  </w:style>
  <w:style w:type="character" w:styleId="Rimandocommento">
    <w:name w:val="annotation reference"/>
    <w:basedOn w:val="Carpredefinitoparagrafo"/>
    <w:uiPriority w:val="99"/>
    <w:semiHidden/>
    <w:unhideWhenUsed/>
    <w:rsid w:val="00ED5019"/>
    <w:rPr>
      <w:sz w:val="16"/>
      <w:szCs w:val="16"/>
    </w:rPr>
  </w:style>
  <w:style w:type="paragraph" w:styleId="Testocommento">
    <w:name w:val="annotation text"/>
    <w:basedOn w:val="Normale"/>
    <w:link w:val="TestocommentoCarattere"/>
    <w:uiPriority w:val="99"/>
    <w:semiHidden/>
    <w:unhideWhenUsed/>
    <w:rsid w:val="00ED5019"/>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ED5019"/>
    <w:rPr>
      <w:rFonts w:ascii="Times New Roman" w:hAnsi="Times New Roman"/>
      <w:sz w:val="20"/>
      <w:szCs w:val="20"/>
      <w:lang w:val="en-GB"/>
    </w:rPr>
  </w:style>
  <w:style w:type="paragraph" w:styleId="Soggettocommento">
    <w:name w:val="annotation subject"/>
    <w:basedOn w:val="Testocommento"/>
    <w:next w:val="Testocommento"/>
    <w:link w:val="SoggettocommentoCarattere"/>
    <w:uiPriority w:val="99"/>
    <w:semiHidden/>
    <w:unhideWhenUsed/>
    <w:rsid w:val="00ED5019"/>
    <w:rPr>
      <w:b/>
      <w:bCs/>
    </w:rPr>
  </w:style>
  <w:style w:type="character" w:customStyle="1" w:styleId="SoggettocommentoCarattere">
    <w:name w:val="Soggetto commento Carattere"/>
    <w:basedOn w:val="TestocommentoCarattere"/>
    <w:link w:val="Soggettocommento"/>
    <w:uiPriority w:val="99"/>
    <w:semiHidden/>
    <w:rsid w:val="00ED5019"/>
    <w:rPr>
      <w:rFonts w:ascii="Times New Roman" w:hAnsi="Times New Roman"/>
      <w:b/>
      <w:bCs/>
      <w:sz w:val="20"/>
      <w:szCs w:val="20"/>
      <w:lang w:val="en-GB"/>
    </w:rPr>
  </w:style>
  <w:style w:type="paragraph" w:styleId="Testofumetto">
    <w:name w:val="Balloon Text"/>
    <w:basedOn w:val="Normale"/>
    <w:link w:val="TestofumettoCarattere"/>
    <w:uiPriority w:val="99"/>
    <w:semiHidden/>
    <w:unhideWhenUsed/>
    <w:rsid w:val="00ED5019"/>
    <w:pPr>
      <w:spacing w:line="240" w:lineRule="auto"/>
    </w:pPr>
    <w:rPr>
      <w:sz w:val="18"/>
      <w:szCs w:val="18"/>
    </w:rPr>
  </w:style>
  <w:style w:type="character" w:customStyle="1" w:styleId="TestofumettoCarattere">
    <w:name w:val="Testo fumetto Carattere"/>
    <w:basedOn w:val="Carpredefinitoparagrafo"/>
    <w:link w:val="Testofumetto"/>
    <w:uiPriority w:val="99"/>
    <w:semiHidden/>
    <w:rsid w:val="00ED5019"/>
    <w:rPr>
      <w:rFonts w:ascii="Times New Roman" w:hAnsi="Times New Roman" w:cs="Times New Roman"/>
      <w:sz w:val="18"/>
      <w:szCs w:val="18"/>
      <w:lang w:val="en-GB"/>
    </w:rPr>
  </w:style>
  <w:style w:type="character" w:customStyle="1" w:styleId="Titolo3Carattere">
    <w:name w:val="Titolo 3 Carattere"/>
    <w:basedOn w:val="Carpredefinitoparagrafo"/>
    <w:link w:val="Titolo3"/>
    <w:uiPriority w:val="9"/>
    <w:rsid w:val="004F3D91"/>
    <w:rPr>
      <w:rFonts w:ascii="Times New Roman" w:eastAsiaTheme="majorEastAsia" w:hAnsi="Times New Roman" w:cstheme="majorBidi"/>
      <w:i/>
      <w:color w:val="000000" w:themeColor="text1"/>
      <w:lang w:val="en-GB"/>
    </w:rPr>
  </w:style>
  <w:style w:type="paragraph" w:styleId="Bibliografia">
    <w:name w:val="Bibliography"/>
    <w:basedOn w:val="Normale"/>
    <w:next w:val="Normale"/>
    <w:uiPriority w:val="37"/>
    <w:unhideWhenUsed/>
    <w:rsid w:val="00A34076"/>
  </w:style>
  <w:style w:type="character" w:styleId="Enfasicorsivo">
    <w:name w:val="Emphasis"/>
    <w:basedOn w:val="Carpredefinitoparagrafo"/>
    <w:uiPriority w:val="20"/>
    <w:qFormat/>
    <w:rsid w:val="00A34076"/>
    <w:rPr>
      <w:i/>
      <w:iCs/>
    </w:rPr>
  </w:style>
  <w:style w:type="character" w:styleId="Collegamentoipertestuale">
    <w:name w:val="Hyperlink"/>
    <w:basedOn w:val="Carpredefinitoparagrafo"/>
    <w:uiPriority w:val="99"/>
    <w:unhideWhenUsed/>
    <w:rsid w:val="00A34076"/>
    <w:rPr>
      <w:color w:val="0000FF"/>
      <w:u w:val="single"/>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100" w:type="dxa"/>
        <w:left w:w="100" w:type="dxa"/>
        <w:bottom w:w="100" w:type="dxa"/>
        <w:right w:w="100" w:type="dxa"/>
      </w:tblCellMar>
    </w:tblPr>
  </w:style>
  <w:style w:type="paragraph" w:styleId="Revisione">
    <w:name w:val="Revision"/>
    <w:hidden/>
    <w:uiPriority w:val="99"/>
    <w:semiHidden/>
    <w:rsid w:val="001835A3"/>
    <w:pPr>
      <w:spacing w:line="240" w:lineRule="auto"/>
    </w:pPr>
  </w:style>
  <w:style w:type="character" w:styleId="Numeroriga">
    <w:name w:val="line number"/>
    <w:basedOn w:val="Carpredefinitoparagrafo"/>
    <w:uiPriority w:val="99"/>
    <w:semiHidden/>
    <w:unhideWhenUsed/>
    <w:rsid w:val="00D93E09"/>
  </w:style>
  <w:style w:type="character" w:customStyle="1" w:styleId="Menzionenonrisolta1">
    <w:name w:val="Menzione non risolta1"/>
    <w:basedOn w:val="Carpredefinitoparagrafo"/>
    <w:uiPriority w:val="99"/>
    <w:semiHidden/>
    <w:unhideWhenUsed/>
    <w:rsid w:val="005723D7"/>
    <w:rPr>
      <w:color w:val="605E5C"/>
      <w:shd w:val="clear" w:color="auto" w:fill="E1DFDD"/>
    </w:rPr>
  </w:style>
  <w:style w:type="paragraph" w:styleId="Pidipagina">
    <w:name w:val="footer"/>
    <w:basedOn w:val="Normale"/>
    <w:link w:val="PidipaginaCarattere"/>
    <w:uiPriority w:val="99"/>
    <w:unhideWhenUsed/>
    <w:rsid w:val="005723D7"/>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723D7"/>
  </w:style>
  <w:style w:type="character" w:styleId="Numeropagina">
    <w:name w:val="page number"/>
    <w:basedOn w:val="Carpredefinitoparagrafo"/>
    <w:uiPriority w:val="99"/>
    <w:semiHidden/>
    <w:unhideWhenUsed/>
    <w:rsid w:val="005723D7"/>
  </w:style>
  <w:style w:type="character" w:styleId="Collegamentovisitato">
    <w:name w:val="FollowedHyperlink"/>
    <w:basedOn w:val="Carpredefinitoparagrafo"/>
    <w:uiPriority w:val="99"/>
    <w:semiHidden/>
    <w:unhideWhenUsed/>
    <w:rsid w:val="00393E07"/>
    <w:rPr>
      <w:color w:val="954F72" w:themeColor="followedHyperlink"/>
      <w:u w:val="single"/>
    </w:rPr>
  </w:style>
  <w:style w:type="character" w:customStyle="1" w:styleId="Menzionenonrisolta2">
    <w:name w:val="Menzione non risolta2"/>
    <w:basedOn w:val="Carpredefinitoparagrafo"/>
    <w:uiPriority w:val="99"/>
    <w:semiHidden/>
    <w:unhideWhenUsed/>
    <w:rsid w:val="00383FD5"/>
    <w:rPr>
      <w:color w:val="605E5C"/>
      <w:shd w:val="clear" w:color="auto" w:fill="E1DFDD"/>
    </w:rPr>
  </w:style>
  <w:style w:type="paragraph" w:styleId="Intestazione">
    <w:name w:val="header"/>
    <w:basedOn w:val="Normale"/>
    <w:link w:val="IntestazioneCarattere"/>
    <w:uiPriority w:val="99"/>
    <w:unhideWhenUsed/>
    <w:rsid w:val="00CF2710"/>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CF27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330704">
      <w:bodyDiv w:val="1"/>
      <w:marLeft w:val="0"/>
      <w:marRight w:val="0"/>
      <w:marTop w:val="0"/>
      <w:marBottom w:val="0"/>
      <w:divBdr>
        <w:top w:val="none" w:sz="0" w:space="0" w:color="auto"/>
        <w:left w:val="none" w:sz="0" w:space="0" w:color="auto"/>
        <w:bottom w:val="none" w:sz="0" w:space="0" w:color="auto"/>
        <w:right w:val="none" w:sz="0" w:space="0" w:color="auto"/>
      </w:divBdr>
    </w:div>
    <w:div w:id="146165721">
      <w:bodyDiv w:val="1"/>
      <w:marLeft w:val="0"/>
      <w:marRight w:val="0"/>
      <w:marTop w:val="0"/>
      <w:marBottom w:val="0"/>
      <w:divBdr>
        <w:top w:val="none" w:sz="0" w:space="0" w:color="auto"/>
        <w:left w:val="none" w:sz="0" w:space="0" w:color="auto"/>
        <w:bottom w:val="none" w:sz="0" w:space="0" w:color="auto"/>
        <w:right w:val="none" w:sz="0" w:space="0" w:color="auto"/>
      </w:divBdr>
    </w:div>
    <w:div w:id="385757754">
      <w:bodyDiv w:val="1"/>
      <w:marLeft w:val="0"/>
      <w:marRight w:val="0"/>
      <w:marTop w:val="0"/>
      <w:marBottom w:val="0"/>
      <w:divBdr>
        <w:top w:val="none" w:sz="0" w:space="0" w:color="auto"/>
        <w:left w:val="none" w:sz="0" w:space="0" w:color="auto"/>
        <w:bottom w:val="none" w:sz="0" w:space="0" w:color="auto"/>
        <w:right w:val="none" w:sz="0" w:space="0" w:color="auto"/>
      </w:divBdr>
      <w:divsChild>
        <w:div w:id="136533766">
          <w:marLeft w:val="0"/>
          <w:marRight w:val="0"/>
          <w:marTop w:val="0"/>
          <w:marBottom w:val="0"/>
          <w:divBdr>
            <w:top w:val="none" w:sz="0" w:space="0" w:color="auto"/>
            <w:left w:val="none" w:sz="0" w:space="0" w:color="auto"/>
            <w:bottom w:val="none" w:sz="0" w:space="0" w:color="auto"/>
            <w:right w:val="none" w:sz="0" w:space="0" w:color="auto"/>
          </w:divBdr>
          <w:divsChild>
            <w:div w:id="1088816756">
              <w:marLeft w:val="0"/>
              <w:marRight w:val="0"/>
              <w:marTop w:val="0"/>
              <w:marBottom w:val="0"/>
              <w:divBdr>
                <w:top w:val="none" w:sz="0" w:space="0" w:color="auto"/>
                <w:left w:val="none" w:sz="0" w:space="0" w:color="auto"/>
                <w:bottom w:val="none" w:sz="0" w:space="0" w:color="auto"/>
                <w:right w:val="none" w:sz="0" w:space="0" w:color="auto"/>
              </w:divBdr>
              <w:divsChild>
                <w:div w:id="510097992">
                  <w:marLeft w:val="0"/>
                  <w:marRight w:val="0"/>
                  <w:marTop w:val="0"/>
                  <w:marBottom w:val="0"/>
                  <w:divBdr>
                    <w:top w:val="none" w:sz="0" w:space="0" w:color="auto"/>
                    <w:left w:val="none" w:sz="0" w:space="0" w:color="auto"/>
                    <w:bottom w:val="none" w:sz="0" w:space="0" w:color="auto"/>
                    <w:right w:val="none" w:sz="0" w:space="0" w:color="auto"/>
                  </w:divBdr>
                  <w:divsChild>
                    <w:div w:id="37107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959173">
      <w:bodyDiv w:val="1"/>
      <w:marLeft w:val="0"/>
      <w:marRight w:val="0"/>
      <w:marTop w:val="0"/>
      <w:marBottom w:val="0"/>
      <w:divBdr>
        <w:top w:val="none" w:sz="0" w:space="0" w:color="auto"/>
        <w:left w:val="none" w:sz="0" w:space="0" w:color="auto"/>
        <w:bottom w:val="none" w:sz="0" w:space="0" w:color="auto"/>
        <w:right w:val="none" w:sz="0" w:space="0" w:color="auto"/>
      </w:divBdr>
    </w:div>
    <w:div w:id="1275791886">
      <w:bodyDiv w:val="1"/>
      <w:marLeft w:val="0"/>
      <w:marRight w:val="0"/>
      <w:marTop w:val="0"/>
      <w:marBottom w:val="0"/>
      <w:divBdr>
        <w:top w:val="none" w:sz="0" w:space="0" w:color="auto"/>
        <w:left w:val="none" w:sz="0" w:space="0" w:color="auto"/>
        <w:bottom w:val="none" w:sz="0" w:space="0" w:color="auto"/>
        <w:right w:val="none" w:sz="0" w:space="0" w:color="auto"/>
      </w:divBdr>
    </w:div>
    <w:div w:id="1520195720">
      <w:bodyDiv w:val="1"/>
      <w:marLeft w:val="0"/>
      <w:marRight w:val="0"/>
      <w:marTop w:val="0"/>
      <w:marBottom w:val="0"/>
      <w:divBdr>
        <w:top w:val="none" w:sz="0" w:space="0" w:color="auto"/>
        <w:left w:val="none" w:sz="0" w:space="0" w:color="auto"/>
        <w:bottom w:val="none" w:sz="0" w:space="0" w:color="auto"/>
        <w:right w:val="none" w:sz="0" w:space="0" w:color="auto"/>
      </w:divBdr>
    </w:div>
    <w:div w:id="1738479850">
      <w:bodyDiv w:val="1"/>
      <w:marLeft w:val="0"/>
      <w:marRight w:val="0"/>
      <w:marTop w:val="0"/>
      <w:marBottom w:val="0"/>
      <w:divBdr>
        <w:top w:val="none" w:sz="0" w:space="0" w:color="auto"/>
        <w:left w:val="none" w:sz="0" w:space="0" w:color="auto"/>
        <w:bottom w:val="none" w:sz="0" w:space="0" w:color="auto"/>
        <w:right w:val="none" w:sz="0" w:space="0" w:color="auto"/>
      </w:divBdr>
    </w:div>
    <w:div w:id="2119789736">
      <w:bodyDiv w:val="1"/>
      <w:marLeft w:val="0"/>
      <w:marRight w:val="0"/>
      <w:marTop w:val="0"/>
      <w:marBottom w:val="0"/>
      <w:divBdr>
        <w:top w:val="none" w:sz="0" w:space="0" w:color="auto"/>
        <w:left w:val="none" w:sz="0" w:space="0" w:color="auto"/>
        <w:bottom w:val="none" w:sz="0" w:space="0" w:color="auto"/>
        <w:right w:val="none" w:sz="0" w:space="0" w:color="auto"/>
      </w:divBdr>
      <w:divsChild>
        <w:div w:id="403646273">
          <w:marLeft w:val="0"/>
          <w:marRight w:val="0"/>
          <w:marTop w:val="0"/>
          <w:marBottom w:val="0"/>
          <w:divBdr>
            <w:top w:val="none" w:sz="0" w:space="0" w:color="auto"/>
            <w:left w:val="none" w:sz="0" w:space="0" w:color="auto"/>
            <w:bottom w:val="none" w:sz="0" w:space="0" w:color="auto"/>
            <w:right w:val="none" w:sz="0" w:space="0" w:color="auto"/>
          </w:divBdr>
          <w:divsChild>
            <w:div w:id="848325226">
              <w:marLeft w:val="0"/>
              <w:marRight w:val="0"/>
              <w:marTop w:val="0"/>
              <w:marBottom w:val="0"/>
              <w:divBdr>
                <w:top w:val="none" w:sz="0" w:space="0" w:color="auto"/>
                <w:left w:val="none" w:sz="0" w:space="0" w:color="auto"/>
                <w:bottom w:val="none" w:sz="0" w:space="0" w:color="auto"/>
                <w:right w:val="none" w:sz="0" w:space="0" w:color="auto"/>
              </w:divBdr>
              <w:divsChild>
                <w:div w:id="5531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tiff"/><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tif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tif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hpey2GCoI+aDNsLhOAQpINdYpkQ==">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</go:docsCustomData>
</go:gDocsCustomXmlDataStorage>
</file>

<file path=customXml/itemProps1.xml><?xml version="1.0" encoding="utf-8"?>
<ds:datastoreItem xmlns:ds="http://schemas.openxmlformats.org/officeDocument/2006/customXml" ds:itemID="{BDB8C32A-B876-4664-B6B6-59B58380A6E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30</Pages>
  <Words>34675</Words>
  <Characters>197649</Characters>
  <Application>Microsoft Office Word</Application>
  <DocSecurity>0</DocSecurity>
  <Lines>1647</Lines>
  <Paragraphs>463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231861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Cinzia Cinzia</dc:creator>
  <cp:lastModifiedBy>Cinzia Cinzia</cp:lastModifiedBy>
  <cp:revision>12</cp:revision>
  <dcterms:created xsi:type="dcterms:W3CDTF">2020-12-29T10:13:00Z</dcterms:created>
  <dcterms:modified xsi:type="dcterms:W3CDTF">2020-12-31T09:03:00Z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34a7d677-11aa-3d95-9030-912f9efd92af</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http://www.zotero.org/styles/neuroimage</vt:lpwstr>
  </property>
  <property fmtid="{D5CDD505-2E9C-101B-9397-08002B2CF9AE}" pid="24" name="Mendeley Recent Style Name 9_1">
    <vt:lpwstr>NeuroImage</vt:lpwstr>
  </property>
  <property fmtid="{D5CDD505-2E9C-101B-9397-08002B2CF9AE}" pid="25" name="ZOTERO_PREF_1">
    <vt:lpwstr>&lt;data data-version="3" zotero-version="5.0.88"&gt;&lt;session id="H0407I8J"/&gt;&lt;style id="http://www.zotero.org/styles/apa" locale="en-US" hasBibliography="1" bibliographyStyleHasBeenSet="0"/&gt;&lt;prefs&gt;&lt;pref name="fieldType" value="Field"/&gt;&lt;pref name="automaticJourn</vt:lpwstr>
  </property>
  <property fmtid="{D5CDD505-2E9C-101B-9397-08002B2CF9AE}" pid="26" name="ZOTERO_PREF_2">
    <vt:lpwstr>alAbbreviations" value="true"/&gt;&lt;/prefs&gt;&lt;/data&gt;</vt:lpwstr>
  </property>
</Properties>
</file>