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35FFE" w14:textId="77777777" w:rsidR="00827A93" w:rsidRPr="00687C2D" w:rsidRDefault="00827A93" w:rsidP="00827A93">
      <w:pPr>
        <w:pStyle w:val="Title"/>
        <w:spacing w:after="120"/>
        <w:jc w:val="center"/>
        <w:rPr>
          <w:b/>
          <w:sz w:val="44"/>
          <w:szCs w:val="36"/>
        </w:rPr>
      </w:pPr>
      <w:bookmarkStart w:id="0" w:name="_GoBack"/>
      <w:bookmarkEnd w:id="0"/>
      <w:r w:rsidRPr="00687C2D">
        <w:rPr>
          <w:b/>
          <w:sz w:val="44"/>
          <w:szCs w:val="36"/>
        </w:rPr>
        <w:t>Supplementary Information</w:t>
      </w:r>
    </w:p>
    <w:p w14:paraId="5ABB3D49" w14:textId="77777777" w:rsidR="005A5C1F" w:rsidRDefault="00A66DCD" w:rsidP="00300AAA">
      <w:pPr>
        <w:pStyle w:val="Title"/>
        <w:jc w:val="center"/>
        <w:rPr>
          <w:sz w:val="40"/>
          <w:szCs w:val="37"/>
        </w:rPr>
      </w:pPr>
      <w:r w:rsidRPr="005A5C1F">
        <w:rPr>
          <w:sz w:val="40"/>
          <w:szCs w:val="37"/>
        </w:rPr>
        <w:t>Providing</w:t>
      </w:r>
      <w:r w:rsidR="00195AA2" w:rsidRPr="005A5C1F">
        <w:rPr>
          <w:sz w:val="40"/>
          <w:szCs w:val="37"/>
        </w:rPr>
        <w:t xml:space="preserve"> </w:t>
      </w:r>
      <w:r w:rsidRPr="005A5C1F">
        <w:rPr>
          <w:sz w:val="40"/>
          <w:szCs w:val="37"/>
        </w:rPr>
        <w:t xml:space="preserve">Decent Living </w:t>
      </w:r>
      <w:r w:rsidR="00195AA2" w:rsidRPr="005A5C1F">
        <w:rPr>
          <w:sz w:val="40"/>
          <w:szCs w:val="37"/>
        </w:rPr>
        <w:t>with Minimum Energy:</w:t>
      </w:r>
    </w:p>
    <w:p w14:paraId="006EBDAB" w14:textId="04F8E022" w:rsidR="00182E45" w:rsidRPr="00687C2D" w:rsidRDefault="00195AA2" w:rsidP="00300AAA">
      <w:pPr>
        <w:pStyle w:val="Title"/>
        <w:jc w:val="center"/>
        <w:rPr>
          <w:sz w:val="37"/>
          <w:szCs w:val="37"/>
        </w:rPr>
      </w:pPr>
      <w:r w:rsidRPr="005A5C1F">
        <w:rPr>
          <w:sz w:val="40"/>
          <w:szCs w:val="37"/>
        </w:rPr>
        <w:t>A G</w:t>
      </w:r>
      <w:r w:rsidR="00300AAA" w:rsidRPr="005A5C1F">
        <w:rPr>
          <w:sz w:val="40"/>
          <w:szCs w:val="37"/>
        </w:rPr>
        <w:t xml:space="preserve">lobal </w:t>
      </w:r>
      <w:r w:rsidRPr="005A5C1F">
        <w:rPr>
          <w:sz w:val="40"/>
          <w:szCs w:val="37"/>
        </w:rPr>
        <w:t>S</w:t>
      </w:r>
      <w:r w:rsidR="00300AAA" w:rsidRPr="005A5C1F">
        <w:rPr>
          <w:sz w:val="40"/>
          <w:szCs w:val="37"/>
        </w:rPr>
        <w:t>cenario</w:t>
      </w:r>
    </w:p>
    <w:p w14:paraId="396C77FF" w14:textId="15668099" w:rsidR="002233DA" w:rsidRDefault="002233DA" w:rsidP="00700D18">
      <w:pPr>
        <w:jc w:val="center"/>
      </w:pPr>
    </w:p>
    <w:p w14:paraId="18602661" w14:textId="6C531987" w:rsidR="00700D18" w:rsidRDefault="00700D18" w:rsidP="00700D18">
      <w:pPr>
        <w:jc w:val="center"/>
        <w:rPr>
          <w:i/>
        </w:rPr>
      </w:pPr>
      <w:r w:rsidRPr="00700D18">
        <w:rPr>
          <w:i/>
        </w:rPr>
        <w:t>[</w:t>
      </w:r>
      <w:r>
        <w:rPr>
          <w:i/>
        </w:rPr>
        <w:t>Author details removed for peer review</w:t>
      </w:r>
      <w:r w:rsidRPr="00700D18">
        <w:rPr>
          <w:i/>
        </w:rPr>
        <w:t>]</w:t>
      </w:r>
    </w:p>
    <w:p w14:paraId="4B0749E0" w14:textId="77777777" w:rsidR="00700D18" w:rsidRPr="00700D18" w:rsidRDefault="00700D18" w:rsidP="0030485B">
      <w:pPr>
        <w:pStyle w:val="NoSpacing"/>
      </w:pPr>
    </w:p>
    <w:p w14:paraId="746764FA" w14:textId="5FE047E6" w:rsidR="00FA3C64" w:rsidRDefault="00FA3C64" w:rsidP="009856C8">
      <w:pPr>
        <w:pStyle w:val="Heading1"/>
        <w:spacing w:before="240" w:after="60"/>
      </w:pPr>
      <w:r>
        <w:t>Overview</w:t>
      </w:r>
    </w:p>
    <w:p w14:paraId="107B79F0" w14:textId="6382B6D6" w:rsidR="00BD7454" w:rsidRPr="00500370" w:rsidRDefault="008B7404" w:rsidP="00BD7454">
      <w:r w:rsidRPr="00500370">
        <w:t xml:space="preserve">In Part 1 </w:t>
      </w:r>
      <w:r w:rsidR="00E207BF">
        <w:t>below</w:t>
      </w:r>
      <w:r w:rsidRPr="00500370">
        <w:t xml:space="preserve">, we expand upon the methods of our paper by giving details of data sources, calculations and assumptions made </w:t>
      </w:r>
      <w:r w:rsidR="00E207BF">
        <w:t>while</w:t>
      </w:r>
      <w:r w:rsidRPr="00500370">
        <w:t xml:space="preserve"> building the model. </w:t>
      </w:r>
      <w:r w:rsidR="0083533D" w:rsidRPr="00500370">
        <w:t>In Part 2, we</w:t>
      </w:r>
      <w:r w:rsidR="00BD7454" w:rsidRPr="00500370">
        <w:t xml:space="preserve"> present a </w:t>
      </w:r>
      <w:r w:rsidR="00E207BF">
        <w:t>sensitivity analysis, and</w:t>
      </w:r>
      <w:r w:rsidR="00B03F83">
        <w:t xml:space="preserve"> Part</w:t>
      </w:r>
      <w:r w:rsidR="007B0A7F" w:rsidRPr="00500370">
        <w:t xml:space="preserve"> </w:t>
      </w:r>
      <w:r w:rsidR="00B03F83">
        <w:t xml:space="preserve">3 offers data for </w:t>
      </w:r>
      <w:r w:rsidR="00B03F83" w:rsidRPr="00E207BF">
        <w:rPr>
          <w:i/>
        </w:rPr>
        <w:t>Decent Living Energy</w:t>
      </w:r>
      <w:r w:rsidR="00B03F83">
        <w:t xml:space="preserve"> by consumption category across all countries we study. </w:t>
      </w:r>
      <w:r w:rsidR="00E207BF">
        <w:t>But first</w:t>
      </w:r>
      <w:r w:rsidR="007B0A7F" w:rsidRPr="00500370">
        <w:t xml:space="preserve">, we offer a note on </w:t>
      </w:r>
      <w:r w:rsidR="007B0A7F" w:rsidRPr="00500370">
        <w:rPr>
          <w:i/>
        </w:rPr>
        <w:t>provisioning</w:t>
      </w:r>
      <w:r w:rsidR="0014319F" w:rsidRPr="00500370">
        <w:rPr>
          <w:i/>
        </w:rPr>
        <w:t xml:space="preserve"> and ownership</w:t>
      </w:r>
      <w:r w:rsidR="00E207BF">
        <w:rPr>
          <w:i/>
        </w:rPr>
        <w:t xml:space="preserve">, </w:t>
      </w:r>
      <w:r w:rsidR="00E207BF">
        <w:t xml:space="preserve">and </w:t>
      </w:r>
      <w:r w:rsidR="007B0A7F" w:rsidRPr="00500370">
        <w:t>a high-level comparison between our work and two similar studies.</w:t>
      </w:r>
    </w:p>
    <w:p w14:paraId="4C07376D" w14:textId="771FCA7F" w:rsidR="00A51C8F" w:rsidRPr="00500370" w:rsidRDefault="006D709D" w:rsidP="008B7404">
      <w:r w:rsidRPr="00500370">
        <w:rPr>
          <w:i/>
        </w:rPr>
        <w:t xml:space="preserve">Provisioning </w:t>
      </w:r>
      <w:r w:rsidR="0014319F" w:rsidRPr="00500370">
        <w:rPr>
          <w:i/>
        </w:rPr>
        <w:t>and ownership</w:t>
      </w:r>
      <w:r w:rsidRPr="00500370">
        <w:rPr>
          <w:i/>
        </w:rPr>
        <w:t>:</w:t>
      </w:r>
      <w:r w:rsidRPr="00500370">
        <w:t xml:space="preserve">  </w:t>
      </w:r>
      <w:r w:rsidR="0014319F" w:rsidRPr="00500370">
        <w:t>Decent Living Standards (DLS)</w:t>
      </w:r>
      <w:r w:rsidR="00541E44">
        <w:t xml:space="preserve"> </w:t>
      </w:r>
      <w:r w:rsidR="00054390" w:rsidRPr="00500370">
        <w:t>could, in theory, be provided through a myriad of ways</w:t>
      </w:r>
      <w:r w:rsidR="0014319F" w:rsidRPr="00500370">
        <w:t xml:space="preserve"> </w:t>
      </w:r>
      <w:r w:rsidR="004916FD">
        <w:t>via different</w:t>
      </w:r>
      <w:r w:rsidR="0014319F" w:rsidRPr="00500370">
        <w:t xml:space="preserve"> ownership structures, economic imperatives, material infrastructure</w:t>
      </w:r>
      <w:r w:rsidR="004B7A92" w:rsidRPr="00500370">
        <w:t>s</w:t>
      </w:r>
      <w:r w:rsidR="0014319F" w:rsidRPr="00500370">
        <w:t xml:space="preserve">, cultural norms and individual preferences. </w:t>
      </w:r>
      <w:r w:rsidR="004B7A92" w:rsidRPr="00500370">
        <w:t>As a</w:t>
      </w:r>
      <w:r w:rsidR="004916FD">
        <w:t>n</w:t>
      </w:r>
      <w:r w:rsidR="004B7A92" w:rsidRPr="00500370">
        <w:t xml:space="preserve"> example, w</w:t>
      </w:r>
      <w:r w:rsidR="0014319F" w:rsidRPr="00500370">
        <w:t>ashing machines c</w:t>
      </w:r>
      <w:r w:rsidR="004916FD">
        <w:t>ould be owned by all households</w:t>
      </w:r>
      <w:r w:rsidR="0014319F" w:rsidRPr="00500370">
        <w:t xml:space="preserve"> or accessed through communal facilities</w:t>
      </w:r>
      <w:r w:rsidR="004916FD">
        <w:t>,</w:t>
      </w:r>
      <w:r w:rsidR="004B7A92" w:rsidRPr="00500370">
        <w:t xml:space="preserve"> </w:t>
      </w:r>
      <w:r w:rsidR="004916FD">
        <w:t>with</w:t>
      </w:r>
      <w:r w:rsidR="004B7A92" w:rsidRPr="00500370">
        <w:t xml:space="preserve"> these facilities</w:t>
      </w:r>
      <w:r w:rsidR="00054390" w:rsidRPr="00500370">
        <w:t xml:space="preserve"> themselves collectively or privately owned</w:t>
      </w:r>
      <w:r w:rsidR="0014319F" w:rsidRPr="00500370">
        <w:t xml:space="preserve">. Where necessary, we base our assumptions on present day conditions; in this case, </w:t>
      </w:r>
      <w:r w:rsidR="004916FD" w:rsidRPr="00500370">
        <w:t xml:space="preserve">assuming </w:t>
      </w:r>
      <w:r w:rsidR="0014319F" w:rsidRPr="00500370">
        <w:t xml:space="preserve">a washing machine is owned by each household. </w:t>
      </w:r>
      <w:r w:rsidR="004916FD">
        <w:t>However,</w:t>
      </w:r>
      <w:r w:rsidR="0014319F" w:rsidRPr="00500370">
        <w:t xml:space="preserve"> the </w:t>
      </w:r>
      <w:r w:rsidR="00054390" w:rsidRPr="00500370">
        <w:t>structure of the model</w:t>
      </w:r>
      <w:r w:rsidR="0014319F" w:rsidRPr="00500370">
        <w:t xml:space="preserve"> </w:t>
      </w:r>
      <w:r w:rsidR="00054390" w:rsidRPr="00500370">
        <w:t>does not always require</w:t>
      </w:r>
      <w:r w:rsidR="0014319F" w:rsidRPr="00500370">
        <w:t xml:space="preserve"> such assumptions </w:t>
      </w:r>
      <w:r w:rsidR="00054390" w:rsidRPr="00500370">
        <w:t>to be made</w:t>
      </w:r>
      <w:r w:rsidRPr="00500370">
        <w:t>.</w:t>
      </w:r>
    </w:p>
    <w:p w14:paraId="5F09C0A5" w14:textId="438C9780" w:rsidR="00D746AE" w:rsidRDefault="006E780A" w:rsidP="008B7404">
      <w:r w:rsidRPr="00500370">
        <w:t>Cars for mobility are an illustrative example</w:t>
      </w:r>
      <w:r w:rsidR="00A51C8F" w:rsidRPr="00500370">
        <w:t>.</w:t>
      </w:r>
      <w:r w:rsidRPr="00500370">
        <w:t xml:space="preserve"> The data we use for </w:t>
      </w:r>
      <w:r w:rsidR="0043340F" w:rsidRPr="00500370">
        <w:t xml:space="preserve">the </w:t>
      </w:r>
      <w:r w:rsidRPr="00500370">
        <w:t xml:space="preserve">embodied energy </w:t>
      </w:r>
      <w:r w:rsidR="0043340F" w:rsidRPr="00500370">
        <w:t>of vehicle</w:t>
      </w:r>
      <w:r w:rsidR="00A51C8F" w:rsidRPr="00500370">
        <w:t>s</w:t>
      </w:r>
      <w:r w:rsidR="0043340F" w:rsidRPr="00500370">
        <w:t xml:space="preserve"> </w:t>
      </w:r>
      <w:r w:rsidRPr="00500370">
        <w:t xml:space="preserve">is scaled in MJ/pkm, rather than MJ/vehicle. </w:t>
      </w:r>
      <w:r w:rsidR="0043340F" w:rsidRPr="00500370">
        <w:t xml:space="preserve">This </w:t>
      </w:r>
      <w:r w:rsidR="00A51C8F" w:rsidRPr="00500370">
        <w:t>makes is unnecessary to specify in the model</w:t>
      </w:r>
      <w:r w:rsidR="0043340F" w:rsidRPr="00500370">
        <w:t xml:space="preserve"> w</w:t>
      </w:r>
      <w:r w:rsidRPr="00500370">
        <w:t xml:space="preserve">hether every person owns a vehicle, or whether all vehicles are </w:t>
      </w:r>
      <w:r w:rsidR="004916FD">
        <w:t>accessed</w:t>
      </w:r>
      <w:r w:rsidR="00A51C8F" w:rsidRPr="00500370">
        <w:t xml:space="preserve"> </w:t>
      </w:r>
      <w:r w:rsidR="004916FD">
        <w:t xml:space="preserve">via </w:t>
      </w:r>
      <w:r w:rsidR="00C579A8">
        <w:t>shared ownership</w:t>
      </w:r>
    </w:p>
    <w:p w14:paraId="039CDA34" w14:textId="77777777" w:rsidR="00C579A8" w:rsidRPr="00500370" w:rsidRDefault="00C579A8" w:rsidP="008B7404"/>
    <w:p w14:paraId="22E8A72D" w14:textId="719ABEED" w:rsidR="008B7404" w:rsidRPr="00025416" w:rsidRDefault="00471003" w:rsidP="00C579A8">
      <w:pPr>
        <w:spacing w:before="360" w:after="40"/>
        <w:ind w:left="181" w:hanging="181"/>
        <w:rPr>
          <w:i/>
          <w:iCs/>
          <w:sz w:val="21"/>
          <w:szCs w:val="21"/>
        </w:rPr>
      </w:pPr>
      <w:r>
        <w:rPr>
          <w:b/>
          <w:bCs/>
          <w:iCs/>
          <w:sz w:val="21"/>
          <w:szCs w:val="21"/>
        </w:rPr>
        <w:t>Table S1</w:t>
      </w:r>
      <w:r w:rsidR="00CD320D" w:rsidRPr="00025416">
        <w:rPr>
          <w:b/>
          <w:bCs/>
          <w:iCs/>
          <w:sz w:val="21"/>
          <w:szCs w:val="21"/>
        </w:rPr>
        <w:t>:</w:t>
      </w:r>
      <w:r w:rsidR="00CD320D" w:rsidRPr="00025416">
        <w:rPr>
          <w:i/>
          <w:iCs/>
          <w:sz w:val="21"/>
          <w:szCs w:val="21"/>
        </w:rPr>
        <w:t xml:space="preserve">  </w:t>
      </w:r>
      <w:r w:rsidR="00D746AE" w:rsidRPr="00025416">
        <w:rPr>
          <w:iCs/>
          <w:sz w:val="21"/>
          <w:szCs w:val="21"/>
        </w:rPr>
        <w:t>DLS dimensions and details of the provisioning scale for each material requirement/service.</w:t>
      </w:r>
    </w:p>
    <w:tbl>
      <w:tblPr>
        <w:tblStyle w:val="TableGrid"/>
        <w:tblW w:w="908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0" w:type="dxa"/>
          <w:bottom w:w="14" w:type="dxa"/>
          <w:right w:w="40" w:type="dxa"/>
        </w:tblCellMar>
        <w:tblLook w:val="04A0" w:firstRow="1" w:lastRow="0" w:firstColumn="1" w:lastColumn="0" w:noHBand="0" w:noVBand="1"/>
      </w:tblPr>
      <w:tblGrid>
        <w:gridCol w:w="1133"/>
        <w:gridCol w:w="1872"/>
        <w:gridCol w:w="980"/>
        <w:gridCol w:w="5097"/>
      </w:tblGrid>
      <w:tr w:rsidR="003731CE" w:rsidRPr="005B7ECE" w14:paraId="730A79B5" w14:textId="77777777" w:rsidTr="00906C1A">
        <w:trPr>
          <w:trHeight w:val="79"/>
          <w:jc w:val="right"/>
        </w:trPr>
        <w:tc>
          <w:tcPr>
            <w:tcW w:w="3005" w:type="dxa"/>
            <w:gridSpan w:val="2"/>
            <w:tcBorders>
              <w:right w:val="single" w:sz="4" w:space="0" w:color="auto"/>
            </w:tcBorders>
            <w:shd w:val="clear" w:color="auto" w:fill="D9D9D9" w:themeFill="background1" w:themeFillShade="D9"/>
            <w:vAlign w:val="center"/>
          </w:tcPr>
          <w:p w14:paraId="7411C540" w14:textId="607F9F3A" w:rsidR="003731CE" w:rsidRPr="00006571" w:rsidRDefault="003731CE" w:rsidP="003731CE">
            <w:pPr>
              <w:spacing w:after="0"/>
              <w:rPr>
                <w:b/>
                <w:sz w:val="21"/>
                <w:szCs w:val="21"/>
              </w:rPr>
            </w:pPr>
            <w:r>
              <w:rPr>
                <w:b/>
                <w:sz w:val="21"/>
                <w:szCs w:val="21"/>
              </w:rPr>
              <w:t>DLS dimensions</w:t>
            </w:r>
          </w:p>
        </w:tc>
        <w:tc>
          <w:tcPr>
            <w:tcW w:w="6077" w:type="dxa"/>
            <w:gridSpan w:val="2"/>
            <w:tcBorders>
              <w:left w:val="dashed" w:sz="4" w:space="0" w:color="7F7F7F" w:themeColor="text1" w:themeTint="80"/>
            </w:tcBorders>
            <w:shd w:val="clear" w:color="auto" w:fill="D9D9D9" w:themeFill="background1" w:themeFillShade="D9"/>
            <w:vAlign w:val="center"/>
          </w:tcPr>
          <w:p w14:paraId="4F9945B6" w14:textId="7376EF89" w:rsidR="003731CE" w:rsidRPr="005B7ECE" w:rsidRDefault="003731CE" w:rsidP="0043340F">
            <w:pPr>
              <w:spacing w:after="0"/>
              <w:rPr>
                <w:b/>
                <w:sz w:val="21"/>
                <w:szCs w:val="21"/>
              </w:rPr>
            </w:pPr>
            <w:r w:rsidRPr="005B7ECE">
              <w:rPr>
                <w:b/>
                <w:sz w:val="21"/>
                <w:szCs w:val="21"/>
              </w:rPr>
              <w:t>Provisioning</w:t>
            </w:r>
            <w:r>
              <w:rPr>
                <w:b/>
                <w:sz w:val="21"/>
                <w:szCs w:val="21"/>
              </w:rPr>
              <w:t xml:space="preserve"> </w:t>
            </w:r>
            <w:r w:rsidR="0043340F">
              <w:rPr>
                <w:b/>
                <w:sz w:val="21"/>
                <w:szCs w:val="21"/>
              </w:rPr>
              <w:t>and ownership</w:t>
            </w:r>
          </w:p>
        </w:tc>
      </w:tr>
      <w:tr w:rsidR="003731CE" w14:paraId="0B2C830B" w14:textId="77777777" w:rsidTr="00906C1A">
        <w:trPr>
          <w:jc w:val="right"/>
        </w:trPr>
        <w:tc>
          <w:tcPr>
            <w:tcW w:w="1133" w:type="dxa"/>
            <w:vMerge w:val="restart"/>
            <w:tcBorders>
              <w:top w:val="single" w:sz="4" w:space="0" w:color="auto"/>
              <w:right w:val="dashSmallGap" w:sz="4" w:space="0" w:color="7F7F7F" w:themeColor="text1" w:themeTint="80"/>
            </w:tcBorders>
          </w:tcPr>
          <w:p w14:paraId="73EC018C" w14:textId="77777777" w:rsidR="003731CE" w:rsidRPr="00025416" w:rsidRDefault="003731CE" w:rsidP="003731CE">
            <w:pPr>
              <w:spacing w:after="0"/>
              <w:rPr>
                <w:b/>
                <w:sz w:val="20"/>
                <w:szCs w:val="20"/>
              </w:rPr>
            </w:pPr>
            <w:r w:rsidRPr="00025416">
              <w:rPr>
                <w:b/>
                <w:sz w:val="20"/>
                <w:szCs w:val="20"/>
              </w:rPr>
              <w:t>Nutrition</w:t>
            </w:r>
          </w:p>
        </w:tc>
        <w:tc>
          <w:tcPr>
            <w:tcW w:w="1872" w:type="dxa"/>
            <w:tcBorders>
              <w:top w:val="single" w:sz="4" w:space="0" w:color="auto"/>
              <w:left w:val="dashSmallGap" w:sz="4" w:space="0" w:color="7F7F7F" w:themeColor="text1" w:themeTint="80"/>
              <w:right w:val="single" w:sz="4" w:space="0" w:color="auto"/>
            </w:tcBorders>
            <w:vAlign w:val="center"/>
          </w:tcPr>
          <w:p w14:paraId="40044E2C" w14:textId="77777777" w:rsidR="003731CE" w:rsidRPr="00E751F9" w:rsidRDefault="003731CE" w:rsidP="00E751F9">
            <w:pPr>
              <w:spacing w:after="0"/>
              <w:rPr>
                <w:sz w:val="18"/>
              </w:rPr>
            </w:pPr>
            <w:r w:rsidRPr="00E751F9">
              <w:rPr>
                <w:sz w:val="18"/>
              </w:rPr>
              <w:t>Food</w:t>
            </w:r>
          </w:p>
        </w:tc>
        <w:tc>
          <w:tcPr>
            <w:tcW w:w="980" w:type="dxa"/>
            <w:tcBorders>
              <w:top w:val="single" w:sz="4" w:space="0" w:color="auto"/>
              <w:left w:val="dashed" w:sz="4" w:space="0" w:color="7F7F7F" w:themeColor="text1" w:themeTint="80"/>
            </w:tcBorders>
            <w:vAlign w:val="center"/>
          </w:tcPr>
          <w:p w14:paraId="2DC64821" w14:textId="6D35D0DE" w:rsidR="003731CE" w:rsidRPr="00E751F9" w:rsidRDefault="003731CE" w:rsidP="00E751F9">
            <w:pPr>
              <w:spacing w:after="0"/>
              <w:rPr>
                <w:sz w:val="18"/>
                <w:szCs w:val="18"/>
              </w:rPr>
            </w:pPr>
            <w:r w:rsidRPr="00E751F9">
              <w:rPr>
                <w:sz w:val="18"/>
                <w:szCs w:val="18"/>
              </w:rPr>
              <w:t>Individual</w:t>
            </w:r>
          </w:p>
        </w:tc>
        <w:tc>
          <w:tcPr>
            <w:tcW w:w="5097" w:type="dxa"/>
            <w:tcBorders>
              <w:top w:val="single" w:sz="4" w:space="0" w:color="auto"/>
              <w:left w:val="dashed" w:sz="4" w:space="0" w:color="7F7F7F" w:themeColor="text1" w:themeTint="80"/>
            </w:tcBorders>
            <w:vAlign w:val="center"/>
          </w:tcPr>
          <w:p w14:paraId="2AC9E3DF" w14:textId="0F3267B5" w:rsidR="003731CE" w:rsidRPr="00E751F9" w:rsidRDefault="00CA4CBE" w:rsidP="00906C1A">
            <w:pPr>
              <w:spacing w:after="0"/>
              <w:rPr>
                <w:sz w:val="16"/>
              </w:rPr>
            </w:pPr>
            <w:r>
              <w:rPr>
                <w:sz w:val="16"/>
              </w:rPr>
              <w:t>Food is consumed by individuals</w:t>
            </w:r>
            <w:r w:rsidR="00E751F9" w:rsidRPr="00E751F9">
              <w:rPr>
                <w:sz w:val="16"/>
              </w:rPr>
              <w:t xml:space="preserve"> </w:t>
            </w:r>
            <w:r>
              <w:rPr>
                <w:sz w:val="16"/>
              </w:rPr>
              <w:t>(</w:t>
            </w:r>
            <w:r w:rsidR="00E751F9" w:rsidRPr="00E751F9">
              <w:rPr>
                <w:sz w:val="16"/>
              </w:rPr>
              <w:t xml:space="preserve">but </w:t>
            </w:r>
            <w:r w:rsidR="00906C1A">
              <w:rPr>
                <w:sz w:val="16"/>
              </w:rPr>
              <w:t>it</w:t>
            </w:r>
            <w:r w:rsidR="00E751F9" w:rsidRPr="00E751F9">
              <w:rPr>
                <w:sz w:val="16"/>
              </w:rPr>
              <w:t xml:space="preserve"> could be in collective </w:t>
            </w:r>
            <w:r w:rsidR="00906C1A">
              <w:rPr>
                <w:sz w:val="16"/>
              </w:rPr>
              <w:t>contexts</w:t>
            </w:r>
            <w:r>
              <w:rPr>
                <w:sz w:val="16"/>
              </w:rPr>
              <w:t>)</w:t>
            </w:r>
          </w:p>
        </w:tc>
      </w:tr>
      <w:tr w:rsidR="003731CE" w:rsidRPr="004E6C68" w14:paraId="2312142F" w14:textId="77777777" w:rsidTr="00906C1A">
        <w:trPr>
          <w:jc w:val="right"/>
        </w:trPr>
        <w:tc>
          <w:tcPr>
            <w:tcW w:w="1133" w:type="dxa"/>
            <w:vMerge/>
            <w:tcBorders>
              <w:right w:val="dashSmallGap" w:sz="4" w:space="0" w:color="7F7F7F" w:themeColor="text1" w:themeTint="80"/>
            </w:tcBorders>
          </w:tcPr>
          <w:p w14:paraId="45ABF5B7" w14:textId="77777777" w:rsidR="003731CE" w:rsidRPr="00025416" w:rsidRDefault="003731CE" w:rsidP="003731CE">
            <w:pPr>
              <w:spacing w:after="0"/>
              <w:ind w:left="169"/>
              <w:rPr>
                <w:b/>
                <w:sz w:val="20"/>
                <w:szCs w:val="20"/>
              </w:rPr>
            </w:pPr>
          </w:p>
        </w:tc>
        <w:tc>
          <w:tcPr>
            <w:tcW w:w="1872" w:type="dxa"/>
            <w:tcBorders>
              <w:left w:val="dashSmallGap" w:sz="4" w:space="0" w:color="7F7F7F" w:themeColor="text1" w:themeTint="80"/>
              <w:right w:val="single" w:sz="4" w:space="0" w:color="auto"/>
            </w:tcBorders>
            <w:vAlign w:val="center"/>
          </w:tcPr>
          <w:p w14:paraId="70FE5A93" w14:textId="77777777" w:rsidR="003731CE" w:rsidRPr="00E751F9" w:rsidRDefault="003731CE" w:rsidP="00E751F9">
            <w:pPr>
              <w:spacing w:after="0"/>
              <w:rPr>
                <w:sz w:val="18"/>
              </w:rPr>
            </w:pPr>
            <w:r w:rsidRPr="00E751F9">
              <w:rPr>
                <w:sz w:val="18"/>
              </w:rPr>
              <w:t>Cooking appliances</w:t>
            </w:r>
          </w:p>
        </w:tc>
        <w:tc>
          <w:tcPr>
            <w:tcW w:w="980" w:type="dxa"/>
            <w:tcBorders>
              <w:left w:val="dashed" w:sz="4" w:space="0" w:color="7F7F7F" w:themeColor="text1" w:themeTint="80"/>
            </w:tcBorders>
            <w:vAlign w:val="center"/>
          </w:tcPr>
          <w:p w14:paraId="65E1F4B8" w14:textId="780A697D" w:rsidR="003731CE" w:rsidRPr="00E751F9" w:rsidRDefault="003731CE" w:rsidP="00E751F9">
            <w:pPr>
              <w:spacing w:after="0"/>
              <w:rPr>
                <w:sz w:val="18"/>
                <w:szCs w:val="18"/>
              </w:rPr>
            </w:pPr>
            <w:r w:rsidRPr="00E751F9">
              <w:rPr>
                <w:sz w:val="18"/>
                <w:szCs w:val="18"/>
              </w:rPr>
              <w:t>Household</w:t>
            </w:r>
          </w:p>
        </w:tc>
        <w:tc>
          <w:tcPr>
            <w:tcW w:w="5097" w:type="dxa"/>
            <w:tcBorders>
              <w:left w:val="dashed" w:sz="4" w:space="0" w:color="7F7F7F" w:themeColor="text1" w:themeTint="80"/>
            </w:tcBorders>
            <w:vAlign w:val="center"/>
          </w:tcPr>
          <w:p w14:paraId="28762DC2" w14:textId="363E4830" w:rsidR="003731CE" w:rsidRPr="00E751F9" w:rsidRDefault="00F5635D" w:rsidP="00F5635D">
            <w:pPr>
              <w:spacing w:after="0"/>
              <w:rPr>
                <w:sz w:val="16"/>
              </w:rPr>
            </w:pPr>
            <w:r>
              <w:rPr>
                <w:sz w:val="16"/>
              </w:rPr>
              <w:t>Appliance</w:t>
            </w:r>
            <w:r w:rsidRPr="00E751F9">
              <w:rPr>
                <w:sz w:val="16"/>
              </w:rPr>
              <w:t xml:space="preserve"> ownership at the household level</w:t>
            </w:r>
            <w:r w:rsidR="00E751F9" w:rsidRPr="00E751F9">
              <w:rPr>
                <w:sz w:val="16"/>
              </w:rPr>
              <w:t xml:space="preserve"> </w:t>
            </w:r>
            <w:r w:rsidR="00CA4CBE">
              <w:rPr>
                <w:sz w:val="16"/>
              </w:rPr>
              <w:t>(</w:t>
            </w:r>
            <w:r w:rsidR="00E751F9">
              <w:rPr>
                <w:sz w:val="16"/>
              </w:rPr>
              <w:t xml:space="preserve">but </w:t>
            </w:r>
            <w:r>
              <w:rPr>
                <w:sz w:val="16"/>
              </w:rPr>
              <w:t>eating</w:t>
            </w:r>
            <w:r w:rsidR="00E751F9">
              <w:rPr>
                <w:sz w:val="16"/>
              </w:rPr>
              <w:t xml:space="preserve"> could be </w:t>
            </w:r>
            <w:r w:rsidR="006E780A">
              <w:rPr>
                <w:sz w:val="16"/>
              </w:rPr>
              <w:t>collective</w:t>
            </w:r>
            <w:r w:rsidR="00CA4CBE">
              <w:rPr>
                <w:sz w:val="16"/>
              </w:rPr>
              <w:t>)</w:t>
            </w:r>
          </w:p>
        </w:tc>
      </w:tr>
      <w:tr w:rsidR="003731CE" w14:paraId="33FC4131" w14:textId="77777777" w:rsidTr="00906C1A">
        <w:trPr>
          <w:jc w:val="right"/>
        </w:trPr>
        <w:tc>
          <w:tcPr>
            <w:tcW w:w="1133" w:type="dxa"/>
            <w:vMerge/>
            <w:tcBorders>
              <w:bottom w:val="single" w:sz="4" w:space="0" w:color="auto"/>
              <w:right w:val="dashSmallGap" w:sz="4" w:space="0" w:color="7F7F7F" w:themeColor="text1" w:themeTint="80"/>
            </w:tcBorders>
          </w:tcPr>
          <w:p w14:paraId="079D265F" w14:textId="77777777" w:rsidR="003731CE" w:rsidRPr="00025416" w:rsidRDefault="003731CE" w:rsidP="003731CE">
            <w:pPr>
              <w:spacing w:after="0"/>
              <w:ind w:left="311"/>
              <w:rPr>
                <w:b/>
                <w:sz w:val="20"/>
                <w:szCs w:val="20"/>
              </w:rPr>
            </w:pPr>
          </w:p>
        </w:tc>
        <w:tc>
          <w:tcPr>
            <w:tcW w:w="1872" w:type="dxa"/>
            <w:tcBorders>
              <w:left w:val="dashSmallGap" w:sz="4" w:space="0" w:color="7F7F7F" w:themeColor="text1" w:themeTint="80"/>
              <w:bottom w:val="single" w:sz="4" w:space="0" w:color="auto"/>
              <w:right w:val="single" w:sz="4" w:space="0" w:color="auto"/>
            </w:tcBorders>
            <w:vAlign w:val="center"/>
          </w:tcPr>
          <w:p w14:paraId="32D5AF14" w14:textId="77777777" w:rsidR="003731CE" w:rsidRPr="00E751F9" w:rsidRDefault="003731CE" w:rsidP="00E751F9">
            <w:pPr>
              <w:spacing w:after="0"/>
              <w:rPr>
                <w:sz w:val="18"/>
              </w:rPr>
            </w:pPr>
            <w:r w:rsidRPr="00E751F9">
              <w:rPr>
                <w:sz w:val="18"/>
              </w:rPr>
              <w:t>Cold Storage</w:t>
            </w:r>
          </w:p>
        </w:tc>
        <w:tc>
          <w:tcPr>
            <w:tcW w:w="980" w:type="dxa"/>
            <w:tcBorders>
              <w:left w:val="dashed" w:sz="4" w:space="0" w:color="7F7F7F" w:themeColor="text1" w:themeTint="80"/>
              <w:bottom w:val="single" w:sz="4" w:space="0" w:color="auto"/>
            </w:tcBorders>
            <w:vAlign w:val="center"/>
          </w:tcPr>
          <w:p w14:paraId="67260697" w14:textId="3A00579F" w:rsidR="003731CE" w:rsidRPr="00E751F9" w:rsidRDefault="003731CE" w:rsidP="00E751F9">
            <w:pPr>
              <w:spacing w:after="0"/>
              <w:rPr>
                <w:sz w:val="18"/>
                <w:szCs w:val="18"/>
              </w:rPr>
            </w:pPr>
            <w:r w:rsidRPr="00E751F9">
              <w:rPr>
                <w:sz w:val="18"/>
                <w:szCs w:val="18"/>
              </w:rPr>
              <w:t>Household</w:t>
            </w:r>
          </w:p>
        </w:tc>
        <w:tc>
          <w:tcPr>
            <w:tcW w:w="5097" w:type="dxa"/>
            <w:tcBorders>
              <w:left w:val="dashed" w:sz="4" w:space="0" w:color="7F7F7F" w:themeColor="text1" w:themeTint="80"/>
              <w:bottom w:val="single" w:sz="4" w:space="0" w:color="auto"/>
            </w:tcBorders>
            <w:vAlign w:val="center"/>
          </w:tcPr>
          <w:p w14:paraId="38D7B00A" w14:textId="4EF93CF5" w:rsidR="003731CE" w:rsidRPr="00E751F9" w:rsidRDefault="00E751F9" w:rsidP="00E751F9">
            <w:pPr>
              <w:spacing w:after="0"/>
              <w:rPr>
                <w:sz w:val="16"/>
              </w:rPr>
            </w:pPr>
            <w:r>
              <w:rPr>
                <w:sz w:val="16"/>
              </w:rPr>
              <w:t>Appliance</w:t>
            </w:r>
            <w:r w:rsidRPr="00E751F9">
              <w:rPr>
                <w:sz w:val="16"/>
              </w:rPr>
              <w:t xml:space="preserve"> ownership at the household level</w:t>
            </w:r>
          </w:p>
        </w:tc>
      </w:tr>
      <w:tr w:rsidR="003731CE" w:rsidRPr="004E6C68" w14:paraId="4226BFFF" w14:textId="77777777" w:rsidTr="00906C1A">
        <w:trPr>
          <w:jc w:val="right"/>
        </w:trPr>
        <w:tc>
          <w:tcPr>
            <w:tcW w:w="1133" w:type="dxa"/>
            <w:vMerge w:val="restart"/>
            <w:tcBorders>
              <w:top w:val="single" w:sz="4" w:space="0" w:color="auto"/>
              <w:right w:val="dashSmallGap" w:sz="4" w:space="0" w:color="7F7F7F" w:themeColor="text1" w:themeTint="80"/>
            </w:tcBorders>
            <w:shd w:val="clear" w:color="auto" w:fill="F2F2F2" w:themeFill="background1" w:themeFillShade="F2"/>
          </w:tcPr>
          <w:p w14:paraId="6F5DCAD1" w14:textId="77777777" w:rsidR="003731CE" w:rsidRPr="00025416" w:rsidRDefault="003731CE" w:rsidP="003731CE">
            <w:pPr>
              <w:spacing w:after="0"/>
              <w:rPr>
                <w:b/>
                <w:sz w:val="20"/>
                <w:szCs w:val="20"/>
              </w:rPr>
            </w:pPr>
            <w:r w:rsidRPr="00025416">
              <w:rPr>
                <w:b/>
                <w:sz w:val="20"/>
                <w:szCs w:val="20"/>
              </w:rPr>
              <w:t xml:space="preserve">Shelter </w:t>
            </w:r>
          </w:p>
          <w:p w14:paraId="7C3AA1D8" w14:textId="0190040C" w:rsidR="003731CE" w:rsidRPr="00025416" w:rsidRDefault="003731CE" w:rsidP="003731CE">
            <w:pPr>
              <w:spacing w:after="0"/>
              <w:rPr>
                <w:b/>
                <w:sz w:val="20"/>
                <w:szCs w:val="20"/>
              </w:rPr>
            </w:pPr>
            <w:r w:rsidRPr="00025416">
              <w:rPr>
                <w:b/>
                <w:sz w:val="20"/>
                <w:szCs w:val="20"/>
              </w:rPr>
              <w:t xml:space="preserve"> </w:t>
            </w:r>
            <w:r w:rsidR="00E751F9">
              <w:rPr>
                <w:b/>
                <w:sz w:val="20"/>
                <w:szCs w:val="20"/>
              </w:rPr>
              <w:t>&amp;</w:t>
            </w:r>
            <w:r w:rsidRPr="00025416">
              <w:rPr>
                <w:b/>
                <w:sz w:val="20"/>
                <w:szCs w:val="20"/>
              </w:rPr>
              <w:t xml:space="preserve"> living </w:t>
            </w:r>
          </w:p>
          <w:p w14:paraId="705FC74A" w14:textId="5D540459" w:rsidR="003731CE" w:rsidRPr="00025416" w:rsidRDefault="003731CE" w:rsidP="00E751F9">
            <w:pPr>
              <w:spacing w:after="0"/>
              <w:rPr>
                <w:b/>
                <w:sz w:val="20"/>
                <w:szCs w:val="20"/>
              </w:rPr>
            </w:pPr>
            <w:r w:rsidRPr="00025416">
              <w:rPr>
                <w:b/>
                <w:sz w:val="20"/>
                <w:szCs w:val="20"/>
              </w:rPr>
              <w:t xml:space="preserve">  conditions</w:t>
            </w:r>
          </w:p>
        </w:tc>
        <w:tc>
          <w:tcPr>
            <w:tcW w:w="1872" w:type="dxa"/>
            <w:tcBorders>
              <w:top w:val="single" w:sz="4" w:space="0" w:color="auto"/>
              <w:left w:val="dashSmallGap" w:sz="4" w:space="0" w:color="7F7F7F" w:themeColor="text1" w:themeTint="80"/>
              <w:right w:val="single" w:sz="4" w:space="0" w:color="auto"/>
            </w:tcBorders>
            <w:shd w:val="clear" w:color="auto" w:fill="F2F2F2" w:themeFill="background1" w:themeFillShade="F2"/>
            <w:vAlign w:val="center"/>
          </w:tcPr>
          <w:p w14:paraId="256D4A69" w14:textId="77777777" w:rsidR="003731CE" w:rsidRPr="00E751F9" w:rsidRDefault="003731CE" w:rsidP="00E751F9">
            <w:pPr>
              <w:spacing w:after="0"/>
              <w:rPr>
                <w:sz w:val="18"/>
              </w:rPr>
            </w:pPr>
            <w:r w:rsidRPr="00E751F9">
              <w:rPr>
                <w:sz w:val="18"/>
              </w:rPr>
              <w:t>Sufficient housing space</w:t>
            </w:r>
          </w:p>
        </w:tc>
        <w:tc>
          <w:tcPr>
            <w:tcW w:w="980" w:type="dxa"/>
            <w:tcBorders>
              <w:top w:val="single" w:sz="4" w:space="0" w:color="auto"/>
              <w:left w:val="dashed" w:sz="4" w:space="0" w:color="7F7F7F" w:themeColor="text1" w:themeTint="80"/>
            </w:tcBorders>
            <w:shd w:val="clear" w:color="auto" w:fill="F2F2F2" w:themeFill="background1" w:themeFillShade="F2"/>
            <w:vAlign w:val="center"/>
          </w:tcPr>
          <w:p w14:paraId="5222D1A8" w14:textId="77777777" w:rsidR="003731CE" w:rsidRPr="00E751F9" w:rsidRDefault="003731CE" w:rsidP="00E751F9">
            <w:pPr>
              <w:spacing w:after="0"/>
              <w:rPr>
                <w:sz w:val="18"/>
                <w:szCs w:val="18"/>
              </w:rPr>
            </w:pPr>
            <w:r w:rsidRPr="00E751F9">
              <w:rPr>
                <w:sz w:val="18"/>
                <w:szCs w:val="18"/>
              </w:rPr>
              <w:t>Household</w:t>
            </w:r>
          </w:p>
        </w:tc>
        <w:tc>
          <w:tcPr>
            <w:tcW w:w="5097" w:type="dxa"/>
            <w:tcBorders>
              <w:top w:val="single" w:sz="4" w:space="0" w:color="auto"/>
              <w:left w:val="dashed" w:sz="4" w:space="0" w:color="7F7F7F" w:themeColor="text1" w:themeTint="80"/>
            </w:tcBorders>
            <w:shd w:val="clear" w:color="auto" w:fill="F2F2F2" w:themeFill="background1" w:themeFillShade="F2"/>
            <w:vAlign w:val="center"/>
          </w:tcPr>
          <w:p w14:paraId="1CD1F67F" w14:textId="158E7839" w:rsidR="003731CE" w:rsidRPr="00E751F9" w:rsidRDefault="00544168" w:rsidP="00E751F9">
            <w:pPr>
              <w:spacing w:after="0"/>
              <w:rPr>
                <w:sz w:val="16"/>
              </w:rPr>
            </w:pPr>
            <w:r>
              <w:rPr>
                <w:sz w:val="16"/>
              </w:rPr>
              <w:t>Residential floor space is household level by definition</w:t>
            </w:r>
          </w:p>
        </w:tc>
      </w:tr>
      <w:tr w:rsidR="00544168" w:rsidRPr="007B68D5" w14:paraId="560F6640" w14:textId="77777777" w:rsidTr="00906C1A">
        <w:trPr>
          <w:jc w:val="right"/>
        </w:trPr>
        <w:tc>
          <w:tcPr>
            <w:tcW w:w="1133" w:type="dxa"/>
            <w:vMerge/>
            <w:tcBorders>
              <w:right w:val="dashSmallGap" w:sz="4" w:space="0" w:color="7F7F7F" w:themeColor="text1" w:themeTint="80"/>
            </w:tcBorders>
            <w:shd w:val="clear" w:color="auto" w:fill="F2F2F2" w:themeFill="background1" w:themeFillShade="F2"/>
          </w:tcPr>
          <w:p w14:paraId="63A07413" w14:textId="77777777" w:rsidR="00544168" w:rsidRPr="00025416" w:rsidRDefault="00544168" w:rsidP="003731CE">
            <w:pPr>
              <w:spacing w:after="0"/>
              <w:rPr>
                <w:b/>
                <w:sz w:val="20"/>
                <w:szCs w:val="20"/>
              </w:rPr>
            </w:pPr>
          </w:p>
        </w:tc>
        <w:tc>
          <w:tcPr>
            <w:tcW w:w="1872" w:type="dxa"/>
            <w:tcBorders>
              <w:left w:val="dashSmallGap" w:sz="4" w:space="0" w:color="7F7F7F" w:themeColor="text1" w:themeTint="80"/>
              <w:right w:val="single" w:sz="4" w:space="0" w:color="auto"/>
            </w:tcBorders>
            <w:shd w:val="clear" w:color="auto" w:fill="F2F2F2" w:themeFill="background1" w:themeFillShade="F2"/>
            <w:vAlign w:val="center"/>
          </w:tcPr>
          <w:p w14:paraId="1D91DFF6" w14:textId="77777777" w:rsidR="00544168" w:rsidRPr="00E751F9" w:rsidRDefault="00544168" w:rsidP="00E751F9">
            <w:pPr>
              <w:spacing w:after="0"/>
              <w:rPr>
                <w:sz w:val="18"/>
              </w:rPr>
            </w:pPr>
            <w:r w:rsidRPr="00E751F9">
              <w:rPr>
                <w:sz w:val="18"/>
              </w:rPr>
              <w:t>Thermal comfort</w:t>
            </w:r>
          </w:p>
        </w:tc>
        <w:tc>
          <w:tcPr>
            <w:tcW w:w="980" w:type="dxa"/>
            <w:tcBorders>
              <w:left w:val="dashed" w:sz="4" w:space="0" w:color="7F7F7F" w:themeColor="text1" w:themeTint="80"/>
            </w:tcBorders>
            <w:shd w:val="clear" w:color="auto" w:fill="F2F2F2" w:themeFill="background1" w:themeFillShade="F2"/>
            <w:vAlign w:val="center"/>
          </w:tcPr>
          <w:p w14:paraId="640D30D8" w14:textId="77777777" w:rsidR="00544168" w:rsidRPr="00E751F9" w:rsidRDefault="00544168" w:rsidP="00E751F9">
            <w:pPr>
              <w:spacing w:after="0"/>
              <w:rPr>
                <w:sz w:val="18"/>
                <w:szCs w:val="18"/>
              </w:rPr>
            </w:pPr>
            <w:r w:rsidRPr="00E751F9">
              <w:rPr>
                <w:sz w:val="18"/>
                <w:szCs w:val="18"/>
              </w:rPr>
              <w:t>Household</w:t>
            </w:r>
          </w:p>
        </w:tc>
        <w:tc>
          <w:tcPr>
            <w:tcW w:w="5097" w:type="dxa"/>
            <w:vMerge w:val="restart"/>
            <w:tcBorders>
              <w:left w:val="dashed" w:sz="4" w:space="0" w:color="7F7F7F" w:themeColor="text1" w:themeTint="80"/>
            </w:tcBorders>
            <w:shd w:val="clear" w:color="auto" w:fill="F2F2F2" w:themeFill="background1" w:themeFillShade="F2"/>
            <w:vAlign w:val="center"/>
          </w:tcPr>
          <w:p w14:paraId="6917C860" w14:textId="4CA7ED5B" w:rsidR="00544168" w:rsidRPr="00E751F9" w:rsidRDefault="00544168" w:rsidP="00E751F9">
            <w:pPr>
              <w:spacing w:after="0"/>
              <w:rPr>
                <w:sz w:val="16"/>
              </w:rPr>
            </w:pPr>
            <w:r>
              <w:rPr>
                <w:sz w:val="16"/>
              </w:rPr>
              <w:t>Again, household level by definition</w:t>
            </w:r>
          </w:p>
        </w:tc>
      </w:tr>
      <w:tr w:rsidR="00544168" w:rsidRPr="004E6C68" w14:paraId="6B4511E5" w14:textId="77777777" w:rsidTr="00906C1A">
        <w:trPr>
          <w:jc w:val="right"/>
        </w:trPr>
        <w:tc>
          <w:tcPr>
            <w:tcW w:w="1133" w:type="dxa"/>
            <w:vMerge/>
            <w:tcBorders>
              <w:bottom w:val="single" w:sz="4" w:space="0" w:color="auto"/>
              <w:right w:val="dashSmallGap" w:sz="4" w:space="0" w:color="7F7F7F" w:themeColor="text1" w:themeTint="80"/>
            </w:tcBorders>
            <w:shd w:val="clear" w:color="auto" w:fill="F2F2F2" w:themeFill="background1" w:themeFillShade="F2"/>
          </w:tcPr>
          <w:p w14:paraId="27D29A97" w14:textId="77777777" w:rsidR="00544168" w:rsidRPr="00025416" w:rsidRDefault="00544168" w:rsidP="003731CE">
            <w:pPr>
              <w:spacing w:after="0"/>
              <w:rPr>
                <w:b/>
                <w:sz w:val="20"/>
                <w:szCs w:val="20"/>
              </w:rPr>
            </w:pPr>
          </w:p>
        </w:tc>
        <w:tc>
          <w:tcPr>
            <w:tcW w:w="1872" w:type="dxa"/>
            <w:tcBorders>
              <w:left w:val="dashSmallGap" w:sz="4" w:space="0" w:color="7F7F7F" w:themeColor="text1" w:themeTint="80"/>
              <w:bottom w:val="single" w:sz="4" w:space="0" w:color="auto"/>
              <w:right w:val="single" w:sz="4" w:space="0" w:color="auto"/>
            </w:tcBorders>
            <w:shd w:val="clear" w:color="auto" w:fill="F2F2F2" w:themeFill="background1" w:themeFillShade="F2"/>
            <w:vAlign w:val="center"/>
          </w:tcPr>
          <w:p w14:paraId="55815790" w14:textId="77777777" w:rsidR="00544168" w:rsidRPr="00E751F9" w:rsidRDefault="00544168" w:rsidP="00E751F9">
            <w:pPr>
              <w:spacing w:after="0"/>
              <w:rPr>
                <w:sz w:val="18"/>
              </w:rPr>
            </w:pPr>
            <w:r w:rsidRPr="00E751F9">
              <w:rPr>
                <w:sz w:val="18"/>
              </w:rPr>
              <w:t>Illumination</w:t>
            </w:r>
          </w:p>
        </w:tc>
        <w:tc>
          <w:tcPr>
            <w:tcW w:w="980" w:type="dxa"/>
            <w:tcBorders>
              <w:left w:val="dashed" w:sz="4" w:space="0" w:color="7F7F7F" w:themeColor="text1" w:themeTint="80"/>
              <w:bottom w:val="single" w:sz="4" w:space="0" w:color="auto"/>
            </w:tcBorders>
            <w:shd w:val="clear" w:color="auto" w:fill="F2F2F2" w:themeFill="background1" w:themeFillShade="F2"/>
            <w:vAlign w:val="center"/>
          </w:tcPr>
          <w:p w14:paraId="5F406741" w14:textId="77777777" w:rsidR="00544168" w:rsidRPr="00E751F9" w:rsidRDefault="00544168" w:rsidP="00E751F9">
            <w:pPr>
              <w:spacing w:after="0"/>
              <w:rPr>
                <w:sz w:val="18"/>
                <w:szCs w:val="18"/>
              </w:rPr>
            </w:pPr>
            <w:r w:rsidRPr="00E751F9">
              <w:rPr>
                <w:sz w:val="18"/>
                <w:szCs w:val="18"/>
              </w:rPr>
              <w:t>Household</w:t>
            </w:r>
          </w:p>
        </w:tc>
        <w:tc>
          <w:tcPr>
            <w:tcW w:w="5097" w:type="dxa"/>
            <w:vMerge/>
            <w:tcBorders>
              <w:left w:val="dashed" w:sz="4" w:space="0" w:color="7F7F7F" w:themeColor="text1" w:themeTint="80"/>
              <w:bottom w:val="single" w:sz="4" w:space="0" w:color="auto"/>
            </w:tcBorders>
            <w:shd w:val="clear" w:color="auto" w:fill="F2F2F2" w:themeFill="background1" w:themeFillShade="F2"/>
            <w:vAlign w:val="center"/>
          </w:tcPr>
          <w:p w14:paraId="44C60320" w14:textId="6E9DACD9" w:rsidR="00544168" w:rsidRPr="00E751F9" w:rsidRDefault="00544168" w:rsidP="00E751F9">
            <w:pPr>
              <w:spacing w:after="0"/>
              <w:rPr>
                <w:sz w:val="16"/>
              </w:rPr>
            </w:pPr>
          </w:p>
        </w:tc>
      </w:tr>
      <w:tr w:rsidR="003731CE" w14:paraId="6CFF7D95" w14:textId="77777777" w:rsidTr="00906C1A">
        <w:trPr>
          <w:jc w:val="right"/>
        </w:trPr>
        <w:tc>
          <w:tcPr>
            <w:tcW w:w="1133" w:type="dxa"/>
            <w:vMerge w:val="restart"/>
            <w:tcBorders>
              <w:top w:val="single" w:sz="4" w:space="0" w:color="auto"/>
              <w:right w:val="dashSmallGap" w:sz="4" w:space="0" w:color="7F7F7F" w:themeColor="text1" w:themeTint="80"/>
            </w:tcBorders>
          </w:tcPr>
          <w:p w14:paraId="53CC6BF6" w14:textId="77777777" w:rsidR="003731CE" w:rsidRPr="00025416" w:rsidRDefault="003731CE" w:rsidP="003731CE">
            <w:pPr>
              <w:spacing w:after="0"/>
              <w:rPr>
                <w:b/>
                <w:sz w:val="20"/>
                <w:szCs w:val="20"/>
              </w:rPr>
            </w:pPr>
            <w:r w:rsidRPr="00025416">
              <w:rPr>
                <w:b/>
                <w:sz w:val="20"/>
                <w:szCs w:val="20"/>
              </w:rPr>
              <w:t>Hygiene</w:t>
            </w:r>
          </w:p>
        </w:tc>
        <w:tc>
          <w:tcPr>
            <w:tcW w:w="1872" w:type="dxa"/>
            <w:tcBorders>
              <w:top w:val="single" w:sz="4" w:space="0" w:color="auto"/>
              <w:left w:val="dashSmallGap" w:sz="4" w:space="0" w:color="7F7F7F" w:themeColor="text1" w:themeTint="80"/>
              <w:right w:val="single" w:sz="4" w:space="0" w:color="auto"/>
            </w:tcBorders>
            <w:vAlign w:val="center"/>
          </w:tcPr>
          <w:p w14:paraId="64569A40" w14:textId="77777777" w:rsidR="003731CE" w:rsidRPr="00E751F9" w:rsidRDefault="003731CE" w:rsidP="00E751F9">
            <w:pPr>
              <w:spacing w:after="0"/>
              <w:rPr>
                <w:sz w:val="18"/>
              </w:rPr>
            </w:pPr>
            <w:r w:rsidRPr="00E751F9">
              <w:rPr>
                <w:sz w:val="18"/>
              </w:rPr>
              <w:t>Water supply</w:t>
            </w:r>
          </w:p>
        </w:tc>
        <w:tc>
          <w:tcPr>
            <w:tcW w:w="980" w:type="dxa"/>
            <w:tcBorders>
              <w:top w:val="single" w:sz="4" w:space="0" w:color="auto"/>
              <w:left w:val="dashed" w:sz="4" w:space="0" w:color="7F7F7F" w:themeColor="text1" w:themeTint="80"/>
            </w:tcBorders>
            <w:vAlign w:val="center"/>
          </w:tcPr>
          <w:p w14:paraId="545660C0" w14:textId="77777777" w:rsidR="003731CE" w:rsidRPr="00E751F9" w:rsidRDefault="003731CE" w:rsidP="00E751F9">
            <w:pPr>
              <w:spacing w:after="0"/>
              <w:rPr>
                <w:sz w:val="18"/>
                <w:szCs w:val="18"/>
              </w:rPr>
            </w:pPr>
            <w:r w:rsidRPr="00E751F9">
              <w:rPr>
                <w:sz w:val="18"/>
                <w:szCs w:val="18"/>
              </w:rPr>
              <w:t>Collective</w:t>
            </w:r>
          </w:p>
        </w:tc>
        <w:tc>
          <w:tcPr>
            <w:tcW w:w="5097" w:type="dxa"/>
            <w:tcBorders>
              <w:top w:val="single" w:sz="4" w:space="0" w:color="auto"/>
              <w:left w:val="dashed" w:sz="4" w:space="0" w:color="7F7F7F" w:themeColor="text1" w:themeTint="80"/>
            </w:tcBorders>
            <w:vAlign w:val="center"/>
          </w:tcPr>
          <w:p w14:paraId="10CA7B19" w14:textId="7D6DC366" w:rsidR="003731CE" w:rsidRPr="00E751F9" w:rsidRDefault="00CA4CBE" w:rsidP="00CA4CBE">
            <w:pPr>
              <w:spacing w:after="0"/>
              <w:rPr>
                <w:sz w:val="16"/>
              </w:rPr>
            </w:pPr>
            <w:r>
              <w:rPr>
                <w:sz w:val="16"/>
              </w:rPr>
              <w:t>S</w:t>
            </w:r>
            <w:r w:rsidR="00E751F9" w:rsidRPr="00E751F9">
              <w:rPr>
                <w:sz w:val="16"/>
              </w:rPr>
              <w:t xml:space="preserve">upply infrastructure is collective </w:t>
            </w:r>
            <w:r>
              <w:rPr>
                <w:sz w:val="16"/>
              </w:rPr>
              <w:t>(but</w:t>
            </w:r>
            <w:r w:rsidR="00E751F9" w:rsidRPr="00E751F9">
              <w:rPr>
                <w:sz w:val="16"/>
              </w:rPr>
              <w:t xml:space="preserve"> consumption is</w:t>
            </w:r>
            <w:r>
              <w:rPr>
                <w:sz w:val="16"/>
              </w:rPr>
              <w:t xml:space="preserve"> individual/household)</w:t>
            </w:r>
          </w:p>
        </w:tc>
      </w:tr>
      <w:tr w:rsidR="003731CE" w14:paraId="618DBD0A" w14:textId="77777777" w:rsidTr="00906C1A">
        <w:trPr>
          <w:jc w:val="right"/>
        </w:trPr>
        <w:tc>
          <w:tcPr>
            <w:tcW w:w="1133" w:type="dxa"/>
            <w:vMerge/>
            <w:tcBorders>
              <w:right w:val="dashSmallGap" w:sz="4" w:space="0" w:color="7F7F7F" w:themeColor="text1" w:themeTint="80"/>
            </w:tcBorders>
          </w:tcPr>
          <w:p w14:paraId="2081B0E5" w14:textId="77777777" w:rsidR="003731CE" w:rsidRPr="00025416" w:rsidRDefault="003731CE" w:rsidP="003731CE">
            <w:pPr>
              <w:spacing w:after="0"/>
              <w:ind w:left="311"/>
              <w:rPr>
                <w:b/>
                <w:sz w:val="20"/>
                <w:szCs w:val="20"/>
              </w:rPr>
            </w:pPr>
          </w:p>
        </w:tc>
        <w:tc>
          <w:tcPr>
            <w:tcW w:w="1872" w:type="dxa"/>
            <w:tcBorders>
              <w:left w:val="dashSmallGap" w:sz="4" w:space="0" w:color="7F7F7F" w:themeColor="text1" w:themeTint="80"/>
              <w:right w:val="single" w:sz="4" w:space="0" w:color="auto"/>
            </w:tcBorders>
            <w:vAlign w:val="center"/>
          </w:tcPr>
          <w:p w14:paraId="2A6C0D18" w14:textId="77777777" w:rsidR="003731CE" w:rsidRPr="00E751F9" w:rsidRDefault="003731CE" w:rsidP="00E751F9">
            <w:pPr>
              <w:spacing w:after="0"/>
              <w:rPr>
                <w:sz w:val="18"/>
              </w:rPr>
            </w:pPr>
            <w:r w:rsidRPr="00E751F9">
              <w:rPr>
                <w:sz w:val="18"/>
              </w:rPr>
              <w:t>Water heating</w:t>
            </w:r>
          </w:p>
        </w:tc>
        <w:tc>
          <w:tcPr>
            <w:tcW w:w="980" w:type="dxa"/>
            <w:tcBorders>
              <w:left w:val="dashed" w:sz="4" w:space="0" w:color="7F7F7F" w:themeColor="text1" w:themeTint="80"/>
            </w:tcBorders>
            <w:vAlign w:val="center"/>
          </w:tcPr>
          <w:p w14:paraId="47F9E6BB" w14:textId="77777777" w:rsidR="003731CE" w:rsidRPr="00E751F9" w:rsidRDefault="003731CE" w:rsidP="00E751F9">
            <w:pPr>
              <w:spacing w:after="0"/>
              <w:rPr>
                <w:sz w:val="18"/>
                <w:szCs w:val="18"/>
              </w:rPr>
            </w:pPr>
            <w:r w:rsidRPr="00E751F9">
              <w:rPr>
                <w:sz w:val="18"/>
                <w:szCs w:val="18"/>
              </w:rPr>
              <w:t>Household</w:t>
            </w:r>
          </w:p>
        </w:tc>
        <w:tc>
          <w:tcPr>
            <w:tcW w:w="5097" w:type="dxa"/>
            <w:tcBorders>
              <w:left w:val="dashed" w:sz="4" w:space="0" w:color="7F7F7F" w:themeColor="text1" w:themeTint="80"/>
            </w:tcBorders>
            <w:vAlign w:val="center"/>
          </w:tcPr>
          <w:p w14:paraId="59157F88" w14:textId="0EC5FADF" w:rsidR="003731CE" w:rsidRPr="00E751F9" w:rsidRDefault="00E751F9" w:rsidP="00E751F9">
            <w:pPr>
              <w:spacing w:after="0"/>
              <w:rPr>
                <w:sz w:val="16"/>
              </w:rPr>
            </w:pPr>
            <w:r>
              <w:rPr>
                <w:sz w:val="16"/>
              </w:rPr>
              <w:t>Water heating occurs</w:t>
            </w:r>
            <w:r w:rsidRPr="00E751F9">
              <w:rPr>
                <w:sz w:val="16"/>
              </w:rPr>
              <w:t xml:space="preserve"> at the household level</w:t>
            </w:r>
          </w:p>
        </w:tc>
      </w:tr>
      <w:tr w:rsidR="003731CE" w:rsidRPr="004E6C68" w14:paraId="7D1F8E0E" w14:textId="77777777" w:rsidTr="00906C1A">
        <w:trPr>
          <w:jc w:val="right"/>
        </w:trPr>
        <w:tc>
          <w:tcPr>
            <w:tcW w:w="1133" w:type="dxa"/>
            <w:vMerge/>
            <w:tcBorders>
              <w:bottom w:val="single" w:sz="4" w:space="0" w:color="auto"/>
              <w:right w:val="dashSmallGap" w:sz="4" w:space="0" w:color="7F7F7F" w:themeColor="text1" w:themeTint="80"/>
            </w:tcBorders>
          </w:tcPr>
          <w:p w14:paraId="159A1D99" w14:textId="77777777" w:rsidR="003731CE" w:rsidRPr="00025416" w:rsidRDefault="003731CE" w:rsidP="003731CE">
            <w:pPr>
              <w:spacing w:after="0"/>
              <w:rPr>
                <w:b/>
                <w:sz w:val="20"/>
                <w:szCs w:val="20"/>
              </w:rPr>
            </w:pPr>
          </w:p>
        </w:tc>
        <w:tc>
          <w:tcPr>
            <w:tcW w:w="1872" w:type="dxa"/>
            <w:tcBorders>
              <w:left w:val="dashSmallGap" w:sz="4" w:space="0" w:color="7F7F7F" w:themeColor="text1" w:themeTint="80"/>
              <w:bottom w:val="single" w:sz="4" w:space="0" w:color="auto"/>
              <w:right w:val="single" w:sz="4" w:space="0" w:color="auto"/>
            </w:tcBorders>
            <w:vAlign w:val="center"/>
          </w:tcPr>
          <w:p w14:paraId="546E3ED0" w14:textId="77777777" w:rsidR="003731CE" w:rsidRPr="00E751F9" w:rsidRDefault="003731CE" w:rsidP="00E751F9">
            <w:pPr>
              <w:spacing w:after="0"/>
              <w:rPr>
                <w:sz w:val="18"/>
              </w:rPr>
            </w:pPr>
            <w:r w:rsidRPr="00E751F9">
              <w:rPr>
                <w:sz w:val="18"/>
              </w:rPr>
              <w:t>Waste management</w:t>
            </w:r>
          </w:p>
        </w:tc>
        <w:tc>
          <w:tcPr>
            <w:tcW w:w="980" w:type="dxa"/>
            <w:tcBorders>
              <w:left w:val="dashed" w:sz="4" w:space="0" w:color="7F7F7F" w:themeColor="text1" w:themeTint="80"/>
              <w:bottom w:val="single" w:sz="4" w:space="0" w:color="auto"/>
            </w:tcBorders>
            <w:vAlign w:val="center"/>
          </w:tcPr>
          <w:p w14:paraId="43A3077F" w14:textId="77777777" w:rsidR="003731CE" w:rsidRPr="00E751F9" w:rsidRDefault="003731CE" w:rsidP="00E751F9">
            <w:pPr>
              <w:spacing w:after="0"/>
              <w:rPr>
                <w:sz w:val="18"/>
                <w:szCs w:val="18"/>
              </w:rPr>
            </w:pPr>
            <w:r w:rsidRPr="00E751F9">
              <w:rPr>
                <w:sz w:val="18"/>
                <w:szCs w:val="18"/>
              </w:rPr>
              <w:t>Collective</w:t>
            </w:r>
          </w:p>
        </w:tc>
        <w:tc>
          <w:tcPr>
            <w:tcW w:w="5097" w:type="dxa"/>
            <w:tcBorders>
              <w:left w:val="dashed" w:sz="4" w:space="0" w:color="7F7F7F" w:themeColor="text1" w:themeTint="80"/>
              <w:bottom w:val="single" w:sz="4" w:space="0" w:color="auto"/>
            </w:tcBorders>
            <w:vAlign w:val="center"/>
          </w:tcPr>
          <w:p w14:paraId="6063609C" w14:textId="7B961CD1" w:rsidR="003731CE" w:rsidRPr="00E751F9" w:rsidRDefault="00E751F9" w:rsidP="00736995">
            <w:pPr>
              <w:spacing w:after="0"/>
              <w:rPr>
                <w:sz w:val="16"/>
              </w:rPr>
            </w:pPr>
            <w:r>
              <w:rPr>
                <w:sz w:val="16"/>
              </w:rPr>
              <w:t xml:space="preserve">Collective systems collect and manage </w:t>
            </w:r>
            <w:r w:rsidR="006E780A">
              <w:rPr>
                <w:sz w:val="16"/>
              </w:rPr>
              <w:t xml:space="preserve">household </w:t>
            </w:r>
            <w:r>
              <w:rPr>
                <w:sz w:val="16"/>
              </w:rPr>
              <w:t>waste</w:t>
            </w:r>
            <w:r w:rsidR="00736995">
              <w:rPr>
                <w:sz w:val="16"/>
              </w:rPr>
              <w:t xml:space="preserve"> (sanitary and solids)</w:t>
            </w:r>
          </w:p>
        </w:tc>
      </w:tr>
      <w:tr w:rsidR="003731CE" w:rsidRPr="004E6C68" w14:paraId="5178AD6D" w14:textId="77777777" w:rsidTr="00906C1A">
        <w:trPr>
          <w:jc w:val="right"/>
        </w:trPr>
        <w:tc>
          <w:tcPr>
            <w:tcW w:w="1133" w:type="dxa"/>
            <w:vMerge w:val="restart"/>
            <w:tcBorders>
              <w:top w:val="single" w:sz="4" w:space="0" w:color="auto"/>
              <w:right w:val="dashSmallGap" w:sz="4" w:space="0" w:color="7F7F7F" w:themeColor="text1" w:themeTint="80"/>
            </w:tcBorders>
            <w:shd w:val="clear" w:color="auto" w:fill="F2F2F2" w:themeFill="background1" w:themeFillShade="F2"/>
          </w:tcPr>
          <w:p w14:paraId="3E99B73B" w14:textId="77777777" w:rsidR="003731CE" w:rsidRPr="00025416" w:rsidRDefault="003731CE" w:rsidP="003731CE">
            <w:pPr>
              <w:spacing w:after="0"/>
              <w:rPr>
                <w:b/>
                <w:sz w:val="20"/>
                <w:szCs w:val="20"/>
              </w:rPr>
            </w:pPr>
            <w:r w:rsidRPr="00025416">
              <w:rPr>
                <w:b/>
                <w:sz w:val="20"/>
                <w:szCs w:val="20"/>
              </w:rPr>
              <w:t>Clothing</w:t>
            </w:r>
          </w:p>
        </w:tc>
        <w:tc>
          <w:tcPr>
            <w:tcW w:w="1872" w:type="dxa"/>
            <w:tcBorders>
              <w:top w:val="single" w:sz="4" w:space="0" w:color="auto"/>
              <w:left w:val="dashSmallGap" w:sz="4" w:space="0" w:color="7F7F7F" w:themeColor="text1" w:themeTint="80"/>
              <w:right w:val="single" w:sz="4" w:space="0" w:color="auto"/>
            </w:tcBorders>
            <w:shd w:val="clear" w:color="auto" w:fill="F2F2F2" w:themeFill="background1" w:themeFillShade="F2"/>
            <w:vAlign w:val="center"/>
          </w:tcPr>
          <w:p w14:paraId="2A172DEC" w14:textId="77777777" w:rsidR="003731CE" w:rsidRPr="00E751F9" w:rsidRDefault="003731CE" w:rsidP="00E751F9">
            <w:pPr>
              <w:spacing w:after="0"/>
              <w:rPr>
                <w:sz w:val="18"/>
              </w:rPr>
            </w:pPr>
            <w:r w:rsidRPr="00E751F9">
              <w:rPr>
                <w:sz w:val="18"/>
              </w:rPr>
              <w:t>Clothes</w:t>
            </w:r>
          </w:p>
        </w:tc>
        <w:tc>
          <w:tcPr>
            <w:tcW w:w="980" w:type="dxa"/>
            <w:tcBorders>
              <w:top w:val="single" w:sz="4" w:space="0" w:color="auto"/>
              <w:left w:val="dashed" w:sz="4" w:space="0" w:color="7F7F7F" w:themeColor="text1" w:themeTint="80"/>
            </w:tcBorders>
            <w:shd w:val="clear" w:color="auto" w:fill="F2F2F2" w:themeFill="background1" w:themeFillShade="F2"/>
            <w:vAlign w:val="center"/>
          </w:tcPr>
          <w:p w14:paraId="09E177FB" w14:textId="77777777" w:rsidR="003731CE" w:rsidRPr="00E751F9" w:rsidRDefault="003731CE" w:rsidP="00E751F9">
            <w:pPr>
              <w:spacing w:after="0"/>
              <w:rPr>
                <w:sz w:val="18"/>
                <w:szCs w:val="18"/>
              </w:rPr>
            </w:pPr>
            <w:r w:rsidRPr="00E751F9">
              <w:rPr>
                <w:sz w:val="18"/>
                <w:szCs w:val="18"/>
              </w:rPr>
              <w:t>Individual</w:t>
            </w:r>
          </w:p>
        </w:tc>
        <w:tc>
          <w:tcPr>
            <w:tcW w:w="5097" w:type="dxa"/>
            <w:tcBorders>
              <w:top w:val="single" w:sz="4" w:space="0" w:color="auto"/>
              <w:left w:val="dashed" w:sz="4" w:space="0" w:color="7F7F7F" w:themeColor="text1" w:themeTint="80"/>
            </w:tcBorders>
            <w:shd w:val="clear" w:color="auto" w:fill="F2F2F2" w:themeFill="background1" w:themeFillShade="F2"/>
            <w:vAlign w:val="center"/>
          </w:tcPr>
          <w:p w14:paraId="29C493AE" w14:textId="6B9DC1E2" w:rsidR="003731CE" w:rsidRPr="00E751F9" w:rsidRDefault="00CA4CBE" w:rsidP="00CA4CBE">
            <w:pPr>
              <w:spacing w:after="0"/>
              <w:rPr>
                <w:sz w:val="16"/>
              </w:rPr>
            </w:pPr>
            <w:r>
              <w:rPr>
                <w:sz w:val="16"/>
              </w:rPr>
              <w:t>Clothing worn individually</w:t>
            </w:r>
            <w:r w:rsidR="00E751F9">
              <w:rPr>
                <w:sz w:val="16"/>
              </w:rPr>
              <w:t xml:space="preserve"> </w:t>
            </w:r>
            <w:r>
              <w:rPr>
                <w:sz w:val="16"/>
              </w:rPr>
              <w:t>(</w:t>
            </w:r>
            <w:r w:rsidR="00E751F9">
              <w:rPr>
                <w:sz w:val="16"/>
              </w:rPr>
              <w:t xml:space="preserve">but ownership could be </w:t>
            </w:r>
            <w:r>
              <w:rPr>
                <w:sz w:val="16"/>
              </w:rPr>
              <w:t>collective/household)</w:t>
            </w:r>
          </w:p>
        </w:tc>
      </w:tr>
      <w:tr w:rsidR="003731CE" w:rsidRPr="004E6C68" w14:paraId="6A4D4BF1" w14:textId="77777777" w:rsidTr="00906C1A">
        <w:trPr>
          <w:jc w:val="right"/>
        </w:trPr>
        <w:tc>
          <w:tcPr>
            <w:tcW w:w="1133" w:type="dxa"/>
            <w:vMerge/>
            <w:tcBorders>
              <w:bottom w:val="single" w:sz="4" w:space="0" w:color="auto"/>
              <w:right w:val="dashSmallGap" w:sz="4" w:space="0" w:color="7F7F7F" w:themeColor="text1" w:themeTint="80"/>
            </w:tcBorders>
            <w:shd w:val="clear" w:color="auto" w:fill="F2F2F2" w:themeFill="background1" w:themeFillShade="F2"/>
          </w:tcPr>
          <w:p w14:paraId="1DA21FF7" w14:textId="77777777" w:rsidR="003731CE" w:rsidRPr="00025416" w:rsidRDefault="003731CE" w:rsidP="003731CE">
            <w:pPr>
              <w:spacing w:after="0"/>
              <w:ind w:left="169"/>
              <w:rPr>
                <w:b/>
                <w:sz w:val="20"/>
                <w:szCs w:val="20"/>
              </w:rPr>
            </w:pPr>
          </w:p>
        </w:tc>
        <w:tc>
          <w:tcPr>
            <w:tcW w:w="1872" w:type="dxa"/>
            <w:tcBorders>
              <w:left w:val="dashSmallGap" w:sz="4" w:space="0" w:color="7F7F7F" w:themeColor="text1" w:themeTint="80"/>
              <w:bottom w:val="single" w:sz="4" w:space="0" w:color="auto"/>
              <w:right w:val="single" w:sz="4" w:space="0" w:color="auto"/>
            </w:tcBorders>
            <w:shd w:val="clear" w:color="auto" w:fill="F2F2F2" w:themeFill="background1" w:themeFillShade="F2"/>
            <w:vAlign w:val="center"/>
          </w:tcPr>
          <w:p w14:paraId="6FB119C0" w14:textId="77777777" w:rsidR="003731CE" w:rsidRPr="00E751F9" w:rsidRDefault="003731CE" w:rsidP="00E751F9">
            <w:pPr>
              <w:spacing w:after="0"/>
              <w:rPr>
                <w:sz w:val="18"/>
              </w:rPr>
            </w:pPr>
            <w:r w:rsidRPr="00E751F9">
              <w:rPr>
                <w:sz w:val="18"/>
              </w:rPr>
              <w:t>Washing facilities</w:t>
            </w:r>
          </w:p>
        </w:tc>
        <w:tc>
          <w:tcPr>
            <w:tcW w:w="980" w:type="dxa"/>
            <w:tcBorders>
              <w:left w:val="dashed" w:sz="4" w:space="0" w:color="7F7F7F" w:themeColor="text1" w:themeTint="80"/>
              <w:bottom w:val="single" w:sz="4" w:space="0" w:color="auto"/>
            </w:tcBorders>
            <w:shd w:val="clear" w:color="auto" w:fill="F2F2F2" w:themeFill="background1" w:themeFillShade="F2"/>
            <w:vAlign w:val="center"/>
          </w:tcPr>
          <w:p w14:paraId="5C3F33F5" w14:textId="77777777" w:rsidR="003731CE" w:rsidRPr="00E751F9" w:rsidRDefault="003731CE" w:rsidP="00E751F9">
            <w:pPr>
              <w:spacing w:after="0"/>
              <w:rPr>
                <w:sz w:val="18"/>
                <w:szCs w:val="18"/>
              </w:rPr>
            </w:pPr>
            <w:r w:rsidRPr="00E751F9">
              <w:rPr>
                <w:sz w:val="18"/>
                <w:szCs w:val="18"/>
              </w:rPr>
              <w:t>Household</w:t>
            </w:r>
          </w:p>
        </w:tc>
        <w:tc>
          <w:tcPr>
            <w:tcW w:w="5097" w:type="dxa"/>
            <w:tcBorders>
              <w:left w:val="dashed" w:sz="4" w:space="0" w:color="7F7F7F" w:themeColor="text1" w:themeTint="80"/>
              <w:bottom w:val="single" w:sz="4" w:space="0" w:color="auto"/>
            </w:tcBorders>
            <w:shd w:val="clear" w:color="auto" w:fill="F2F2F2" w:themeFill="background1" w:themeFillShade="F2"/>
            <w:vAlign w:val="center"/>
          </w:tcPr>
          <w:p w14:paraId="7FB9154B" w14:textId="12CCC12E" w:rsidR="003731CE" w:rsidRPr="00E751F9" w:rsidRDefault="00E751F9" w:rsidP="00E751F9">
            <w:pPr>
              <w:spacing w:after="0"/>
              <w:rPr>
                <w:sz w:val="16"/>
              </w:rPr>
            </w:pPr>
            <w:r>
              <w:rPr>
                <w:sz w:val="16"/>
              </w:rPr>
              <w:t>Appliance</w:t>
            </w:r>
            <w:r w:rsidRPr="00E751F9">
              <w:rPr>
                <w:sz w:val="16"/>
              </w:rPr>
              <w:t xml:space="preserve"> ownership at the household level</w:t>
            </w:r>
          </w:p>
        </w:tc>
      </w:tr>
      <w:tr w:rsidR="003731CE" w:rsidRPr="00BE176C" w14:paraId="3B22C3B4" w14:textId="77777777" w:rsidTr="00906C1A">
        <w:trPr>
          <w:jc w:val="right"/>
        </w:trPr>
        <w:tc>
          <w:tcPr>
            <w:tcW w:w="1133" w:type="dxa"/>
            <w:tcBorders>
              <w:top w:val="single" w:sz="4" w:space="0" w:color="auto"/>
              <w:bottom w:val="single" w:sz="4" w:space="0" w:color="auto"/>
              <w:right w:val="dashSmallGap" w:sz="4" w:space="0" w:color="7F7F7F" w:themeColor="text1" w:themeTint="80"/>
            </w:tcBorders>
          </w:tcPr>
          <w:p w14:paraId="32675F14" w14:textId="77777777" w:rsidR="003731CE" w:rsidRPr="00025416" w:rsidRDefault="003731CE" w:rsidP="003731CE">
            <w:pPr>
              <w:spacing w:after="0"/>
              <w:rPr>
                <w:b/>
                <w:sz w:val="20"/>
                <w:szCs w:val="20"/>
              </w:rPr>
            </w:pPr>
            <w:r w:rsidRPr="00025416">
              <w:rPr>
                <w:b/>
                <w:sz w:val="20"/>
                <w:szCs w:val="20"/>
              </w:rPr>
              <w:t>Healthcare</w:t>
            </w:r>
          </w:p>
        </w:tc>
        <w:tc>
          <w:tcPr>
            <w:tcW w:w="1872" w:type="dxa"/>
            <w:tcBorders>
              <w:top w:val="single" w:sz="4" w:space="0" w:color="auto"/>
              <w:left w:val="dashSmallGap" w:sz="4" w:space="0" w:color="7F7F7F" w:themeColor="text1" w:themeTint="80"/>
              <w:bottom w:val="single" w:sz="4" w:space="0" w:color="auto"/>
              <w:right w:val="single" w:sz="4" w:space="0" w:color="auto"/>
            </w:tcBorders>
            <w:vAlign w:val="center"/>
          </w:tcPr>
          <w:p w14:paraId="42B745C7" w14:textId="77777777" w:rsidR="003731CE" w:rsidRPr="00E751F9" w:rsidRDefault="003731CE" w:rsidP="00E751F9">
            <w:pPr>
              <w:spacing w:after="0"/>
              <w:rPr>
                <w:sz w:val="18"/>
              </w:rPr>
            </w:pPr>
            <w:r w:rsidRPr="00E751F9">
              <w:rPr>
                <w:sz w:val="18"/>
              </w:rPr>
              <w:t>Hospitals</w:t>
            </w:r>
          </w:p>
        </w:tc>
        <w:tc>
          <w:tcPr>
            <w:tcW w:w="980" w:type="dxa"/>
            <w:tcBorders>
              <w:top w:val="single" w:sz="4" w:space="0" w:color="auto"/>
              <w:left w:val="dashed" w:sz="4" w:space="0" w:color="7F7F7F" w:themeColor="text1" w:themeTint="80"/>
              <w:bottom w:val="single" w:sz="4" w:space="0" w:color="auto"/>
            </w:tcBorders>
            <w:vAlign w:val="center"/>
          </w:tcPr>
          <w:p w14:paraId="6A8C9333" w14:textId="77777777" w:rsidR="003731CE" w:rsidRPr="00E751F9" w:rsidRDefault="003731CE" w:rsidP="00E751F9">
            <w:pPr>
              <w:spacing w:after="0"/>
              <w:rPr>
                <w:sz w:val="18"/>
                <w:szCs w:val="18"/>
              </w:rPr>
            </w:pPr>
            <w:r w:rsidRPr="00E751F9">
              <w:rPr>
                <w:sz w:val="18"/>
                <w:szCs w:val="18"/>
              </w:rPr>
              <w:t>Collective</w:t>
            </w:r>
          </w:p>
        </w:tc>
        <w:tc>
          <w:tcPr>
            <w:tcW w:w="5097" w:type="dxa"/>
            <w:tcBorders>
              <w:top w:val="single" w:sz="4" w:space="0" w:color="auto"/>
              <w:left w:val="dashed" w:sz="4" w:space="0" w:color="7F7F7F" w:themeColor="text1" w:themeTint="80"/>
              <w:bottom w:val="single" w:sz="4" w:space="0" w:color="auto"/>
            </w:tcBorders>
            <w:vAlign w:val="center"/>
          </w:tcPr>
          <w:p w14:paraId="2DF7FB2C" w14:textId="0247658B" w:rsidR="003731CE" w:rsidRPr="00E751F9" w:rsidRDefault="00CA4CBE" w:rsidP="00E751F9">
            <w:pPr>
              <w:spacing w:after="0"/>
              <w:rPr>
                <w:sz w:val="16"/>
              </w:rPr>
            </w:pPr>
            <w:r>
              <w:rPr>
                <w:sz w:val="16"/>
              </w:rPr>
              <w:t>Hospitals and healthcare systems are collective</w:t>
            </w:r>
          </w:p>
        </w:tc>
      </w:tr>
      <w:tr w:rsidR="003731CE" w14:paraId="14968843" w14:textId="77777777" w:rsidTr="00906C1A">
        <w:trPr>
          <w:jc w:val="right"/>
        </w:trPr>
        <w:tc>
          <w:tcPr>
            <w:tcW w:w="1133" w:type="dxa"/>
            <w:tcBorders>
              <w:top w:val="single" w:sz="4" w:space="0" w:color="auto"/>
              <w:bottom w:val="single" w:sz="4" w:space="0" w:color="auto"/>
              <w:right w:val="dashSmallGap" w:sz="4" w:space="0" w:color="7F7F7F" w:themeColor="text1" w:themeTint="80"/>
            </w:tcBorders>
            <w:shd w:val="clear" w:color="auto" w:fill="F2F2F2" w:themeFill="background1" w:themeFillShade="F2"/>
          </w:tcPr>
          <w:p w14:paraId="3FBAA9EE" w14:textId="77777777" w:rsidR="003731CE" w:rsidRPr="00025416" w:rsidRDefault="003731CE" w:rsidP="003731CE">
            <w:pPr>
              <w:spacing w:after="0"/>
              <w:rPr>
                <w:b/>
                <w:sz w:val="20"/>
                <w:szCs w:val="20"/>
              </w:rPr>
            </w:pPr>
            <w:r w:rsidRPr="00025416">
              <w:rPr>
                <w:b/>
                <w:sz w:val="20"/>
                <w:szCs w:val="20"/>
              </w:rPr>
              <w:t>Education</w:t>
            </w:r>
          </w:p>
        </w:tc>
        <w:tc>
          <w:tcPr>
            <w:tcW w:w="1872" w:type="dxa"/>
            <w:tcBorders>
              <w:top w:val="single" w:sz="4" w:space="0" w:color="auto"/>
              <w:left w:val="dashSmallGap" w:sz="4" w:space="0" w:color="7F7F7F" w:themeColor="text1" w:themeTint="80"/>
              <w:bottom w:val="single" w:sz="4" w:space="0" w:color="auto"/>
              <w:right w:val="single" w:sz="4" w:space="0" w:color="auto"/>
            </w:tcBorders>
            <w:shd w:val="clear" w:color="auto" w:fill="F2F2F2" w:themeFill="background1" w:themeFillShade="F2"/>
            <w:vAlign w:val="center"/>
          </w:tcPr>
          <w:p w14:paraId="7715EB9F" w14:textId="77777777" w:rsidR="003731CE" w:rsidRPr="00E751F9" w:rsidRDefault="003731CE" w:rsidP="00E751F9">
            <w:pPr>
              <w:spacing w:after="0"/>
              <w:rPr>
                <w:sz w:val="18"/>
              </w:rPr>
            </w:pPr>
            <w:r w:rsidRPr="00E751F9">
              <w:rPr>
                <w:sz w:val="18"/>
              </w:rPr>
              <w:t>Schools</w:t>
            </w:r>
          </w:p>
        </w:tc>
        <w:tc>
          <w:tcPr>
            <w:tcW w:w="980" w:type="dxa"/>
            <w:tcBorders>
              <w:top w:val="single" w:sz="4" w:space="0" w:color="auto"/>
              <w:left w:val="dashed" w:sz="4" w:space="0" w:color="7F7F7F" w:themeColor="text1" w:themeTint="80"/>
              <w:bottom w:val="single" w:sz="4" w:space="0" w:color="auto"/>
            </w:tcBorders>
            <w:shd w:val="clear" w:color="auto" w:fill="F2F2F2" w:themeFill="background1" w:themeFillShade="F2"/>
            <w:vAlign w:val="center"/>
          </w:tcPr>
          <w:p w14:paraId="621C3B2D" w14:textId="77777777" w:rsidR="003731CE" w:rsidRPr="00E751F9" w:rsidRDefault="003731CE" w:rsidP="00E751F9">
            <w:pPr>
              <w:spacing w:after="0"/>
              <w:rPr>
                <w:sz w:val="18"/>
                <w:szCs w:val="18"/>
              </w:rPr>
            </w:pPr>
            <w:r w:rsidRPr="00E751F9">
              <w:rPr>
                <w:sz w:val="18"/>
                <w:szCs w:val="18"/>
              </w:rPr>
              <w:t>Collective</w:t>
            </w:r>
          </w:p>
        </w:tc>
        <w:tc>
          <w:tcPr>
            <w:tcW w:w="5097" w:type="dxa"/>
            <w:tcBorders>
              <w:top w:val="single" w:sz="4" w:space="0" w:color="auto"/>
              <w:left w:val="dashed" w:sz="4" w:space="0" w:color="7F7F7F" w:themeColor="text1" w:themeTint="80"/>
              <w:bottom w:val="single" w:sz="4" w:space="0" w:color="auto"/>
            </w:tcBorders>
            <w:shd w:val="clear" w:color="auto" w:fill="F2F2F2" w:themeFill="background1" w:themeFillShade="F2"/>
            <w:vAlign w:val="center"/>
          </w:tcPr>
          <w:p w14:paraId="70172561" w14:textId="1AF3C146" w:rsidR="003731CE" w:rsidRPr="00E751F9" w:rsidRDefault="003A78CB" w:rsidP="00E751F9">
            <w:pPr>
              <w:spacing w:after="0"/>
              <w:rPr>
                <w:sz w:val="16"/>
              </w:rPr>
            </w:pPr>
            <w:r>
              <w:rPr>
                <w:sz w:val="16"/>
              </w:rPr>
              <w:t>Educational institutions systems are collective</w:t>
            </w:r>
          </w:p>
        </w:tc>
      </w:tr>
      <w:tr w:rsidR="003731CE" w14:paraId="24AC0758" w14:textId="77777777" w:rsidTr="00906C1A">
        <w:trPr>
          <w:jc w:val="right"/>
        </w:trPr>
        <w:tc>
          <w:tcPr>
            <w:tcW w:w="1133" w:type="dxa"/>
            <w:vMerge w:val="restart"/>
            <w:tcBorders>
              <w:top w:val="single" w:sz="4" w:space="0" w:color="auto"/>
              <w:right w:val="dashSmallGap" w:sz="4" w:space="0" w:color="7F7F7F" w:themeColor="text1" w:themeTint="80"/>
            </w:tcBorders>
          </w:tcPr>
          <w:p w14:paraId="6DF63FE3" w14:textId="79E8F886" w:rsidR="003731CE" w:rsidRPr="00025416" w:rsidRDefault="003731CE" w:rsidP="003731CE">
            <w:pPr>
              <w:spacing w:after="0"/>
              <w:rPr>
                <w:b/>
                <w:sz w:val="20"/>
                <w:szCs w:val="20"/>
              </w:rPr>
            </w:pPr>
            <w:r w:rsidRPr="00025416">
              <w:rPr>
                <w:b/>
                <w:sz w:val="20"/>
                <w:szCs w:val="20"/>
              </w:rPr>
              <w:t xml:space="preserve">Comms’ </w:t>
            </w:r>
            <w:r w:rsidR="00E751F9">
              <w:rPr>
                <w:b/>
                <w:sz w:val="20"/>
                <w:szCs w:val="20"/>
              </w:rPr>
              <w:t>&amp;</w:t>
            </w:r>
          </w:p>
          <w:p w14:paraId="1AFDE798" w14:textId="469F682C" w:rsidR="003731CE" w:rsidRPr="00025416" w:rsidRDefault="00E751F9" w:rsidP="00E751F9">
            <w:pPr>
              <w:spacing w:after="0"/>
              <w:rPr>
                <w:b/>
                <w:sz w:val="20"/>
                <w:szCs w:val="20"/>
              </w:rPr>
            </w:pPr>
            <w:r>
              <w:rPr>
                <w:b/>
                <w:sz w:val="20"/>
                <w:szCs w:val="20"/>
              </w:rPr>
              <w:t xml:space="preserve"> i</w:t>
            </w:r>
            <w:r w:rsidR="003731CE" w:rsidRPr="00025416">
              <w:rPr>
                <w:b/>
                <w:sz w:val="20"/>
                <w:szCs w:val="20"/>
              </w:rPr>
              <w:t xml:space="preserve">nformation </w:t>
            </w:r>
          </w:p>
        </w:tc>
        <w:tc>
          <w:tcPr>
            <w:tcW w:w="1872" w:type="dxa"/>
            <w:tcBorders>
              <w:top w:val="single" w:sz="4" w:space="0" w:color="auto"/>
              <w:left w:val="dashSmallGap" w:sz="4" w:space="0" w:color="7F7F7F" w:themeColor="text1" w:themeTint="80"/>
              <w:right w:val="single" w:sz="4" w:space="0" w:color="auto"/>
            </w:tcBorders>
            <w:vAlign w:val="center"/>
          </w:tcPr>
          <w:p w14:paraId="19AA7D13" w14:textId="77777777" w:rsidR="003731CE" w:rsidRPr="00E751F9" w:rsidRDefault="003731CE" w:rsidP="00E751F9">
            <w:pPr>
              <w:spacing w:after="0"/>
              <w:rPr>
                <w:sz w:val="18"/>
              </w:rPr>
            </w:pPr>
            <w:r w:rsidRPr="00E751F9">
              <w:rPr>
                <w:sz w:val="18"/>
              </w:rPr>
              <w:t>Phones</w:t>
            </w:r>
          </w:p>
        </w:tc>
        <w:tc>
          <w:tcPr>
            <w:tcW w:w="980" w:type="dxa"/>
            <w:tcBorders>
              <w:top w:val="single" w:sz="4" w:space="0" w:color="auto"/>
              <w:left w:val="dashed" w:sz="4" w:space="0" w:color="7F7F7F" w:themeColor="text1" w:themeTint="80"/>
            </w:tcBorders>
            <w:vAlign w:val="center"/>
          </w:tcPr>
          <w:p w14:paraId="33D41D91" w14:textId="77777777" w:rsidR="003731CE" w:rsidRPr="00E751F9" w:rsidRDefault="003731CE" w:rsidP="00E751F9">
            <w:pPr>
              <w:spacing w:after="0"/>
              <w:rPr>
                <w:sz w:val="18"/>
                <w:szCs w:val="18"/>
              </w:rPr>
            </w:pPr>
            <w:r w:rsidRPr="00E751F9">
              <w:rPr>
                <w:sz w:val="18"/>
                <w:szCs w:val="18"/>
              </w:rPr>
              <w:t>Individual</w:t>
            </w:r>
          </w:p>
        </w:tc>
        <w:tc>
          <w:tcPr>
            <w:tcW w:w="5097" w:type="dxa"/>
            <w:tcBorders>
              <w:top w:val="single" w:sz="4" w:space="0" w:color="auto"/>
              <w:left w:val="dashed" w:sz="4" w:space="0" w:color="7F7F7F" w:themeColor="text1" w:themeTint="80"/>
            </w:tcBorders>
            <w:vAlign w:val="center"/>
          </w:tcPr>
          <w:p w14:paraId="6B7F1F29" w14:textId="148F3051" w:rsidR="003731CE" w:rsidRPr="00E751F9" w:rsidRDefault="00E751F9" w:rsidP="00E751F9">
            <w:pPr>
              <w:spacing w:after="0"/>
              <w:rPr>
                <w:sz w:val="16"/>
              </w:rPr>
            </w:pPr>
            <w:r w:rsidRPr="00E751F9">
              <w:rPr>
                <w:sz w:val="16"/>
              </w:rPr>
              <w:t xml:space="preserve">Phones </w:t>
            </w:r>
            <w:r w:rsidR="003A78CB">
              <w:rPr>
                <w:sz w:val="16"/>
              </w:rPr>
              <w:t xml:space="preserve">are </w:t>
            </w:r>
            <w:r w:rsidRPr="00E751F9">
              <w:rPr>
                <w:sz w:val="16"/>
              </w:rPr>
              <w:t>owned individually</w:t>
            </w:r>
            <w:r w:rsidR="003A78CB">
              <w:rPr>
                <w:sz w:val="16"/>
              </w:rPr>
              <w:t xml:space="preserve"> (by those above a certain </w:t>
            </w:r>
            <w:r w:rsidR="006E780A">
              <w:rPr>
                <w:sz w:val="16"/>
              </w:rPr>
              <w:t>age</w:t>
            </w:r>
            <w:r w:rsidR="003A78CB">
              <w:rPr>
                <w:sz w:val="16"/>
              </w:rPr>
              <w:t>)</w:t>
            </w:r>
          </w:p>
        </w:tc>
      </w:tr>
      <w:tr w:rsidR="003731CE" w:rsidRPr="004E6C68" w14:paraId="4EA9CE13" w14:textId="77777777" w:rsidTr="00906C1A">
        <w:trPr>
          <w:jc w:val="right"/>
        </w:trPr>
        <w:tc>
          <w:tcPr>
            <w:tcW w:w="1133" w:type="dxa"/>
            <w:vMerge/>
            <w:tcBorders>
              <w:right w:val="dashSmallGap" w:sz="4" w:space="0" w:color="7F7F7F" w:themeColor="text1" w:themeTint="80"/>
            </w:tcBorders>
          </w:tcPr>
          <w:p w14:paraId="76A26E24" w14:textId="77777777" w:rsidR="003731CE" w:rsidRPr="00E2004B" w:rsidRDefault="003731CE" w:rsidP="003731CE">
            <w:pPr>
              <w:spacing w:after="0"/>
              <w:ind w:left="169"/>
              <w:rPr>
                <w:b/>
                <w:sz w:val="20"/>
                <w:szCs w:val="20"/>
                <w:lang w:val="fr-CH"/>
              </w:rPr>
            </w:pPr>
          </w:p>
        </w:tc>
        <w:tc>
          <w:tcPr>
            <w:tcW w:w="1872" w:type="dxa"/>
            <w:tcBorders>
              <w:left w:val="dashSmallGap" w:sz="4" w:space="0" w:color="7F7F7F" w:themeColor="text1" w:themeTint="80"/>
              <w:right w:val="single" w:sz="4" w:space="0" w:color="auto"/>
            </w:tcBorders>
            <w:vAlign w:val="center"/>
          </w:tcPr>
          <w:p w14:paraId="50685D9A" w14:textId="77777777" w:rsidR="003731CE" w:rsidRPr="00E751F9" w:rsidRDefault="003731CE" w:rsidP="00E751F9">
            <w:pPr>
              <w:spacing w:after="0"/>
              <w:rPr>
                <w:sz w:val="18"/>
              </w:rPr>
            </w:pPr>
            <w:r w:rsidRPr="00E751F9">
              <w:rPr>
                <w:sz w:val="18"/>
              </w:rPr>
              <w:t>Computers</w:t>
            </w:r>
          </w:p>
        </w:tc>
        <w:tc>
          <w:tcPr>
            <w:tcW w:w="980" w:type="dxa"/>
            <w:tcBorders>
              <w:left w:val="dashed" w:sz="4" w:space="0" w:color="7F7F7F" w:themeColor="text1" w:themeTint="80"/>
            </w:tcBorders>
            <w:vAlign w:val="center"/>
          </w:tcPr>
          <w:p w14:paraId="7061ED52" w14:textId="77777777" w:rsidR="003731CE" w:rsidRPr="00E751F9" w:rsidRDefault="003731CE" w:rsidP="00E751F9">
            <w:pPr>
              <w:spacing w:after="0"/>
              <w:rPr>
                <w:sz w:val="18"/>
                <w:szCs w:val="18"/>
              </w:rPr>
            </w:pPr>
            <w:r w:rsidRPr="00E751F9">
              <w:rPr>
                <w:sz w:val="18"/>
                <w:szCs w:val="18"/>
              </w:rPr>
              <w:t>Household</w:t>
            </w:r>
          </w:p>
        </w:tc>
        <w:tc>
          <w:tcPr>
            <w:tcW w:w="5097" w:type="dxa"/>
            <w:tcBorders>
              <w:left w:val="dashed" w:sz="4" w:space="0" w:color="7F7F7F" w:themeColor="text1" w:themeTint="80"/>
            </w:tcBorders>
            <w:vAlign w:val="center"/>
          </w:tcPr>
          <w:p w14:paraId="77DA5713" w14:textId="0DE05EFC" w:rsidR="003731CE" w:rsidRPr="00E751F9" w:rsidRDefault="00E751F9" w:rsidP="00E751F9">
            <w:pPr>
              <w:spacing w:after="0"/>
              <w:rPr>
                <w:sz w:val="16"/>
              </w:rPr>
            </w:pPr>
            <w:r w:rsidRPr="00E751F9">
              <w:rPr>
                <w:sz w:val="16"/>
              </w:rPr>
              <w:t xml:space="preserve">Laptops </w:t>
            </w:r>
            <w:r w:rsidR="003A78CB">
              <w:rPr>
                <w:sz w:val="16"/>
              </w:rPr>
              <w:t>are owned</w:t>
            </w:r>
            <w:r w:rsidRPr="00E751F9">
              <w:rPr>
                <w:sz w:val="16"/>
              </w:rPr>
              <w:t xml:space="preserve"> at the household level</w:t>
            </w:r>
          </w:p>
        </w:tc>
      </w:tr>
      <w:tr w:rsidR="003731CE" w:rsidRPr="004E6C68" w14:paraId="0A181A4A" w14:textId="77777777" w:rsidTr="00906C1A">
        <w:trPr>
          <w:jc w:val="right"/>
        </w:trPr>
        <w:tc>
          <w:tcPr>
            <w:tcW w:w="1133" w:type="dxa"/>
            <w:vMerge/>
            <w:tcBorders>
              <w:right w:val="dashSmallGap" w:sz="4" w:space="0" w:color="7F7F7F" w:themeColor="text1" w:themeTint="80"/>
            </w:tcBorders>
          </w:tcPr>
          <w:p w14:paraId="63538152" w14:textId="77777777" w:rsidR="003731CE" w:rsidRPr="00025416" w:rsidRDefault="003731CE" w:rsidP="003731CE">
            <w:pPr>
              <w:spacing w:after="0"/>
              <w:rPr>
                <w:b/>
                <w:sz w:val="20"/>
                <w:szCs w:val="20"/>
              </w:rPr>
            </w:pPr>
          </w:p>
        </w:tc>
        <w:tc>
          <w:tcPr>
            <w:tcW w:w="1872" w:type="dxa"/>
            <w:tcBorders>
              <w:left w:val="dashSmallGap" w:sz="4" w:space="0" w:color="7F7F7F" w:themeColor="text1" w:themeTint="80"/>
              <w:right w:val="single" w:sz="4" w:space="0" w:color="auto"/>
            </w:tcBorders>
            <w:vAlign w:val="center"/>
          </w:tcPr>
          <w:p w14:paraId="15951F80" w14:textId="77777777" w:rsidR="003731CE" w:rsidRPr="00E751F9" w:rsidRDefault="003731CE" w:rsidP="00E751F9">
            <w:pPr>
              <w:spacing w:after="0"/>
              <w:rPr>
                <w:sz w:val="18"/>
              </w:rPr>
            </w:pPr>
            <w:r w:rsidRPr="00E751F9">
              <w:rPr>
                <w:sz w:val="18"/>
              </w:rPr>
              <w:t>Networks + data centres</w:t>
            </w:r>
          </w:p>
        </w:tc>
        <w:tc>
          <w:tcPr>
            <w:tcW w:w="980" w:type="dxa"/>
            <w:tcBorders>
              <w:left w:val="dashed" w:sz="4" w:space="0" w:color="7F7F7F" w:themeColor="text1" w:themeTint="80"/>
            </w:tcBorders>
            <w:vAlign w:val="center"/>
          </w:tcPr>
          <w:p w14:paraId="613338D4" w14:textId="77777777" w:rsidR="003731CE" w:rsidRPr="00E751F9" w:rsidRDefault="003731CE" w:rsidP="00E751F9">
            <w:pPr>
              <w:spacing w:after="0"/>
              <w:rPr>
                <w:sz w:val="18"/>
                <w:szCs w:val="18"/>
              </w:rPr>
            </w:pPr>
            <w:r w:rsidRPr="00E751F9">
              <w:rPr>
                <w:sz w:val="18"/>
                <w:szCs w:val="18"/>
              </w:rPr>
              <w:t>Collective</w:t>
            </w:r>
          </w:p>
        </w:tc>
        <w:tc>
          <w:tcPr>
            <w:tcW w:w="5097" w:type="dxa"/>
            <w:tcBorders>
              <w:left w:val="dashed" w:sz="4" w:space="0" w:color="7F7F7F" w:themeColor="text1" w:themeTint="80"/>
            </w:tcBorders>
            <w:vAlign w:val="center"/>
          </w:tcPr>
          <w:p w14:paraId="051819DA" w14:textId="429AA883" w:rsidR="003731CE" w:rsidRPr="00E751F9" w:rsidRDefault="00E751F9" w:rsidP="00E751F9">
            <w:pPr>
              <w:spacing w:after="0"/>
              <w:rPr>
                <w:sz w:val="16"/>
              </w:rPr>
            </w:pPr>
            <w:r w:rsidRPr="00E751F9">
              <w:rPr>
                <w:sz w:val="16"/>
              </w:rPr>
              <w:t xml:space="preserve">Infrastructure supporting the above </w:t>
            </w:r>
            <w:r w:rsidR="003A78CB">
              <w:rPr>
                <w:sz w:val="16"/>
              </w:rPr>
              <w:t xml:space="preserve">technologies </w:t>
            </w:r>
            <w:r w:rsidRPr="00E751F9">
              <w:rPr>
                <w:sz w:val="16"/>
              </w:rPr>
              <w:t>is collective</w:t>
            </w:r>
          </w:p>
        </w:tc>
      </w:tr>
      <w:tr w:rsidR="003731CE" w14:paraId="3EA74F29" w14:textId="77777777" w:rsidTr="00906C1A">
        <w:trPr>
          <w:jc w:val="right"/>
        </w:trPr>
        <w:tc>
          <w:tcPr>
            <w:tcW w:w="1133" w:type="dxa"/>
            <w:tcBorders>
              <w:top w:val="single" w:sz="4" w:space="0" w:color="auto"/>
              <w:right w:val="dashSmallGap" w:sz="4" w:space="0" w:color="7F7F7F" w:themeColor="text1" w:themeTint="80"/>
            </w:tcBorders>
            <w:shd w:val="clear" w:color="auto" w:fill="F2F2F2" w:themeFill="background1" w:themeFillShade="F2"/>
          </w:tcPr>
          <w:p w14:paraId="59B5352A" w14:textId="77777777" w:rsidR="003731CE" w:rsidRPr="00025416" w:rsidRDefault="003731CE" w:rsidP="003731CE">
            <w:pPr>
              <w:spacing w:after="0"/>
              <w:rPr>
                <w:b/>
                <w:sz w:val="20"/>
                <w:szCs w:val="20"/>
              </w:rPr>
            </w:pPr>
            <w:r w:rsidRPr="00025416">
              <w:rPr>
                <w:b/>
                <w:sz w:val="20"/>
                <w:szCs w:val="20"/>
              </w:rPr>
              <w:t>Mobility</w:t>
            </w:r>
          </w:p>
        </w:tc>
        <w:tc>
          <w:tcPr>
            <w:tcW w:w="1872" w:type="dxa"/>
            <w:tcBorders>
              <w:top w:val="single" w:sz="4" w:space="0" w:color="auto"/>
              <w:left w:val="dashSmallGap" w:sz="4" w:space="0" w:color="7F7F7F" w:themeColor="text1" w:themeTint="80"/>
              <w:right w:val="single" w:sz="4" w:space="0" w:color="auto"/>
            </w:tcBorders>
            <w:shd w:val="clear" w:color="auto" w:fill="F2F2F2" w:themeFill="background1" w:themeFillShade="F2"/>
            <w:vAlign w:val="center"/>
          </w:tcPr>
          <w:p w14:paraId="17C57383" w14:textId="19A9C09E" w:rsidR="003731CE" w:rsidRPr="00E751F9" w:rsidRDefault="003731CE" w:rsidP="009B3537">
            <w:pPr>
              <w:spacing w:after="0"/>
              <w:rPr>
                <w:sz w:val="18"/>
              </w:rPr>
            </w:pPr>
            <w:r w:rsidRPr="00E751F9">
              <w:rPr>
                <w:sz w:val="18"/>
              </w:rPr>
              <w:t>Vehicle</w:t>
            </w:r>
            <w:r w:rsidR="009B3537">
              <w:rPr>
                <w:sz w:val="18"/>
              </w:rPr>
              <w:t>s</w:t>
            </w:r>
          </w:p>
        </w:tc>
        <w:tc>
          <w:tcPr>
            <w:tcW w:w="980" w:type="dxa"/>
            <w:tcBorders>
              <w:top w:val="single" w:sz="4" w:space="0" w:color="auto"/>
              <w:left w:val="dashed" w:sz="4" w:space="0" w:color="7F7F7F" w:themeColor="text1" w:themeTint="80"/>
            </w:tcBorders>
            <w:shd w:val="clear" w:color="auto" w:fill="F2F2F2" w:themeFill="background1" w:themeFillShade="F2"/>
            <w:vAlign w:val="center"/>
          </w:tcPr>
          <w:p w14:paraId="557501C2" w14:textId="64EE32BD" w:rsidR="003731CE" w:rsidRPr="003A78CB" w:rsidRDefault="003A78CB" w:rsidP="00E751F9">
            <w:pPr>
              <w:spacing w:after="0"/>
              <w:rPr>
                <w:i/>
                <w:sz w:val="18"/>
                <w:szCs w:val="18"/>
              </w:rPr>
            </w:pPr>
            <w:r w:rsidRPr="003A78CB">
              <w:rPr>
                <w:i/>
                <w:sz w:val="18"/>
                <w:szCs w:val="18"/>
              </w:rPr>
              <w:t>Various</w:t>
            </w:r>
          </w:p>
        </w:tc>
        <w:tc>
          <w:tcPr>
            <w:tcW w:w="5097" w:type="dxa"/>
            <w:tcBorders>
              <w:top w:val="single" w:sz="4" w:space="0" w:color="auto"/>
              <w:left w:val="dashed" w:sz="4" w:space="0" w:color="7F7F7F" w:themeColor="text1" w:themeTint="80"/>
            </w:tcBorders>
            <w:shd w:val="clear" w:color="auto" w:fill="F2F2F2" w:themeFill="background1" w:themeFillShade="F2"/>
            <w:vAlign w:val="center"/>
          </w:tcPr>
          <w:p w14:paraId="04D15DED" w14:textId="23C4B0AA" w:rsidR="003731CE" w:rsidRPr="00E751F9" w:rsidRDefault="003A78CB" w:rsidP="003A78CB">
            <w:pPr>
              <w:spacing w:after="0"/>
              <w:rPr>
                <w:sz w:val="16"/>
              </w:rPr>
            </w:pPr>
            <w:r>
              <w:rPr>
                <w:sz w:val="16"/>
              </w:rPr>
              <w:t xml:space="preserve">Some </w:t>
            </w:r>
            <w:r w:rsidRPr="003A78CB">
              <w:rPr>
                <w:i/>
                <w:sz w:val="16"/>
              </w:rPr>
              <w:t>could</w:t>
            </w:r>
            <w:r>
              <w:rPr>
                <w:sz w:val="16"/>
              </w:rPr>
              <w:t xml:space="preserve"> be owned individually (e.g. cars, bikes), others not (e.g. trains…)</w:t>
            </w:r>
          </w:p>
        </w:tc>
      </w:tr>
      <w:tr w:rsidR="003731CE" w14:paraId="57B999AB" w14:textId="77777777" w:rsidTr="00906C1A">
        <w:trPr>
          <w:jc w:val="right"/>
        </w:trPr>
        <w:tc>
          <w:tcPr>
            <w:tcW w:w="1133" w:type="dxa"/>
            <w:tcBorders>
              <w:right w:val="dashSmallGap" w:sz="4" w:space="0" w:color="7F7F7F" w:themeColor="text1" w:themeTint="80"/>
            </w:tcBorders>
            <w:shd w:val="clear" w:color="auto" w:fill="F2F2F2" w:themeFill="background1" w:themeFillShade="F2"/>
          </w:tcPr>
          <w:p w14:paraId="3ED86DA2" w14:textId="77777777" w:rsidR="003731CE" w:rsidRPr="00025416" w:rsidRDefault="003731CE" w:rsidP="003731CE">
            <w:pPr>
              <w:spacing w:after="0"/>
              <w:rPr>
                <w:b/>
                <w:sz w:val="20"/>
                <w:szCs w:val="20"/>
              </w:rPr>
            </w:pPr>
          </w:p>
        </w:tc>
        <w:tc>
          <w:tcPr>
            <w:tcW w:w="1872" w:type="dxa"/>
            <w:tcBorders>
              <w:left w:val="dashSmallGap" w:sz="4" w:space="0" w:color="7F7F7F" w:themeColor="text1" w:themeTint="80"/>
              <w:right w:val="single" w:sz="4" w:space="0" w:color="auto"/>
            </w:tcBorders>
            <w:shd w:val="clear" w:color="auto" w:fill="F2F2F2" w:themeFill="background1" w:themeFillShade="F2"/>
            <w:vAlign w:val="center"/>
          </w:tcPr>
          <w:p w14:paraId="0FF2AD7B" w14:textId="280EADD2" w:rsidR="003731CE" w:rsidRPr="00E751F9" w:rsidRDefault="003731CE" w:rsidP="009B3537">
            <w:pPr>
              <w:spacing w:after="0"/>
              <w:rPr>
                <w:sz w:val="18"/>
              </w:rPr>
            </w:pPr>
            <w:r w:rsidRPr="00E751F9">
              <w:rPr>
                <w:sz w:val="18"/>
              </w:rPr>
              <w:t>Vehicle</w:t>
            </w:r>
            <w:r w:rsidR="009B3537">
              <w:rPr>
                <w:sz w:val="18"/>
              </w:rPr>
              <w:t>s</w:t>
            </w:r>
            <w:r w:rsidRPr="00E751F9">
              <w:rPr>
                <w:sz w:val="18"/>
              </w:rPr>
              <w:t>’ propulsion</w:t>
            </w:r>
          </w:p>
        </w:tc>
        <w:tc>
          <w:tcPr>
            <w:tcW w:w="980" w:type="dxa"/>
            <w:tcBorders>
              <w:left w:val="dashed" w:sz="4" w:space="0" w:color="7F7F7F" w:themeColor="text1" w:themeTint="80"/>
            </w:tcBorders>
            <w:shd w:val="clear" w:color="auto" w:fill="F2F2F2" w:themeFill="background1" w:themeFillShade="F2"/>
            <w:vAlign w:val="center"/>
          </w:tcPr>
          <w:p w14:paraId="2F30C73D" w14:textId="77777777" w:rsidR="003731CE" w:rsidRPr="00E751F9" w:rsidRDefault="003731CE" w:rsidP="00E751F9">
            <w:pPr>
              <w:spacing w:after="0"/>
              <w:rPr>
                <w:sz w:val="18"/>
                <w:szCs w:val="18"/>
              </w:rPr>
            </w:pPr>
            <w:r w:rsidRPr="00E751F9">
              <w:rPr>
                <w:i/>
                <w:sz w:val="18"/>
                <w:szCs w:val="18"/>
              </w:rPr>
              <w:t>Various</w:t>
            </w:r>
          </w:p>
        </w:tc>
        <w:tc>
          <w:tcPr>
            <w:tcW w:w="5097" w:type="dxa"/>
            <w:tcBorders>
              <w:left w:val="dashed" w:sz="4" w:space="0" w:color="7F7F7F" w:themeColor="text1" w:themeTint="80"/>
            </w:tcBorders>
            <w:shd w:val="clear" w:color="auto" w:fill="F2F2F2" w:themeFill="background1" w:themeFillShade="F2"/>
            <w:vAlign w:val="center"/>
          </w:tcPr>
          <w:p w14:paraId="7D58303B" w14:textId="046AB0E6" w:rsidR="003731CE" w:rsidRPr="00E751F9" w:rsidRDefault="003A78CB" w:rsidP="00E751F9">
            <w:pPr>
              <w:spacing w:after="0"/>
              <w:rPr>
                <w:sz w:val="16"/>
              </w:rPr>
            </w:pPr>
            <w:r>
              <w:rPr>
                <w:sz w:val="16"/>
              </w:rPr>
              <w:t>This would vary in-line with vehicle ownership</w:t>
            </w:r>
          </w:p>
        </w:tc>
      </w:tr>
      <w:tr w:rsidR="003731CE" w14:paraId="60E6E9CF" w14:textId="77777777" w:rsidTr="00906C1A">
        <w:trPr>
          <w:jc w:val="right"/>
        </w:trPr>
        <w:tc>
          <w:tcPr>
            <w:tcW w:w="1133" w:type="dxa"/>
            <w:tcBorders>
              <w:right w:val="dashSmallGap" w:sz="4" w:space="0" w:color="7F7F7F" w:themeColor="text1" w:themeTint="80"/>
            </w:tcBorders>
            <w:shd w:val="clear" w:color="auto" w:fill="F2F2F2" w:themeFill="background1" w:themeFillShade="F2"/>
          </w:tcPr>
          <w:p w14:paraId="1381C3A9" w14:textId="77777777" w:rsidR="003731CE" w:rsidRPr="00025416" w:rsidRDefault="003731CE" w:rsidP="003731CE">
            <w:pPr>
              <w:spacing w:after="0"/>
              <w:rPr>
                <w:b/>
                <w:sz w:val="20"/>
                <w:szCs w:val="20"/>
              </w:rPr>
            </w:pPr>
          </w:p>
        </w:tc>
        <w:tc>
          <w:tcPr>
            <w:tcW w:w="1872" w:type="dxa"/>
            <w:tcBorders>
              <w:left w:val="dashSmallGap" w:sz="4" w:space="0" w:color="7F7F7F" w:themeColor="text1" w:themeTint="80"/>
              <w:right w:val="single" w:sz="4" w:space="0" w:color="auto"/>
            </w:tcBorders>
            <w:shd w:val="clear" w:color="auto" w:fill="F2F2F2" w:themeFill="background1" w:themeFillShade="F2"/>
            <w:vAlign w:val="center"/>
          </w:tcPr>
          <w:p w14:paraId="743BEBBB" w14:textId="451361E4" w:rsidR="003731CE" w:rsidRPr="00E751F9" w:rsidRDefault="003731CE" w:rsidP="00E751F9">
            <w:pPr>
              <w:spacing w:after="0"/>
              <w:rPr>
                <w:sz w:val="18"/>
              </w:rPr>
            </w:pPr>
            <w:r w:rsidRPr="00E751F9">
              <w:rPr>
                <w:sz w:val="18"/>
              </w:rPr>
              <w:t>Transport infrastructure</w:t>
            </w:r>
          </w:p>
        </w:tc>
        <w:tc>
          <w:tcPr>
            <w:tcW w:w="980" w:type="dxa"/>
            <w:tcBorders>
              <w:left w:val="dashed" w:sz="4" w:space="0" w:color="7F7F7F" w:themeColor="text1" w:themeTint="80"/>
            </w:tcBorders>
            <w:shd w:val="clear" w:color="auto" w:fill="F2F2F2" w:themeFill="background1" w:themeFillShade="F2"/>
            <w:vAlign w:val="center"/>
          </w:tcPr>
          <w:p w14:paraId="5383F225" w14:textId="77777777" w:rsidR="003731CE" w:rsidRPr="00E751F9" w:rsidRDefault="003731CE" w:rsidP="00E751F9">
            <w:pPr>
              <w:spacing w:after="0"/>
              <w:rPr>
                <w:sz w:val="18"/>
                <w:szCs w:val="18"/>
              </w:rPr>
            </w:pPr>
            <w:r w:rsidRPr="00E751F9">
              <w:rPr>
                <w:sz w:val="18"/>
                <w:szCs w:val="18"/>
              </w:rPr>
              <w:t>Collective</w:t>
            </w:r>
          </w:p>
        </w:tc>
        <w:tc>
          <w:tcPr>
            <w:tcW w:w="5097" w:type="dxa"/>
            <w:tcBorders>
              <w:left w:val="dashed" w:sz="4" w:space="0" w:color="7F7F7F" w:themeColor="text1" w:themeTint="80"/>
            </w:tcBorders>
            <w:shd w:val="clear" w:color="auto" w:fill="F2F2F2" w:themeFill="background1" w:themeFillShade="F2"/>
            <w:vAlign w:val="center"/>
          </w:tcPr>
          <w:p w14:paraId="07ED4ADD" w14:textId="4559E435" w:rsidR="003731CE" w:rsidRPr="00E751F9" w:rsidRDefault="003A78CB" w:rsidP="00E751F9">
            <w:pPr>
              <w:spacing w:after="0"/>
              <w:rPr>
                <w:sz w:val="16"/>
              </w:rPr>
            </w:pPr>
            <w:r>
              <w:rPr>
                <w:sz w:val="16"/>
              </w:rPr>
              <w:t>Infrastructure supporting transport is collective</w:t>
            </w:r>
          </w:p>
        </w:tc>
      </w:tr>
    </w:tbl>
    <w:p w14:paraId="26B41072" w14:textId="055EE7E6" w:rsidR="006D709D" w:rsidRPr="00500370" w:rsidRDefault="00C579A8" w:rsidP="006B0FAE">
      <w:r w:rsidRPr="00500370">
        <w:lastRenderedPageBreak/>
        <w:t xml:space="preserve">schemes. </w:t>
      </w:r>
      <w:r>
        <w:t>T</w:t>
      </w:r>
      <w:r w:rsidRPr="00500370">
        <w:t xml:space="preserve">he model is </w:t>
      </w:r>
      <w:r>
        <w:t xml:space="preserve">thus </w:t>
      </w:r>
      <w:r w:rsidRPr="00500370">
        <w:t xml:space="preserve">flexible with respect to ownership levels – </w:t>
      </w:r>
      <w:r>
        <w:t xml:space="preserve">we need </w:t>
      </w:r>
      <w:r w:rsidRPr="00500370">
        <w:t xml:space="preserve">only assume that </w:t>
      </w:r>
      <w:r w:rsidR="00500370" w:rsidRPr="00500370">
        <w:t xml:space="preserve">all </w:t>
      </w:r>
      <w:r w:rsidR="00FC5BFA" w:rsidRPr="00500370">
        <w:t>vehicles produced are (</w:t>
      </w:r>
      <w:proofErr w:type="spellStart"/>
      <w:r w:rsidR="00FC5BFA" w:rsidRPr="00500370">
        <w:t>i</w:t>
      </w:r>
      <w:proofErr w:type="spellEnd"/>
      <w:r w:rsidR="00FC5BFA" w:rsidRPr="00500370">
        <w:t xml:space="preserve">) used to the </w:t>
      </w:r>
      <w:r w:rsidR="0078765D">
        <w:t>end</w:t>
      </w:r>
      <w:r w:rsidR="00FC5BFA" w:rsidRPr="00500370">
        <w:t xml:space="preserve"> of their useful life, (ii) always driven with a particular </w:t>
      </w:r>
      <w:r w:rsidR="00ED23B5" w:rsidRPr="00500370">
        <w:t xml:space="preserve">occupancy </w:t>
      </w:r>
      <w:r w:rsidR="0078765D">
        <w:t>rate</w:t>
      </w:r>
      <w:r w:rsidR="00ED23B5" w:rsidRPr="00500370">
        <w:t xml:space="preserve"> and (iii) cover a fixed distance </w:t>
      </w:r>
      <w:r w:rsidR="0078765D">
        <w:t>annually</w:t>
      </w:r>
      <w:r w:rsidR="00ED23B5" w:rsidRPr="00500370">
        <w:t xml:space="preserve">. </w:t>
      </w:r>
      <w:r w:rsidR="0078765D">
        <w:t>O</w:t>
      </w:r>
      <w:r w:rsidR="0078765D" w:rsidRPr="00500370">
        <w:t xml:space="preserve">f course, </w:t>
      </w:r>
      <w:r w:rsidR="0078765D">
        <w:t>o</w:t>
      </w:r>
      <w:r w:rsidR="00ED23B5" w:rsidRPr="00500370">
        <w:t xml:space="preserve">wnership is an essential issue for </w:t>
      </w:r>
      <w:r w:rsidR="005A5C1F" w:rsidRPr="00500370">
        <w:t xml:space="preserve">implementation – individual vehicle ownership could make high occupancy rates and low-activity levels difficult to achieve; collective schemes could be public or private with associated pros </w:t>
      </w:r>
      <w:r w:rsidR="004B7A92" w:rsidRPr="00500370">
        <w:t xml:space="preserve">and </w:t>
      </w:r>
      <w:r w:rsidR="00A51C8F" w:rsidRPr="00500370">
        <w:t xml:space="preserve">cons. These questions </w:t>
      </w:r>
      <w:r w:rsidR="006D709D" w:rsidRPr="00500370">
        <w:t xml:space="preserve">are beyond our scope, but are nonetheless important to bear in mind throughout Part 1. </w:t>
      </w:r>
      <w:r w:rsidR="005B540F">
        <w:t>I</w:t>
      </w:r>
      <w:r w:rsidR="005B540F" w:rsidRPr="00500370">
        <w:t xml:space="preserve">n </w:t>
      </w:r>
      <w:r w:rsidR="00471003">
        <w:t>Table S1</w:t>
      </w:r>
      <w:r w:rsidR="005B540F">
        <w:t>, w</w:t>
      </w:r>
      <w:r w:rsidR="006D709D" w:rsidRPr="00500370">
        <w:t>e</w:t>
      </w:r>
      <w:r w:rsidR="004B7A92" w:rsidRPr="00500370">
        <w:t xml:space="preserve"> </w:t>
      </w:r>
      <w:r w:rsidR="006D709D" w:rsidRPr="00500370">
        <w:t>summarise</w:t>
      </w:r>
      <w:r w:rsidR="00B15E37" w:rsidRPr="00500370">
        <w:t xml:space="preserve"> </w:t>
      </w:r>
      <w:r w:rsidR="006D709D" w:rsidRPr="00500370">
        <w:t>DLS dimensions a</w:t>
      </w:r>
      <w:r w:rsidR="004B7A92" w:rsidRPr="00500370">
        <w:t>long with</w:t>
      </w:r>
      <w:r w:rsidR="006D709D" w:rsidRPr="00500370">
        <w:t xml:space="preserve"> </w:t>
      </w:r>
      <w:r w:rsidR="005B540F">
        <w:t xml:space="preserve">wider </w:t>
      </w:r>
      <w:r w:rsidR="004B7A92" w:rsidRPr="00500370">
        <w:t>considerations</w:t>
      </w:r>
      <w:r w:rsidR="006D709D" w:rsidRPr="00500370">
        <w:t>.</w:t>
      </w:r>
    </w:p>
    <w:p w14:paraId="723A6871" w14:textId="1C111037" w:rsidR="00D73857" w:rsidRPr="00500370" w:rsidRDefault="006D709D" w:rsidP="006B0FAE">
      <w:pPr>
        <w:rPr>
          <w:iCs/>
        </w:rPr>
      </w:pPr>
      <w:r w:rsidRPr="00500370">
        <w:rPr>
          <w:i/>
        </w:rPr>
        <w:t xml:space="preserve">Comparison with similar studies:  </w:t>
      </w:r>
      <w:r w:rsidR="005A7523" w:rsidRPr="00500370">
        <w:t>W</w:t>
      </w:r>
      <w:r w:rsidR="006B0FAE" w:rsidRPr="00500370">
        <w:t xml:space="preserve">e </w:t>
      </w:r>
      <w:r w:rsidR="00393B5B" w:rsidRPr="00500370">
        <w:t xml:space="preserve">now </w:t>
      </w:r>
      <w:r w:rsidR="006B0FAE" w:rsidRPr="00500370">
        <w:t xml:space="preserve">compare </w:t>
      </w:r>
      <w:r w:rsidR="00393B5B" w:rsidRPr="00500370">
        <w:t>our</w:t>
      </w:r>
      <w:r w:rsidRPr="00500370">
        <w:t xml:space="preserve"> </w:t>
      </w:r>
      <w:r w:rsidR="00393B5B" w:rsidRPr="00500370">
        <w:t>key</w:t>
      </w:r>
      <w:r w:rsidRPr="00500370">
        <w:t xml:space="preserve"> </w:t>
      </w:r>
      <w:r w:rsidR="00393B5B" w:rsidRPr="00500370">
        <w:t xml:space="preserve">assumptions and </w:t>
      </w:r>
      <w:r w:rsidRPr="00500370">
        <w:t xml:space="preserve">model outputs with two </w:t>
      </w:r>
      <w:r w:rsidR="005B540F" w:rsidRPr="00500370">
        <w:t xml:space="preserve">similar </w:t>
      </w:r>
      <w:r w:rsidRPr="00500370">
        <w:t>studies</w:t>
      </w:r>
      <w:r w:rsidR="00393B5B" w:rsidRPr="00500370">
        <w:t xml:space="preserve">, outlining the largest differences we find and likely reasons </w:t>
      </w:r>
      <w:r w:rsidR="005B540F">
        <w:t>for them</w:t>
      </w:r>
      <w:r w:rsidR="00393B5B" w:rsidRPr="00500370">
        <w:t>.</w:t>
      </w:r>
      <w:r w:rsidR="005A7523" w:rsidRPr="00500370">
        <w:t xml:space="preserve"> </w:t>
      </w:r>
      <w:r w:rsidR="00D24295" w:rsidRPr="00500370">
        <w:t>Specifically, these are (</w:t>
      </w:r>
      <w:proofErr w:type="spellStart"/>
      <w:r w:rsidR="00D24295" w:rsidRPr="00500370">
        <w:t>i</w:t>
      </w:r>
      <w:proofErr w:type="spellEnd"/>
      <w:r w:rsidR="00D24295" w:rsidRPr="00500370">
        <w:t>) that of</w:t>
      </w:r>
      <w:r w:rsidR="0049500D">
        <w:t xml:space="preserve"> </w:t>
      </w:r>
      <w:r w:rsidR="0049500D" w:rsidRPr="0049500D">
        <w:t xml:space="preserve">Rao, Min and </w:t>
      </w:r>
      <w:proofErr w:type="spellStart"/>
      <w:r w:rsidR="0049500D" w:rsidRPr="0049500D">
        <w:t>Mastrucci</w:t>
      </w:r>
      <w:proofErr w:type="spellEnd"/>
      <w:r w:rsidR="0049500D" w:rsidRPr="0049500D">
        <w:t xml:space="preserve"> (2019)</w:t>
      </w:r>
      <w:r w:rsidR="006A2825" w:rsidRPr="006A2825">
        <w:rPr>
          <w:iCs/>
          <w:noProof/>
          <w:vertAlign w:val="superscript"/>
        </w:rPr>
        <w:t>1</w:t>
      </w:r>
      <w:r w:rsidR="00D24295" w:rsidRPr="00500370">
        <w:rPr>
          <w:iCs/>
        </w:rPr>
        <w:t>, which estimates minimum energy requirements for decent living in India, Brazil and South Africa, including analysis of how to get from here to there</w:t>
      </w:r>
      <w:r w:rsidR="00D73857" w:rsidRPr="00500370">
        <w:rPr>
          <w:iCs/>
        </w:rPr>
        <w:t>,</w:t>
      </w:r>
      <w:r w:rsidR="00D24295" w:rsidRPr="00500370">
        <w:rPr>
          <w:iCs/>
        </w:rPr>
        <w:t xml:space="preserve"> given current infrastructure gaps, and (ii) the </w:t>
      </w:r>
      <w:r w:rsidR="00D24295" w:rsidRPr="00500370">
        <w:rPr>
          <w:i/>
          <w:iCs/>
        </w:rPr>
        <w:t>Low Energy Demand</w:t>
      </w:r>
      <w:r w:rsidR="00D24295" w:rsidRPr="00500370">
        <w:rPr>
          <w:iCs/>
        </w:rPr>
        <w:t xml:space="preserve"> Scenario of </w:t>
      </w:r>
      <w:proofErr w:type="spellStart"/>
      <w:r w:rsidR="0049500D" w:rsidRPr="0049500D">
        <w:rPr>
          <w:iCs/>
        </w:rPr>
        <w:t>Grubler</w:t>
      </w:r>
      <w:proofErr w:type="spellEnd"/>
      <w:r w:rsidR="0049500D" w:rsidRPr="0049500D">
        <w:rPr>
          <w:iCs/>
        </w:rPr>
        <w:t xml:space="preserve"> et al. (2018)</w:t>
      </w:r>
      <w:r w:rsidR="006A2825" w:rsidRPr="006A2825">
        <w:rPr>
          <w:iCs/>
          <w:noProof/>
          <w:vertAlign w:val="superscript"/>
        </w:rPr>
        <w:t>2</w:t>
      </w:r>
      <w:r w:rsidR="00D73857" w:rsidRPr="00500370">
        <w:rPr>
          <w:iCs/>
        </w:rPr>
        <w:t>, which describes a high-tech, low demand scenario consistent with keeping global temperature change to under 1.5 degrees (without negative emissions technologies).</w:t>
      </w:r>
    </w:p>
    <w:p w14:paraId="6882E67B" w14:textId="15FE6652" w:rsidR="00D654F2" w:rsidRPr="00500370" w:rsidRDefault="00471003" w:rsidP="006B0FAE">
      <w:pPr>
        <w:rPr>
          <w:iCs/>
        </w:rPr>
      </w:pPr>
      <w:r>
        <w:t>Table S2</w:t>
      </w:r>
      <w:r w:rsidR="00217D1B" w:rsidRPr="00500370">
        <w:t xml:space="preserve"> shows </w:t>
      </w:r>
      <w:r w:rsidR="000360D0">
        <w:t xml:space="preserve">that </w:t>
      </w:r>
      <w:r w:rsidR="000360D0" w:rsidRPr="00500370">
        <w:t xml:space="preserve">across </w:t>
      </w:r>
      <w:r w:rsidR="000413C6">
        <w:t>all three</w:t>
      </w:r>
      <w:r w:rsidR="000360D0" w:rsidRPr="00500370">
        <w:t xml:space="preserve"> studies </w:t>
      </w:r>
      <w:r w:rsidR="00217D1B" w:rsidRPr="00500370">
        <w:t>activity levels for housing and</w:t>
      </w:r>
      <w:r w:rsidR="00D24295" w:rsidRPr="00500370">
        <w:t xml:space="preserve"> transport are broadly similar</w:t>
      </w:r>
      <w:r w:rsidR="007D51DA" w:rsidRPr="00500370">
        <w:t>.</w:t>
      </w:r>
      <w:r w:rsidR="00D24295" w:rsidRPr="00500370">
        <w:t xml:space="preserve"> </w:t>
      </w:r>
      <w:r w:rsidR="000413C6">
        <w:t>Our assumptions are equal to</w:t>
      </w:r>
      <w:r w:rsidR="00D24295" w:rsidRPr="00500370">
        <w:t xml:space="preserve"> th</w:t>
      </w:r>
      <w:r w:rsidR="000413C6">
        <w:t>ose</w:t>
      </w:r>
      <w:r w:rsidR="00D24295" w:rsidRPr="00500370">
        <w:t xml:space="preserve"> of</w:t>
      </w:r>
      <w:r w:rsidR="006A2825">
        <w:t xml:space="preserve"> </w:t>
      </w:r>
      <w:r w:rsidR="006A2825" w:rsidRPr="0049500D">
        <w:t xml:space="preserve">Rao, Min and </w:t>
      </w:r>
      <w:proofErr w:type="spellStart"/>
      <w:r w:rsidR="006A2825" w:rsidRPr="0049500D">
        <w:t>Mastrucci</w:t>
      </w:r>
      <w:proofErr w:type="spellEnd"/>
      <w:r w:rsidR="00D24295" w:rsidRPr="00500370">
        <w:rPr>
          <w:iCs/>
        </w:rPr>
        <w:t xml:space="preserve"> </w:t>
      </w:r>
      <w:r w:rsidR="000413C6">
        <w:rPr>
          <w:iCs/>
        </w:rPr>
        <w:t>for</w:t>
      </w:r>
      <w:r w:rsidR="00D24295" w:rsidRPr="00500370">
        <w:rPr>
          <w:iCs/>
        </w:rPr>
        <w:t xml:space="preserve"> </w:t>
      </w:r>
      <w:r w:rsidR="000413C6">
        <w:rPr>
          <w:iCs/>
        </w:rPr>
        <w:t xml:space="preserve">average </w:t>
      </w:r>
      <w:r w:rsidR="00D24295" w:rsidRPr="00500370">
        <w:rPr>
          <w:iCs/>
        </w:rPr>
        <w:t>residential floor-space per capita</w:t>
      </w:r>
      <w:r w:rsidR="000413C6">
        <w:rPr>
          <w:iCs/>
        </w:rPr>
        <w:t>, but</w:t>
      </w:r>
      <w:r w:rsidR="000413C6" w:rsidRPr="00500370">
        <w:rPr>
          <w:iCs/>
        </w:rPr>
        <w:t xml:space="preserve"> </w:t>
      </w:r>
      <w:proofErr w:type="spellStart"/>
      <w:r w:rsidR="000413C6" w:rsidRPr="00500370">
        <w:rPr>
          <w:iCs/>
        </w:rPr>
        <w:t>Grubler</w:t>
      </w:r>
      <w:proofErr w:type="spellEnd"/>
      <w:r w:rsidR="000413C6" w:rsidRPr="00500370">
        <w:rPr>
          <w:iCs/>
        </w:rPr>
        <w:t xml:space="preserve"> et al. assume twice what we do (15 vs. 30 m</w:t>
      </w:r>
      <w:r w:rsidR="000413C6" w:rsidRPr="00500370">
        <w:rPr>
          <w:iCs/>
          <w:vertAlign w:val="superscript"/>
        </w:rPr>
        <w:t>2</w:t>
      </w:r>
      <w:r w:rsidR="000413C6" w:rsidRPr="00500370">
        <w:rPr>
          <w:iCs/>
        </w:rPr>
        <w:t>/capita).</w:t>
      </w:r>
      <w:r w:rsidR="000413C6">
        <w:rPr>
          <w:iCs/>
        </w:rPr>
        <w:t xml:space="preserve"> </w:t>
      </w:r>
      <w:r w:rsidR="000413C6" w:rsidRPr="00500370">
        <w:rPr>
          <w:iCs/>
        </w:rPr>
        <w:t xml:space="preserve">Our housing energy requirements are thus lower than those of </w:t>
      </w:r>
      <w:proofErr w:type="spellStart"/>
      <w:r w:rsidR="000413C6" w:rsidRPr="00500370">
        <w:rPr>
          <w:iCs/>
        </w:rPr>
        <w:t>Grubler</w:t>
      </w:r>
      <w:proofErr w:type="spellEnd"/>
      <w:r w:rsidR="000413C6" w:rsidRPr="00500370">
        <w:rPr>
          <w:iCs/>
        </w:rPr>
        <w:t xml:space="preserve"> et al., and similar to Rao, Min and </w:t>
      </w:r>
      <w:proofErr w:type="spellStart"/>
      <w:r w:rsidR="000413C6" w:rsidRPr="00500370">
        <w:rPr>
          <w:iCs/>
        </w:rPr>
        <w:t>Mastrucci</w:t>
      </w:r>
      <w:proofErr w:type="spellEnd"/>
      <w:r w:rsidR="000413C6" w:rsidRPr="00500370">
        <w:rPr>
          <w:iCs/>
        </w:rPr>
        <w:t xml:space="preserve">. </w:t>
      </w:r>
      <w:r w:rsidR="000413C6">
        <w:rPr>
          <w:iCs/>
        </w:rPr>
        <w:t>A</w:t>
      </w:r>
      <w:r w:rsidR="00D73857" w:rsidRPr="00500370">
        <w:rPr>
          <w:iCs/>
        </w:rPr>
        <w:t>ll three</w:t>
      </w:r>
      <w:r w:rsidR="000413C6">
        <w:rPr>
          <w:iCs/>
        </w:rPr>
        <w:t xml:space="preserve"> studies</w:t>
      </w:r>
      <w:r w:rsidR="00D73857" w:rsidRPr="00500370">
        <w:rPr>
          <w:iCs/>
        </w:rPr>
        <w:t xml:space="preserve"> assume mobility levels </w:t>
      </w:r>
      <w:r w:rsidR="007D51DA" w:rsidRPr="00500370">
        <w:rPr>
          <w:iCs/>
        </w:rPr>
        <w:t xml:space="preserve">of </w:t>
      </w:r>
      <w:r w:rsidR="000413C6">
        <w:rPr>
          <w:iCs/>
        </w:rPr>
        <w:t>~</w:t>
      </w:r>
      <w:r w:rsidR="00D73857" w:rsidRPr="00500370">
        <w:rPr>
          <w:iCs/>
        </w:rPr>
        <w:t xml:space="preserve">10,000 </w:t>
      </w:r>
      <w:r w:rsidR="00B0297D" w:rsidRPr="00500370">
        <w:rPr>
          <w:iCs/>
        </w:rPr>
        <w:t>p-</w:t>
      </w:r>
      <w:r w:rsidR="00D73857" w:rsidRPr="00500370">
        <w:rPr>
          <w:iCs/>
        </w:rPr>
        <w:t>km</w:t>
      </w:r>
      <w:r w:rsidR="00B0297D" w:rsidRPr="00500370">
        <w:rPr>
          <w:iCs/>
        </w:rPr>
        <w:t>/capita</w:t>
      </w:r>
      <w:r w:rsidR="000413C6">
        <w:rPr>
          <w:iCs/>
        </w:rPr>
        <w:t xml:space="preserve"> (</w:t>
      </w:r>
      <w:r w:rsidR="00D73857" w:rsidRPr="00500370">
        <w:rPr>
          <w:iCs/>
        </w:rPr>
        <w:t xml:space="preserve">our values are </w:t>
      </w:r>
      <w:r w:rsidR="00B0297D" w:rsidRPr="00500370">
        <w:rPr>
          <w:iCs/>
        </w:rPr>
        <w:t>slightly</w:t>
      </w:r>
      <w:r w:rsidR="00D73857" w:rsidRPr="00500370">
        <w:rPr>
          <w:iCs/>
        </w:rPr>
        <w:t xml:space="preserve"> </w:t>
      </w:r>
      <w:r w:rsidR="00B0297D" w:rsidRPr="00500370">
        <w:rPr>
          <w:iCs/>
        </w:rPr>
        <w:t>lower</w:t>
      </w:r>
      <w:r w:rsidR="000413C6">
        <w:rPr>
          <w:iCs/>
        </w:rPr>
        <w:t>;</w:t>
      </w:r>
      <w:r w:rsidR="00B0297D" w:rsidRPr="00500370">
        <w:rPr>
          <w:iCs/>
        </w:rPr>
        <w:t xml:space="preserve"> </w:t>
      </w:r>
      <w:proofErr w:type="spellStart"/>
      <w:r w:rsidR="00D73857" w:rsidRPr="00500370">
        <w:rPr>
          <w:iCs/>
        </w:rPr>
        <w:t>Grubler</w:t>
      </w:r>
      <w:proofErr w:type="spellEnd"/>
      <w:r w:rsidR="00D73857" w:rsidRPr="00500370">
        <w:rPr>
          <w:iCs/>
        </w:rPr>
        <w:t xml:space="preserve"> et al.’s </w:t>
      </w:r>
      <w:r w:rsidR="00B0297D" w:rsidRPr="00500370">
        <w:rPr>
          <w:iCs/>
        </w:rPr>
        <w:t>slight</w:t>
      </w:r>
      <w:r w:rsidR="00D654F2" w:rsidRPr="00500370">
        <w:rPr>
          <w:iCs/>
        </w:rPr>
        <w:t>ly</w:t>
      </w:r>
      <w:r w:rsidR="00D73857" w:rsidRPr="00500370">
        <w:rPr>
          <w:iCs/>
        </w:rPr>
        <w:t xml:space="preserve"> </w:t>
      </w:r>
      <w:r w:rsidR="00B0297D" w:rsidRPr="00500370">
        <w:rPr>
          <w:iCs/>
        </w:rPr>
        <w:t>higher</w:t>
      </w:r>
      <w:r w:rsidR="000413C6">
        <w:rPr>
          <w:iCs/>
        </w:rPr>
        <w:t>)</w:t>
      </w:r>
      <w:r w:rsidR="00D73857" w:rsidRPr="00500370">
        <w:rPr>
          <w:iCs/>
        </w:rPr>
        <w:t xml:space="preserve">. </w:t>
      </w:r>
      <w:r w:rsidR="000413C6">
        <w:rPr>
          <w:iCs/>
        </w:rPr>
        <w:t>However</w:t>
      </w:r>
      <w:r w:rsidR="007D51DA" w:rsidRPr="00500370">
        <w:rPr>
          <w:iCs/>
        </w:rPr>
        <w:t xml:space="preserve">, our ambitious energy intensity improvements bring total energy requirements below both these other studies. For food, our values are close to Rao, Min and </w:t>
      </w:r>
      <w:proofErr w:type="spellStart"/>
      <w:r w:rsidR="007D51DA" w:rsidRPr="00500370">
        <w:rPr>
          <w:iCs/>
        </w:rPr>
        <w:t>Mastrucci</w:t>
      </w:r>
      <w:proofErr w:type="spellEnd"/>
      <w:r w:rsidR="00D654F2" w:rsidRPr="00500370">
        <w:rPr>
          <w:iCs/>
        </w:rPr>
        <w:t xml:space="preserve">, </w:t>
      </w:r>
      <w:r w:rsidR="007D51DA" w:rsidRPr="00500370">
        <w:rPr>
          <w:iCs/>
        </w:rPr>
        <w:t>but cannot be compa</w:t>
      </w:r>
      <w:r w:rsidR="00D654F2" w:rsidRPr="00500370">
        <w:rPr>
          <w:iCs/>
        </w:rPr>
        <w:t xml:space="preserve">red directly to </w:t>
      </w:r>
      <w:proofErr w:type="spellStart"/>
      <w:r w:rsidR="00D654F2" w:rsidRPr="00500370">
        <w:rPr>
          <w:iCs/>
        </w:rPr>
        <w:t>Grubler</w:t>
      </w:r>
      <w:proofErr w:type="spellEnd"/>
      <w:r w:rsidR="00D654F2" w:rsidRPr="00500370">
        <w:rPr>
          <w:iCs/>
        </w:rPr>
        <w:t xml:space="preserve"> et al.</w:t>
      </w:r>
      <w:r w:rsidR="007D51DA" w:rsidRPr="00500370">
        <w:rPr>
          <w:iCs/>
        </w:rPr>
        <w:t xml:space="preserve"> </w:t>
      </w:r>
      <w:r w:rsidR="00F23A80">
        <w:rPr>
          <w:iCs/>
        </w:rPr>
        <w:t xml:space="preserve">Note that </w:t>
      </w:r>
      <w:r>
        <w:rPr>
          <w:iCs/>
        </w:rPr>
        <w:t>Table S2</w:t>
      </w:r>
      <w:r w:rsidR="00F23A80">
        <w:rPr>
          <w:iCs/>
        </w:rPr>
        <w:t xml:space="preserve"> does not include energy use values for all DLS dimensions, so they do not sum to the total energy requirements listed.</w:t>
      </w:r>
    </w:p>
    <w:p w14:paraId="1D43F0F7" w14:textId="2D0F2F47" w:rsidR="00CB0C6B" w:rsidRDefault="007D51DA" w:rsidP="006B0FAE">
      <w:pPr>
        <w:rPr>
          <w:iCs/>
        </w:rPr>
      </w:pPr>
      <w:r w:rsidRPr="00500370">
        <w:rPr>
          <w:iCs/>
        </w:rPr>
        <w:t xml:space="preserve">Overall, we estimate per-capita </w:t>
      </w:r>
      <w:r w:rsidR="00D654F2" w:rsidRPr="00500370">
        <w:rPr>
          <w:iCs/>
        </w:rPr>
        <w:t xml:space="preserve">final energy </w:t>
      </w:r>
      <w:r w:rsidRPr="00500370">
        <w:rPr>
          <w:iCs/>
        </w:rPr>
        <w:t xml:space="preserve">requirements </w:t>
      </w:r>
      <w:r w:rsidR="00D654F2" w:rsidRPr="00500370">
        <w:rPr>
          <w:iCs/>
        </w:rPr>
        <w:t xml:space="preserve">that are </w:t>
      </w:r>
      <w:r w:rsidRPr="00500370">
        <w:rPr>
          <w:iCs/>
        </w:rPr>
        <w:t xml:space="preserve">similar to those of Rao, Min and </w:t>
      </w:r>
      <w:proofErr w:type="spellStart"/>
      <w:r w:rsidRPr="00500370">
        <w:rPr>
          <w:iCs/>
        </w:rPr>
        <w:t>Mastrucci</w:t>
      </w:r>
      <w:proofErr w:type="spellEnd"/>
      <w:r w:rsidR="00D654F2" w:rsidRPr="00500370">
        <w:rPr>
          <w:iCs/>
        </w:rPr>
        <w:t xml:space="preserve"> (although with a narrower range). In contrast, our estimates are</w:t>
      </w:r>
      <w:r w:rsidRPr="00500370">
        <w:rPr>
          <w:iCs/>
        </w:rPr>
        <w:t xml:space="preserve"> substantially</w:t>
      </w:r>
      <w:r w:rsidR="00D654F2" w:rsidRPr="00500370">
        <w:rPr>
          <w:iCs/>
        </w:rPr>
        <w:t xml:space="preserve"> lower than </w:t>
      </w:r>
      <w:proofErr w:type="spellStart"/>
      <w:r w:rsidR="00D654F2" w:rsidRPr="00500370">
        <w:rPr>
          <w:iCs/>
        </w:rPr>
        <w:t>Grubler</w:t>
      </w:r>
      <w:proofErr w:type="spellEnd"/>
      <w:r w:rsidR="00D654F2" w:rsidRPr="00500370">
        <w:rPr>
          <w:iCs/>
        </w:rPr>
        <w:t xml:space="preserve"> et al., due, </w:t>
      </w:r>
      <w:r w:rsidRPr="00500370">
        <w:rPr>
          <w:iCs/>
        </w:rPr>
        <w:t>mostl</w:t>
      </w:r>
      <w:r w:rsidR="00D654F2" w:rsidRPr="00500370">
        <w:rPr>
          <w:iCs/>
        </w:rPr>
        <w:t>y,</w:t>
      </w:r>
      <w:r w:rsidRPr="00500370">
        <w:rPr>
          <w:iCs/>
        </w:rPr>
        <w:t xml:space="preserve"> to our more ambitious, sufficiency-based, demand-side assumptions.</w:t>
      </w:r>
    </w:p>
    <w:p w14:paraId="3A9572F6" w14:textId="16E5C62B" w:rsidR="00C579A8" w:rsidRDefault="00C579A8" w:rsidP="006B0FAE">
      <w:pPr>
        <w:rPr>
          <w:iCs/>
        </w:rPr>
      </w:pPr>
    </w:p>
    <w:p w14:paraId="07F00E01" w14:textId="0D29C516" w:rsidR="00C579A8" w:rsidRDefault="00C579A8" w:rsidP="006B0FAE">
      <w:pPr>
        <w:rPr>
          <w:iCs/>
        </w:rPr>
      </w:pPr>
    </w:p>
    <w:p w14:paraId="167A866E" w14:textId="77777777" w:rsidR="00C579A8" w:rsidRDefault="00C579A8" w:rsidP="006B0FAE">
      <w:pPr>
        <w:rPr>
          <w:iCs/>
        </w:rPr>
      </w:pPr>
    </w:p>
    <w:p w14:paraId="79451507" w14:textId="36287EF2" w:rsidR="000D514E" w:rsidRPr="00025416" w:rsidRDefault="00471003" w:rsidP="00880A13">
      <w:pPr>
        <w:spacing w:before="480" w:after="40"/>
        <w:ind w:left="181" w:hanging="181"/>
        <w:rPr>
          <w:i/>
          <w:iCs/>
          <w:sz w:val="21"/>
          <w:szCs w:val="21"/>
        </w:rPr>
      </w:pPr>
      <w:r>
        <w:rPr>
          <w:b/>
          <w:bCs/>
          <w:iCs/>
          <w:sz w:val="21"/>
          <w:szCs w:val="21"/>
        </w:rPr>
        <w:t>Table S2</w:t>
      </w:r>
      <w:r w:rsidR="000D514E" w:rsidRPr="00025416">
        <w:rPr>
          <w:b/>
          <w:bCs/>
          <w:iCs/>
          <w:sz w:val="21"/>
          <w:szCs w:val="21"/>
        </w:rPr>
        <w:t>:</w:t>
      </w:r>
      <w:r w:rsidR="000D514E" w:rsidRPr="00025416">
        <w:rPr>
          <w:i/>
          <w:iCs/>
          <w:sz w:val="21"/>
          <w:szCs w:val="21"/>
        </w:rPr>
        <w:t xml:space="preserve">  </w:t>
      </w:r>
      <w:r w:rsidR="000D514E">
        <w:rPr>
          <w:iCs/>
          <w:sz w:val="21"/>
          <w:szCs w:val="21"/>
        </w:rPr>
        <w:t xml:space="preserve">Key assumptions in the current study compared to values from </w:t>
      </w:r>
      <w:r w:rsidR="006A2825" w:rsidRPr="006A2825">
        <w:rPr>
          <w:iCs/>
          <w:noProof/>
          <w:sz w:val="21"/>
          <w:szCs w:val="21"/>
          <w:vertAlign w:val="superscript"/>
        </w:rPr>
        <w:t>1</w:t>
      </w:r>
      <w:r w:rsidR="00B55D64">
        <w:rPr>
          <w:iCs/>
          <w:sz w:val="21"/>
          <w:szCs w:val="21"/>
        </w:rPr>
        <w:t xml:space="preserve"> and </w:t>
      </w:r>
      <w:r w:rsidR="006A2825" w:rsidRPr="006A2825">
        <w:rPr>
          <w:iCs/>
          <w:noProof/>
          <w:sz w:val="21"/>
          <w:szCs w:val="21"/>
          <w:vertAlign w:val="superscript"/>
        </w:rPr>
        <w:t>2</w:t>
      </w:r>
      <w:r w:rsidR="000D514E" w:rsidRPr="00025416">
        <w:rPr>
          <w:iCs/>
          <w:sz w:val="21"/>
          <w:szCs w:val="21"/>
        </w:rPr>
        <w:t>.</w:t>
      </w:r>
      <w:r w:rsidR="005F05CF" w:rsidRPr="005F05CF">
        <w:t xml:space="preserve"> </w:t>
      </w:r>
      <w:r w:rsidR="005F05CF" w:rsidRPr="005F05CF">
        <w:rPr>
          <w:b/>
          <w:iCs/>
          <w:sz w:val="21"/>
          <w:szCs w:val="21"/>
        </w:rPr>
        <w:t>Food</w:t>
      </w:r>
      <w:r w:rsidR="00CB0C6B">
        <w:rPr>
          <w:iCs/>
          <w:sz w:val="21"/>
          <w:szCs w:val="21"/>
        </w:rPr>
        <w:t xml:space="preserve"> includes</w:t>
      </w:r>
      <w:r w:rsidR="005F05CF" w:rsidRPr="005F05CF">
        <w:rPr>
          <w:iCs/>
          <w:sz w:val="21"/>
          <w:szCs w:val="21"/>
        </w:rPr>
        <w:t xml:space="preserve"> production, supply chains, cooking and cold storage</w:t>
      </w:r>
      <w:r w:rsidR="005F05CF">
        <w:rPr>
          <w:iCs/>
          <w:sz w:val="21"/>
          <w:szCs w:val="21"/>
        </w:rPr>
        <w:t xml:space="preserve">; </w:t>
      </w:r>
      <w:r w:rsidR="005F05CF" w:rsidRPr="005F05CF">
        <w:rPr>
          <w:b/>
          <w:iCs/>
          <w:sz w:val="21"/>
          <w:szCs w:val="21"/>
        </w:rPr>
        <w:t>Transport</w:t>
      </w:r>
      <w:r w:rsidR="00CB0C6B">
        <w:rPr>
          <w:iCs/>
          <w:sz w:val="21"/>
          <w:szCs w:val="21"/>
        </w:rPr>
        <w:t xml:space="preserve"> includes </w:t>
      </w:r>
      <w:r w:rsidR="005F05CF" w:rsidRPr="005F05CF">
        <w:rPr>
          <w:iCs/>
          <w:sz w:val="21"/>
          <w:szCs w:val="21"/>
        </w:rPr>
        <w:t>energy for</w:t>
      </w:r>
      <w:r w:rsidR="00CB0C6B">
        <w:rPr>
          <w:iCs/>
          <w:sz w:val="21"/>
          <w:szCs w:val="21"/>
        </w:rPr>
        <w:t xml:space="preserve"> vehicle production,</w:t>
      </w:r>
      <w:r w:rsidR="005F05CF" w:rsidRPr="005F05CF">
        <w:rPr>
          <w:iCs/>
          <w:sz w:val="21"/>
          <w:szCs w:val="21"/>
        </w:rPr>
        <w:t xml:space="preserve"> </w:t>
      </w:r>
      <w:r w:rsidR="00CB0C6B">
        <w:rPr>
          <w:iCs/>
          <w:sz w:val="21"/>
          <w:szCs w:val="21"/>
        </w:rPr>
        <w:t xml:space="preserve">provision and combustion of </w:t>
      </w:r>
      <w:r w:rsidR="005F05CF" w:rsidRPr="005F05CF">
        <w:rPr>
          <w:iCs/>
          <w:sz w:val="21"/>
          <w:szCs w:val="21"/>
        </w:rPr>
        <w:t>fuel</w:t>
      </w:r>
      <w:r w:rsidR="00CB0C6B">
        <w:rPr>
          <w:iCs/>
          <w:sz w:val="21"/>
          <w:szCs w:val="21"/>
        </w:rPr>
        <w:t>s, and</w:t>
      </w:r>
      <w:r w:rsidR="00CB0C6B" w:rsidRPr="00CB0C6B">
        <w:rPr>
          <w:iCs/>
          <w:sz w:val="21"/>
          <w:szCs w:val="21"/>
        </w:rPr>
        <w:t xml:space="preserve"> </w:t>
      </w:r>
      <w:r w:rsidR="00CB0C6B" w:rsidRPr="005F05CF">
        <w:rPr>
          <w:iCs/>
          <w:sz w:val="21"/>
          <w:szCs w:val="21"/>
        </w:rPr>
        <w:t>infrastructure</w:t>
      </w:r>
      <w:r w:rsidR="00CB0C6B">
        <w:rPr>
          <w:iCs/>
          <w:sz w:val="21"/>
          <w:szCs w:val="21"/>
        </w:rPr>
        <w:t xml:space="preserve"> (which includes roads</w:t>
      </w:r>
      <w:r w:rsidR="00CB0C6B" w:rsidRPr="005F05CF">
        <w:rPr>
          <w:iCs/>
          <w:sz w:val="21"/>
          <w:szCs w:val="21"/>
        </w:rPr>
        <w:t xml:space="preserve"> in </w:t>
      </w:r>
      <w:r w:rsidR="00CB0C6B">
        <w:rPr>
          <w:iCs/>
          <w:sz w:val="21"/>
          <w:szCs w:val="21"/>
        </w:rPr>
        <w:t>this study</w:t>
      </w:r>
      <w:r w:rsidR="00CB0C6B" w:rsidRPr="005F05CF">
        <w:rPr>
          <w:iCs/>
          <w:sz w:val="21"/>
          <w:szCs w:val="21"/>
        </w:rPr>
        <w:t>)</w:t>
      </w:r>
      <w:r w:rsidR="005F05CF">
        <w:rPr>
          <w:iCs/>
          <w:sz w:val="21"/>
          <w:szCs w:val="21"/>
        </w:rPr>
        <w:t xml:space="preserve">; </w:t>
      </w:r>
      <w:r w:rsidR="005F05CF" w:rsidRPr="005F05CF">
        <w:rPr>
          <w:b/>
          <w:iCs/>
          <w:sz w:val="21"/>
          <w:szCs w:val="21"/>
        </w:rPr>
        <w:t>Housing</w:t>
      </w:r>
      <w:r w:rsidR="00CB0C6B">
        <w:rPr>
          <w:iCs/>
          <w:sz w:val="21"/>
          <w:szCs w:val="21"/>
        </w:rPr>
        <w:t xml:space="preserve"> includes both</w:t>
      </w:r>
      <w:r w:rsidR="005F05CF" w:rsidRPr="005F05CF">
        <w:rPr>
          <w:iCs/>
          <w:sz w:val="21"/>
          <w:szCs w:val="21"/>
        </w:rPr>
        <w:t xml:space="preserve"> construction </w:t>
      </w:r>
      <w:r w:rsidR="00CB0C6B">
        <w:rPr>
          <w:iCs/>
          <w:sz w:val="21"/>
          <w:szCs w:val="21"/>
        </w:rPr>
        <w:t xml:space="preserve">of residential buildings </w:t>
      </w:r>
      <w:r w:rsidR="005F05CF" w:rsidRPr="005F05CF">
        <w:rPr>
          <w:iCs/>
          <w:sz w:val="21"/>
          <w:szCs w:val="21"/>
        </w:rPr>
        <w:t xml:space="preserve">and </w:t>
      </w:r>
      <w:r w:rsidR="00CB0C6B">
        <w:rPr>
          <w:iCs/>
          <w:sz w:val="21"/>
          <w:szCs w:val="21"/>
        </w:rPr>
        <w:t xml:space="preserve">energy for heating &amp; </w:t>
      </w:r>
      <w:r w:rsidR="005F05CF" w:rsidRPr="005F05CF">
        <w:rPr>
          <w:iCs/>
          <w:sz w:val="21"/>
          <w:szCs w:val="21"/>
        </w:rPr>
        <w:t>cooling</w:t>
      </w:r>
      <w:r w:rsidR="005F05CF">
        <w:rPr>
          <w:iCs/>
          <w:sz w:val="21"/>
          <w:szCs w:val="21"/>
        </w:rPr>
        <w:t>.</w:t>
      </w:r>
    </w:p>
    <w:tbl>
      <w:tblPr>
        <w:tblW w:w="8880" w:type="dxa"/>
        <w:tblInd w:w="108" w:type="dxa"/>
        <w:tblCellMar>
          <w:left w:w="57" w:type="dxa"/>
          <w:right w:w="57" w:type="dxa"/>
        </w:tblCellMar>
        <w:tblLook w:val="04A0" w:firstRow="1" w:lastRow="0" w:firstColumn="1" w:lastColumn="0" w:noHBand="0" w:noVBand="1"/>
      </w:tblPr>
      <w:tblGrid>
        <w:gridCol w:w="3635"/>
        <w:gridCol w:w="992"/>
        <w:gridCol w:w="1531"/>
        <w:gridCol w:w="1361"/>
        <w:gridCol w:w="1361"/>
      </w:tblGrid>
      <w:tr w:rsidR="003A2FBA" w:rsidRPr="00B0297D" w14:paraId="3005FF43" w14:textId="77777777" w:rsidTr="00B0297D">
        <w:trPr>
          <w:trHeight w:val="315"/>
        </w:trPr>
        <w:tc>
          <w:tcPr>
            <w:tcW w:w="3635" w:type="dxa"/>
            <w:tcBorders>
              <w:top w:val="nil"/>
              <w:left w:val="nil"/>
              <w:right w:val="single" w:sz="4" w:space="0" w:color="auto"/>
            </w:tcBorders>
            <w:shd w:val="clear" w:color="auto" w:fill="D9D9D9" w:themeFill="background1" w:themeFillShade="D9"/>
            <w:noWrap/>
            <w:vAlign w:val="bottom"/>
            <w:hideMark/>
          </w:tcPr>
          <w:p w14:paraId="22DDE9E5" w14:textId="77777777" w:rsidR="00393B5B" w:rsidRPr="00393B5B" w:rsidRDefault="00393B5B" w:rsidP="00393B5B">
            <w:pPr>
              <w:spacing w:after="0" w:line="240" w:lineRule="auto"/>
              <w:rPr>
                <w:rFonts w:eastAsia="Times New Roman" w:cstheme="minorHAnsi"/>
                <w:sz w:val="21"/>
                <w:szCs w:val="21"/>
                <w:lang w:eastAsia="en-GB"/>
              </w:rPr>
            </w:pPr>
          </w:p>
        </w:tc>
        <w:tc>
          <w:tcPr>
            <w:tcW w:w="992" w:type="dxa"/>
            <w:tcBorders>
              <w:top w:val="nil"/>
              <w:left w:val="single" w:sz="4" w:space="0" w:color="auto"/>
              <w:bottom w:val="nil"/>
              <w:right w:val="dashed" w:sz="4" w:space="0" w:color="A6A6A6" w:themeColor="background1" w:themeShade="A6"/>
            </w:tcBorders>
            <w:shd w:val="clear" w:color="auto" w:fill="D9D9D9" w:themeFill="background1" w:themeFillShade="D9"/>
            <w:noWrap/>
            <w:vAlign w:val="center"/>
            <w:hideMark/>
          </w:tcPr>
          <w:p w14:paraId="3662C64A" w14:textId="77777777" w:rsidR="00393B5B" w:rsidRPr="00393B5B" w:rsidRDefault="00393B5B" w:rsidP="00B20E56">
            <w:pPr>
              <w:spacing w:after="0" w:line="240" w:lineRule="auto"/>
              <w:jc w:val="center"/>
              <w:rPr>
                <w:rFonts w:eastAsia="Times New Roman" w:cstheme="minorHAnsi"/>
                <w:sz w:val="21"/>
                <w:szCs w:val="21"/>
                <w:lang w:eastAsia="en-GB"/>
              </w:rPr>
            </w:pPr>
          </w:p>
        </w:tc>
        <w:tc>
          <w:tcPr>
            <w:tcW w:w="1531" w:type="dxa"/>
            <w:tcBorders>
              <w:top w:val="nil"/>
              <w:left w:val="dashed" w:sz="4" w:space="0" w:color="A6A6A6" w:themeColor="background1" w:themeShade="A6"/>
              <w:bottom w:val="nil"/>
              <w:right w:val="single" w:sz="4" w:space="0" w:color="BFBFBF" w:themeColor="background1" w:themeShade="BF"/>
            </w:tcBorders>
            <w:shd w:val="clear" w:color="auto" w:fill="D9D9D9" w:themeFill="background1" w:themeFillShade="D9"/>
            <w:noWrap/>
            <w:vAlign w:val="center"/>
            <w:hideMark/>
          </w:tcPr>
          <w:p w14:paraId="065DE565" w14:textId="77777777" w:rsidR="00393B5B" w:rsidRPr="00B0297D" w:rsidRDefault="00393B5B" w:rsidP="00B0297D">
            <w:pPr>
              <w:spacing w:after="0" w:line="240" w:lineRule="auto"/>
              <w:jc w:val="center"/>
              <w:rPr>
                <w:rFonts w:eastAsia="Times New Roman" w:cstheme="minorHAnsi"/>
                <w:b/>
                <w:color w:val="000000"/>
                <w:szCs w:val="21"/>
                <w:lang w:eastAsia="en-GB"/>
              </w:rPr>
            </w:pPr>
            <w:r w:rsidRPr="00B0297D">
              <w:rPr>
                <w:rFonts w:eastAsia="Times New Roman" w:cstheme="minorHAnsi"/>
                <w:b/>
                <w:color w:val="000000"/>
                <w:szCs w:val="21"/>
                <w:lang w:eastAsia="en-GB"/>
              </w:rPr>
              <w:t>This study</w:t>
            </w:r>
          </w:p>
        </w:tc>
        <w:tc>
          <w:tcPr>
            <w:tcW w:w="1361" w:type="dxa"/>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noWrap/>
            <w:vAlign w:val="center"/>
            <w:hideMark/>
          </w:tcPr>
          <w:p w14:paraId="5B36055E" w14:textId="32867283" w:rsidR="00393B5B" w:rsidRPr="00B0297D" w:rsidRDefault="00393B5B" w:rsidP="00B0297D">
            <w:pPr>
              <w:spacing w:after="0" w:line="240" w:lineRule="auto"/>
              <w:jc w:val="center"/>
              <w:rPr>
                <w:rFonts w:eastAsia="Times New Roman" w:cstheme="minorHAnsi"/>
                <w:b/>
                <w:color w:val="000000"/>
                <w:szCs w:val="21"/>
                <w:lang w:eastAsia="en-GB"/>
              </w:rPr>
            </w:pPr>
            <w:r w:rsidRPr="00B0297D">
              <w:rPr>
                <w:rFonts w:eastAsia="Times New Roman" w:cstheme="minorHAnsi"/>
                <w:b/>
                <w:color w:val="000000"/>
                <w:szCs w:val="21"/>
                <w:lang w:eastAsia="en-GB"/>
              </w:rPr>
              <w:t>Rao et al.</w:t>
            </w:r>
          </w:p>
        </w:tc>
        <w:tc>
          <w:tcPr>
            <w:tcW w:w="1361" w:type="dxa"/>
            <w:tcBorders>
              <w:top w:val="nil"/>
              <w:left w:val="single" w:sz="4" w:space="0" w:color="BFBFBF" w:themeColor="background1" w:themeShade="BF"/>
              <w:bottom w:val="nil"/>
              <w:right w:val="nil"/>
            </w:tcBorders>
            <w:shd w:val="clear" w:color="auto" w:fill="D9D9D9" w:themeFill="background1" w:themeFillShade="D9"/>
            <w:noWrap/>
            <w:vAlign w:val="center"/>
            <w:hideMark/>
          </w:tcPr>
          <w:p w14:paraId="4278D166" w14:textId="1087102C" w:rsidR="00393B5B" w:rsidRPr="00B0297D" w:rsidRDefault="00393B5B" w:rsidP="00B0297D">
            <w:pPr>
              <w:spacing w:after="0" w:line="240" w:lineRule="auto"/>
              <w:jc w:val="center"/>
              <w:rPr>
                <w:rFonts w:eastAsia="Times New Roman" w:cstheme="minorHAnsi"/>
                <w:b/>
                <w:color w:val="000000"/>
                <w:szCs w:val="21"/>
                <w:lang w:eastAsia="en-GB"/>
              </w:rPr>
            </w:pPr>
            <w:proofErr w:type="spellStart"/>
            <w:r w:rsidRPr="00B0297D">
              <w:rPr>
                <w:rFonts w:eastAsia="Times New Roman" w:cstheme="minorHAnsi"/>
                <w:b/>
                <w:color w:val="000000"/>
                <w:szCs w:val="21"/>
                <w:lang w:eastAsia="en-GB"/>
              </w:rPr>
              <w:t>Grubler</w:t>
            </w:r>
            <w:proofErr w:type="spellEnd"/>
            <w:r w:rsidRPr="00B0297D">
              <w:rPr>
                <w:rFonts w:eastAsia="Times New Roman" w:cstheme="minorHAnsi"/>
                <w:b/>
                <w:color w:val="000000"/>
                <w:szCs w:val="21"/>
                <w:lang w:eastAsia="en-GB"/>
              </w:rPr>
              <w:t xml:space="preserve"> et al.</w:t>
            </w:r>
          </w:p>
        </w:tc>
      </w:tr>
      <w:tr w:rsidR="001914BF" w:rsidRPr="00393B5B" w14:paraId="4EA11356" w14:textId="77777777" w:rsidTr="00B20E56">
        <w:trPr>
          <w:trHeight w:val="315"/>
        </w:trPr>
        <w:tc>
          <w:tcPr>
            <w:tcW w:w="3635" w:type="dxa"/>
            <w:tcBorders>
              <w:top w:val="nil"/>
              <w:left w:val="nil"/>
              <w:bottom w:val="nil"/>
              <w:right w:val="single" w:sz="4" w:space="0" w:color="auto"/>
            </w:tcBorders>
            <w:shd w:val="clear" w:color="auto" w:fill="auto"/>
            <w:noWrap/>
            <w:vAlign w:val="center"/>
            <w:hideMark/>
          </w:tcPr>
          <w:p w14:paraId="711E7292" w14:textId="1EBDBB9E" w:rsidR="00393B5B" w:rsidRPr="00217D1B" w:rsidRDefault="00393B5B" w:rsidP="007D51DA">
            <w:pPr>
              <w:spacing w:after="0" w:line="240" w:lineRule="auto"/>
              <w:rPr>
                <w:rFonts w:eastAsia="Times New Roman" w:cstheme="minorHAnsi"/>
                <w:b/>
                <w:color w:val="000000"/>
                <w:sz w:val="21"/>
                <w:szCs w:val="21"/>
                <w:vertAlign w:val="superscript"/>
                <w:lang w:eastAsia="en-GB"/>
              </w:rPr>
            </w:pPr>
            <w:r w:rsidRPr="001914BF">
              <w:rPr>
                <w:rFonts w:eastAsia="Times New Roman" w:cstheme="minorHAnsi"/>
                <w:b/>
                <w:color w:val="000000"/>
                <w:sz w:val="21"/>
                <w:szCs w:val="21"/>
                <w:lang w:eastAsia="en-GB"/>
              </w:rPr>
              <w:t xml:space="preserve">Average </w:t>
            </w:r>
            <w:r w:rsidR="007D51DA">
              <w:rPr>
                <w:rFonts w:eastAsia="Times New Roman" w:cstheme="minorHAnsi"/>
                <w:b/>
                <w:color w:val="000000"/>
                <w:sz w:val="21"/>
                <w:szCs w:val="21"/>
                <w:lang w:eastAsia="en-GB"/>
              </w:rPr>
              <w:t xml:space="preserve">household </w:t>
            </w:r>
            <w:r w:rsidR="00217D1B">
              <w:rPr>
                <w:rFonts w:eastAsia="Times New Roman" w:cstheme="minorHAnsi"/>
                <w:b/>
                <w:color w:val="000000"/>
                <w:sz w:val="21"/>
                <w:szCs w:val="21"/>
                <w:lang w:eastAsia="en-GB"/>
              </w:rPr>
              <w:t>floor space</w:t>
            </w:r>
            <w:r w:rsidR="00217D1B" w:rsidRPr="00217D1B">
              <w:rPr>
                <w:rFonts w:eastAsia="Times New Roman" w:cstheme="minorHAnsi"/>
                <w:b/>
                <w:color w:val="000000"/>
                <w:sz w:val="21"/>
                <w:szCs w:val="21"/>
                <w:vertAlign w:val="superscript"/>
                <w:lang w:eastAsia="en-GB"/>
              </w:rPr>
              <w:t>+</w:t>
            </w:r>
          </w:p>
        </w:tc>
        <w:tc>
          <w:tcPr>
            <w:tcW w:w="992" w:type="dxa"/>
            <w:tcBorders>
              <w:top w:val="nil"/>
              <w:left w:val="single" w:sz="4" w:space="0" w:color="auto"/>
              <w:bottom w:val="nil"/>
              <w:right w:val="dashed" w:sz="4" w:space="0" w:color="A6A6A6" w:themeColor="background1" w:themeShade="A6"/>
            </w:tcBorders>
            <w:shd w:val="clear" w:color="auto" w:fill="auto"/>
            <w:noWrap/>
            <w:vAlign w:val="center"/>
            <w:hideMark/>
          </w:tcPr>
          <w:p w14:paraId="381E44F3" w14:textId="77777777" w:rsidR="00393B5B" w:rsidRPr="00393B5B" w:rsidRDefault="00393B5B" w:rsidP="00B20E56">
            <w:pPr>
              <w:spacing w:after="0" w:line="240" w:lineRule="auto"/>
              <w:ind w:firstLine="51"/>
              <w:rPr>
                <w:rFonts w:eastAsia="Times New Roman" w:cstheme="minorHAnsi"/>
                <w:color w:val="000000"/>
                <w:sz w:val="21"/>
                <w:szCs w:val="21"/>
                <w:lang w:eastAsia="en-GB"/>
              </w:rPr>
            </w:pPr>
            <w:r w:rsidRPr="00393B5B">
              <w:rPr>
                <w:rFonts w:eastAsia="Times New Roman" w:cstheme="minorHAnsi"/>
                <w:color w:val="000000"/>
                <w:sz w:val="21"/>
                <w:szCs w:val="21"/>
                <w:lang w:eastAsia="en-GB"/>
              </w:rPr>
              <w:t>m</w:t>
            </w:r>
            <w:r w:rsidRPr="00393B5B">
              <w:rPr>
                <w:rFonts w:eastAsia="Times New Roman" w:cstheme="minorHAnsi"/>
                <w:color w:val="000000"/>
                <w:sz w:val="21"/>
                <w:szCs w:val="21"/>
                <w:vertAlign w:val="superscript"/>
                <w:lang w:eastAsia="en-GB"/>
              </w:rPr>
              <w:t>2</w:t>
            </w:r>
            <w:r w:rsidRPr="00393B5B">
              <w:rPr>
                <w:rFonts w:eastAsia="Times New Roman" w:cstheme="minorHAnsi"/>
                <w:color w:val="000000"/>
                <w:sz w:val="21"/>
                <w:szCs w:val="21"/>
                <w:lang w:eastAsia="en-GB"/>
              </w:rPr>
              <w:t>/cap</w:t>
            </w:r>
          </w:p>
        </w:tc>
        <w:tc>
          <w:tcPr>
            <w:tcW w:w="1531" w:type="dxa"/>
            <w:tcBorders>
              <w:top w:val="nil"/>
              <w:left w:val="dashed" w:sz="4" w:space="0" w:color="A6A6A6" w:themeColor="background1" w:themeShade="A6"/>
              <w:bottom w:val="nil"/>
              <w:right w:val="single" w:sz="4" w:space="0" w:color="D9D9D9" w:themeColor="background1" w:themeShade="D9"/>
            </w:tcBorders>
            <w:shd w:val="clear" w:color="auto" w:fill="auto"/>
            <w:noWrap/>
            <w:vAlign w:val="center"/>
            <w:hideMark/>
          </w:tcPr>
          <w:p w14:paraId="7C47E621" w14:textId="77777777"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15</w:t>
            </w:r>
          </w:p>
        </w:tc>
        <w:tc>
          <w:tcPr>
            <w:tcW w:w="1361" w:type="dxa"/>
            <w:tcBorders>
              <w:top w:val="nil"/>
              <w:left w:val="single" w:sz="4" w:space="0" w:color="D9D9D9" w:themeColor="background1" w:themeShade="D9"/>
              <w:bottom w:val="nil"/>
              <w:right w:val="single" w:sz="4" w:space="0" w:color="D9D9D9" w:themeColor="background1" w:themeShade="D9"/>
            </w:tcBorders>
            <w:shd w:val="clear" w:color="auto" w:fill="auto"/>
            <w:noWrap/>
            <w:vAlign w:val="center"/>
            <w:hideMark/>
          </w:tcPr>
          <w:p w14:paraId="6D54879B" w14:textId="77777777"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15</w:t>
            </w:r>
          </w:p>
        </w:tc>
        <w:tc>
          <w:tcPr>
            <w:tcW w:w="1361" w:type="dxa"/>
            <w:tcBorders>
              <w:top w:val="nil"/>
              <w:left w:val="single" w:sz="4" w:space="0" w:color="D9D9D9" w:themeColor="background1" w:themeShade="D9"/>
              <w:bottom w:val="nil"/>
              <w:right w:val="nil"/>
            </w:tcBorders>
            <w:shd w:val="clear" w:color="auto" w:fill="auto"/>
            <w:noWrap/>
            <w:vAlign w:val="center"/>
            <w:hideMark/>
          </w:tcPr>
          <w:p w14:paraId="5EE33CD1" w14:textId="77777777"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30</w:t>
            </w:r>
          </w:p>
        </w:tc>
      </w:tr>
      <w:tr w:rsidR="001914BF" w:rsidRPr="00393B5B" w14:paraId="7982B339" w14:textId="77777777" w:rsidTr="00B20E56">
        <w:trPr>
          <w:trHeight w:val="315"/>
        </w:trPr>
        <w:tc>
          <w:tcPr>
            <w:tcW w:w="3635" w:type="dxa"/>
            <w:tcBorders>
              <w:top w:val="nil"/>
              <w:left w:val="nil"/>
              <w:bottom w:val="nil"/>
              <w:right w:val="single" w:sz="4" w:space="0" w:color="auto"/>
            </w:tcBorders>
            <w:shd w:val="clear" w:color="auto" w:fill="F2F2F2" w:themeFill="background1" w:themeFillShade="F2"/>
            <w:noWrap/>
            <w:vAlign w:val="center"/>
            <w:hideMark/>
          </w:tcPr>
          <w:p w14:paraId="146FBC49" w14:textId="1DFB3D48" w:rsidR="00393B5B" w:rsidRPr="00393B5B" w:rsidRDefault="00393B5B" w:rsidP="005F05CF">
            <w:pPr>
              <w:spacing w:after="0" w:line="240" w:lineRule="auto"/>
              <w:rPr>
                <w:rFonts w:eastAsia="Times New Roman" w:cstheme="minorHAnsi"/>
                <w:b/>
                <w:color w:val="000000"/>
                <w:sz w:val="21"/>
                <w:szCs w:val="21"/>
                <w:lang w:eastAsia="en-GB"/>
              </w:rPr>
            </w:pPr>
            <w:r w:rsidRPr="00393B5B">
              <w:rPr>
                <w:rFonts w:eastAsia="Times New Roman" w:cstheme="minorHAnsi"/>
                <w:b/>
                <w:color w:val="000000"/>
                <w:sz w:val="21"/>
                <w:szCs w:val="21"/>
                <w:lang w:eastAsia="en-GB"/>
              </w:rPr>
              <w:t>Housing</w:t>
            </w:r>
            <w:r w:rsidR="00217D1B">
              <w:rPr>
                <w:rFonts w:eastAsia="Times New Roman" w:cstheme="minorHAnsi"/>
                <w:b/>
                <w:color w:val="000000"/>
                <w:sz w:val="21"/>
                <w:szCs w:val="21"/>
                <w:lang w:eastAsia="en-GB"/>
              </w:rPr>
              <w:t xml:space="preserve"> energy requirements</w:t>
            </w:r>
          </w:p>
        </w:tc>
        <w:tc>
          <w:tcPr>
            <w:tcW w:w="992" w:type="dxa"/>
            <w:tcBorders>
              <w:top w:val="nil"/>
              <w:left w:val="single" w:sz="4" w:space="0" w:color="auto"/>
              <w:bottom w:val="nil"/>
              <w:right w:val="dashed" w:sz="4" w:space="0" w:color="A6A6A6" w:themeColor="background1" w:themeShade="A6"/>
            </w:tcBorders>
            <w:shd w:val="clear" w:color="auto" w:fill="F2F2F2" w:themeFill="background1" w:themeFillShade="F2"/>
            <w:noWrap/>
            <w:vAlign w:val="center"/>
            <w:hideMark/>
          </w:tcPr>
          <w:p w14:paraId="1D970188" w14:textId="4597173E" w:rsidR="00393B5B" w:rsidRPr="00393B5B" w:rsidRDefault="00393B5B" w:rsidP="00B20E56">
            <w:pPr>
              <w:spacing w:after="0" w:line="240" w:lineRule="auto"/>
              <w:ind w:firstLine="51"/>
              <w:rPr>
                <w:rFonts w:eastAsia="Times New Roman" w:cstheme="minorHAnsi"/>
                <w:color w:val="000000"/>
                <w:sz w:val="21"/>
                <w:szCs w:val="21"/>
                <w:lang w:eastAsia="en-GB"/>
              </w:rPr>
            </w:pPr>
            <w:r>
              <w:rPr>
                <w:rFonts w:eastAsia="Times New Roman" w:cstheme="minorHAnsi"/>
                <w:color w:val="000000"/>
                <w:sz w:val="21"/>
                <w:szCs w:val="21"/>
                <w:lang w:eastAsia="en-GB"/>
              </w:rPr>
              <w:t>GJ</w:t>
            </w:r>
            <w:r w:rsidRPr="00393B5B">
              <w:rPr>
                <w:rFonts w:eastAsia="Times New Roman" w:cstheme="minorHAnsi"/>
                <w:color w:val="000000"/>
                <w:sz w:val="21"/>
                <w:szCs w:val="21"/>
                <w:lang w:eastAsia="en-GB"/>
              </w:rPr>
              <w:t>/cap</w:t>
            </w:r>
          </w:p>
        </w:tc>
        <w:tc>
          <w:tcPr>
            <w:tcW w:w="1531" w:type="dxa"/>
            <w:tcBorders>
              <w:top w:val="nil"/>
              <w:left w:val="dashed" w:sz="4" w:space="0" w:color="A6A6A6" w:themeColor="background1" w:themeShade="A6"/>
              <w:bottom w:val="nil"/>
              <w:right w:val="single" w:sz="4" w:space="0" w:color="D9D9D9" w:themeColor="background1" w:themeShade="D9"/>
            </w:tcBorders>
            <w:shd w:val="clear" w:color="auto" w:fill="F2F2F2" w:themeFill="background1" w:themeFillShade="F2"/>
            <w:noWrap/>
            <w:vAlign w:val="center"/>
            <w:hideMark/>
          </w:tcPr>
          <w:p w14:paraId="45227D0C" w14:textId="2923868B" w:rsidR="00393B5B" w:rsidRPr="00393B5B" w:rsidRDefault="00393B5B" w:rsidP="00D65128">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0.</w:t>
            </w:r>
            <w:r w:rsidR="00B71D5A">
              <w:rPr>
                <w:rFonts w:eastAsia="Times New Roman" w:cstheme="minorHAnsi"/>
                <w:color w:val="000000"/>
                <w:sz w:val="21"/>
                <w:szCs w:val="21"/>
                <w:lang w:eastAsia="en-GB"/>
              </w:rPr>
              <w:t>7-1.7</w:t>
            </w:r>
          </w:p>
        </w:tc>
        <w:tc>
          <w:tcPr>
            <w:tcW w:w="1361" w:type="dxa"/>
            <w:tcBorders>
              <w:top w:val="nil"/>
              <w:left w:val="single" w:sz="4" w:space="0" w:color="D9D9D9" w:themeColor="background1" w:themeShade="D9"/>
              <w:bottom w:val="nil"/>
              <w:right w:val="single" w:sz="4" w:space="0" w:color="D9D9D9" w:themeColor="background1" w:themeShade="D9"/>
            </w:tcBorders>
            <w:shd w:val="clear" w:color="auto" w:fill="F2F2F2" w:themeFill="background1" w:themeFillShade="F2"/>
            <w:noWrap/>
            <w:vAlign w:val="center"/>
            <w:hideMark/>
          </w:tcPr>
          <w:p w14:paraId="57240981" w14:textId="2D3C16F8"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0.</w:t>
            </w:r>
            <w:r w:rsidR="00B71D5A">
              <w:rPr>
                <w:rFonts w:eastAsia="Times New Roman" w:cstheme="minorHAnsi"/>
                <w:color w:val="000000"/>
                <w:sz w:val="21"/>
                <w:szCs w:val="21"/>
                <w:lang w:eastAsia="en-GB"/>
              </w:rPr>
              <w:t>6-1.1</w:t>
            </w:r>
          </w:p>
        </w:tc>
        <w:tc>
          <w:tcPr>
            <w:tcW w:w="1361" w:type="dxa"/>
            <w:tcBorders>
              <w:top w:val="nil"/>
              <w:left w:val="single" w:sz="4" w:space="0" w:color="D9D9D9" w:themeColor="background1" w:themeShade="D9"/>
              <w:bottom w:val="nil"/>
              <w:right w:val="nil"/>
            </w:tcBorders>
            <w:shd w:val="clear" w:color="auto" w:fill="F2F2F2" w:themeFill="background1" w:themeFillShade="F2"/>
            <w:noWrap/>
            <w:vAlign w:val="center"/>
            <w:hideMark/>
          </w:tcPr>
          <w:p w14:paraId="1C8D7308" w14:textId="77777777"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1.2-5*</w:t>
            </w:r>
          </w:p>
        </w:tc>
      </w:tr>
      <w:tr w:rsidR="001914BF" w:rsidRPr="00393B5B" w14:paraId="62B222DD" w14:textId="77777777" w:rsidTr="00B20E56">
        <w:trPr>
          <w:trHeight w:val="315"/>
        </w:trPr>
        <w:tc>
          <w:tcPr>
            <w:tcW w:w="3635" w:type="dxa"/>
            <w:tcBorders>
              <w:top w:val="nil"/>
              <w:left w:val="nil"/>
              <w:bottom w:val="nil"/>
              <w:right w:val="single" w:sz="4" w:space="0" w:color="auto"/>
            </w:tcBorders>
            <w:shd w:val="clear" w:color="auto" w:fill="auto"/>
            <w:noWrap/>
            <w:vAlign w:val="center"/>
            <w:hideMark/>
          </w:tcPr>
          <w:p w14:paraId="26229030" w14:textId="6C274C58" w:rsidR="00393B5B" w:rsidRPr="00393B5B" w:rsidRDefault="00393B5B" w:rsidP="00217D1B">
            <w:pPr>
              <w:spacing w:after="0" w:line="240" w:lineRule="auto"/>
              <w:rPr>
                <w:rFonts w:eastAsia="Times New Roman" w:cstheme="minorHAnsi"/>
                <w:b/>
                <w:color w:val="000000"/>
                <w:sz w:val="21"/>
                <w:szCs w:val="21"/>
                <w:lang w:eastAsia="en-GB"/>
              </w:rPr>
            </w:pPr>
            <w:r w:rsidRPr="00393B5B">
              <w:rPr>
                <w:rFonts w:eastAsia="Times New Roman" w:cstheme="minorHAnsi"/>
                <w:b/>
                <w:color w:val="000000"/>
                <w:sz w:val="21"/>
                <w:szCs w:val="21"/>
                <w:lang w:eastAsia="en-GB"/>
              </w:rPr>
              <w:t xml:space="preserve">Mobility </w:t>
            </w:r>
            <w:r w:rsidR="00217D1B">
              <w:rPr>
                <w:rFonts w:eastAsia="Times New Roman" w:cstheme="minorHAnsi"/>
                <w:b/>
                <w:color w:val="000000"/>
                <w:sz w:val="21"/>
                <w:szCs w:val="21"/>
                <w:lang w:eastAsia="en-GB"/>
              </w:rPr>
              <w:t>levels</w:t>
            </w:r>
          </w:p>
        </w:tc>
        <w:tc>
          <w:tcPr>
            <w:tcW w:w="992" w:type="dxa"/>
            <w:tcBorders>
              <w:top w:val="nil"/>
              <w:left w:val="single" w:sz="4" w:space="0" w:color="auto"/>
              <w:bottom w:val="nil"/>
              <w:right w:val="dashed" w:sz="4" w:space="0" w:color="A6A6A6" w:themeColor="background1" w:themeShade="A6"/>
            </w:tcBorders>
            <w:shd w:val="clear" w:color="auto" w:fill="auto"/>
            <w:noWrap/>
            <w:vAlign w:val="center"/>
            <w:hideMark/>
          </w:tcPr>
          <w:p w14:paraId="17024C4B" w14:textId="77777777" w:rsidR="00393B5B" w:rsidRPr="00393B5B" w:rsidRDefault="00393B5B" w:rsidP="00B20E56">
            <w:pPr>
              <w:spacing w:after="0" w:line="240" w:lineRule="auto"/>
              <w:ind w:firstLine="51"/>
              <w:rPr>
                <w:rFonts w:eastAsia="Times New Roman" w:cstheme="minorHAnsi"/>
                <w:color w:val="000000"/>
                <w:sz w:val="21"/>
                <w:szCs w:val="21"/>
                <w:lang w:eastAsia="en-GB"/>
              </w:rPr>
            </w:pPr>
            <w:r w:rsidRPr="00393B5B">
              <w:rPr>
                <w:rFonts w:eastAsia="Times New Roman" w:cstheme="minorHAnsi"/>
                <w:color w:val="000000"/>
                <w:sz w:val="21"/>
                <w:szCs w:val="21"/>
                <w:lang w:eastAsia="en-GB"/>
              </w:rPr>
              <w:t>p-km/cap</w:t>
            </w:r>
          </w:p>
        </w:tc>
        <w:tc>
          <w:tcPr>
            <w:tcW w:w="1531" w:type="dxa"/>
            <w:tcBorders>
              <w:top w:val="nil"/>
              <w:left w:val="dashed" w:sz="4" w:space="0" w:color="A6A6A6" w:themeColor="background1" w:themeShade="A6"/>
              <w:bottom w:val="nil"/>
              <w:right w:val="single" w:sz="4" w:space="0" w:color="D9D9D9" w:themeColor="background1" w:themeShade="D9"/>
            </w:tcBorders>
            <w:shd w:val="clear" w:color="auto" w:fill="auto"/>
            <w:noWrap/>
            <w:vAlign w:val="center"/>
            <w:hideMark/>
          </w:tcPr>
          <w:p w14:paraId="4E359E54" w14:textId="77777777"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4,900-15,000</w:t>
            </w:r>
          </w:p>
        </w:tc>
        <w:tc>
          <w:tcPr>
            <w:tcW w:w="1361" w:type="dxa"/>
            <w:tcBorders>
              <w:top w:val="nil"/>
              <w:left w:val="single" w:sz="4" w:space="0" w:color="D9D9D9" w:themeColor="background1" w:themeShade="D9"/>
              <w:bottom w:val="nil"/>
              <w:right w:val="single" w:sz="4" w:space="0" w:color="D9D9D9" w:themeColor="background1" w:themeShade="D9"/>
            </w:tcBorders>
            <w:shd w:val="clear" w:color="auto" w:fill="auto"/>
            <w:noWrap/>
            <w:vAlign w:val="center"/>
            <w:hideMark/>
          </w:tcPr>
          <w:p w14:paraId="7A07E87C" w14:textId="77777777"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10,000</w:t>
            </w:r>
          </w:p>
        </w:tc>
        <w:tc>
          <w:tcPr>
            <w:tcW w:w="1361" w:type="dxa"/>
            <w:tcBorders>
              <w:top w:val="nil"/>
              <w:left w:val="single" w:sz="4" w:space="0" w:color="D9D9D9" w:themeColor="background1" w:themeShade="D9"/>
              <w:bottom w:val="nil"/>
              <w:right w:val="nil"/>
            </w:tcBorders>
            <w:shd w:val="clear" w:color="auto" w:fill="auto"/>
            <w:noWrap/>
            <w:vAlign w:val="center"/>
            <w:hideMark/>
          </w:tcPr>
          <w:p w14:paraId="1C6ED370" w14:textId="77777777"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9,544-17,117</w:t>
            </w:r>
          </w:p>
        </w:tc>
      </w:tr>
      <w:tr w:rsidR="001914BF" w:rsidRPr="00393B5B" w14:paraId="5C4996BA" w14:textId="77777777" w:rsidTr="00B20E56">
        <w:trPr>
          <w:trHeight w:val="315"/>
        </w:trPr>
        <w:tc>
          <w:tcPr>
            <w:tcW w:w="3635" w:type="dxa"/>
            <w:tcBorders>
              <w:top w:val="nil"/>
              <w:left w:val="nil"/>
              <w:bottom w:val="nil"/>
              <w:right w:val="single" w:sz="4" w:space="0" w:color="auto"/>
            </w:tcBorders>
            <w:shd w:val="clear" w:color="auto" w:fill="F2F2F2" w:themeFill="background1" w:themeFillShade="F2"/>
            <w:noWrap/>
            <w:vAlign w:val="center"/>
            <w:hideMark/>
          </w:tcPr>
          <w:p w14:paraId="66F05472" w14:textId="636ADBF4" w:rsidR="00393B5B" w:rsidRPr="00393B5B" w:rsidRDefault="007D51DA" w:rsidP="00B20E56">
            <w:pPr>
              <w:spacing w:after="0" w:line="240" w:lineRule="auto"/>
              <w:rPr>
                <w:rFonts w:eastAsia="Times New Roman" w:cstheme="minorHAnsi"/>
                <w:b/>
                <w:color w:val="000000"/>
                <w:sz w:val="21"/>
                <w:szCs w:val="21"/>
                <w:lang w:eastAsia="en-GB"/>
              </w:rPr>
            </w:pPr>
            <w:r>
              <w:rPr>
                <w:rFonts w:eastAsia="Times New Roman" w:cstheme="minorHAnsi"/>
                <w:b/>
                <w:color w:val="000000"/>
                <w:sz w:val="21"/>
                <w:szCs w:val="21"/>
                <w:lang w:eastAsia="en-GB"/>
              </w:rPr>
              <w:t>Mobility</w:t>
            </w:r>
            <w:r w:rsidR="00393B5B" w:rsidRPr="00393B5B">
              <w:rPr>
                <w:rFonts w:eastAsia="Times New Roman" w:cstheme="minorHAnsi"/>
                <w:b/>
                <w:color w:val="000000"/>
                <w:sz w:val="21"/>
                <w:szCs w:val="21"/>
                <w:lang w:eastAsia="en-GB"/>
              </w:rPr>
              <w:t xml:space="preserve"> energy </w:t>
            </w:r>
            <w:r w:rsidR="001914BF">
              <w:rPr>
                <w:rFonts w:eastAsia="Times New Roman" w:cstheme="minorHAnsi"/>
                <w:b/>
                <w:color w:val="000000"/>
                <w:sz w:val="21"/>
                <w:szCs w:val="21"/>
                <w:lang w:eastAsia="en-GB"/>
              </w:rPr>
              <w:t>requirements</w:t>
            </w:r>
          </w:p>
        </w:tc>
        <w:tc>
          <w:tcPr>
            <w:tcW w:w="992" w:type="dxa"/>
            <w:tcBorders>
              <w:top w:val="nil"/>
              <w:left w:val="single" w:sz="4" w:space="0" w:color="auto"/>
              <w:bottom w:val="nil"/>
              <w:right w:val="dashed" w:sz="4" w:space="0" w:color="A6A6A6" w:themeColor="background1" w:themeShade="A6"/>
            </w:tcBorders>
            <w:shd w:val="clear" w:color="auto" w:fill="F2F2F2" w:themeFill="background1" w:themeFillShade="F2"/>
            <w:noWrap/>
            <w:vAlign w:val="center"/>
            <w:hideMark/>
          </w:tcPr>
          <w:p w14:paraId="2CE4834A" w14:textId="77777777" w:rsidR="00393B5B" w:rsidRPr="00393B5B" w:rsidRDefault="00393B5B" w:rsidP="00B20E56">
            <w:pPr>
              <w:spacing w:after="0" w:line="240" w:lineRule="auto"/>
              <w:ind w:firstLine="51"/>
              <w:rPr>
                <w:rFonts w:eastAsia="Times New Roman" w:cstheme="minorHAnsi"/>
                <w:color w:val="000000"/>
                <w:sz w:val="21"/>
                <w:szCs w:val="21"/>
                <w:lang w:eastAsia="en-GB"/>
              </w:rPr>
            </w:pPr>
            <w:r w:rsidRPr="00393B5B">
              <w:rPr>
                <w:rFonts w:eastAsia="Times New Roman" w:cstheme="minorHAnsi"/>
                <w:color w:val="000000"/>
                <w:sz w:val="21"/>
                <w:szCs w:val="21"/>
                <w:lang w:eastAsia="en-GB"/>
              </w:rPr>
              <w:t>GJ/cap</w:t>
            </w:r>
          </w:p>
        </w:tc>
        <w:tc>
          <w:tcPr>
            <w:tcW w:w="1531" w:type="dxa"/>
            <w:tcBorders>
              <w:top w:val="nil"/>
              <w:left w:val="dashed" w:sz="4" w:space="0" w:color="A6A6A6" w:themeColor="background1" w:themeShade="A6"/>
              <w:bottom w:val="nil"/>
              <w:right w:val="single" w:sz="4" w:space="0" w:color="D9D9D9" w:themeColor="background1" w:themeShade="D9"/>
            </w:tcBorders>
            <w:shd w:val="clear" w:color="auto" w:fill="F2F2F2" w:themeFill="background1" w:themeFillShade="F2"/>
            <w:noWrap/>
            <w:vAlign w:val="center"/>
            <w:hideMark/>
          </w:tcPr>
          <w:p w14:paraId="558D7A9C" w14:textId="77777777"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2.1-5.4</w:t>
            </w:r>
          </w:p>
        </w:tc>
        <w:tc>
          <w:tcPr>
            <w:tcW w:w="1361" w:type="dxa"/>
            <w:tcBorders>
              <w:top w:val="nil"/>
              <w:left w:val="single" w:sz="4" w:space="0" w:color="D9D9D9" w:themeColor="background1" w:themeShade="D9"/>
              <w:bottom w:val="nil"/>
              <w:right w:val="single" w:sz="4" w:space="0" w:color="D9D9D9" w:themeColor="background1" w:themeShade="D9"/>
            </w:tcBorders>
            <w:shd w:val="clear" w:color="auto" w:fill="F2F2F2" w:themeFill="background1" w:themeFillShade="F2"/>
            <w:noWrap/>
            <w:vAlign w:val="center"/>
            <w:hideMark/>
          </w:tcPr>
          <w:p w14:paraId="2FA58C83" w14:textId="77777777"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4.5-12</w:t>
            </w:r>
          </w:p>
        </w:tc>
        <w:tc>
          <w:tcPr>
            <w:tcW w:w="1361" w:type="dxa"/>
            <w:tcBorders>
              <w:top w:val="nil"/>
              <w:left w:val="single" w:sz="4" w:space="0" w:color="D9D9D9" w:themeColor="background1" w:themeShade="D9"/>
              <w:bottom w:val="nil"/>
              <w:right w:val="nil"/>
            </w:tcBorders>
            <w:shd w:val="clear" w:color="auto" w:fill="F2F2F2" w:themeFill="background1" w:themeFillShade="F2"/>
            <w:noWrap/>
            <w:vAlign w:val="center"/>
            <w:hideMark/>
          </w:tcPr>
          <w:p w14:paraId="7D0C4F42" w14:textId="77777777"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1.5-10.7</w:t>
            </w:r>
          </w:p>
        </w:tc>
      </w:tr>
      <w:tr w:rsidR="001914BF" w:rsidRPr="00393B5B" w14:paraId="12A7EDB8" w14:textId="77777777" w:rsidTr="00B20E56">
        <w:trPr>
          <w:trHeight w:val="315"/>
        </w:trPr>
        <w:tc>
          <w:tcPr>
            <w:tcW w:w="3635" w:type="dxa"/>
            <w:tcBorders>
              <w:top w:val="nil"/>
              <w:left w:val="nil"/>
              <w:bottom w:val="nil"/>
              <w:right w:val="single" w:sz="4" w:space="0" w:color="auto"/>
            </w:tcBorders>
            <w:shd w:val="clear" w:color="auto" w:fill="auto"/>
            <w:noWrap/>
            <w:vAlign w:val="center"/>
            <w:hideMark/>
          </w:tcPr>
          <w:p w14:paraId="0E28523D" w14:textId="77777777" w:rsidR="00393B5B" w:rsidRPr="00393B5B" w:rsidRDefault="00393B5B" w:rsidP="00B20E56">
            <w:pPr>
              <w:spacing w:after="0" w:line="240" w:lineRule="auto"/>
              <w:rPr>
                <w:rFonts w:eastAsia="Times New Roman" w:cstheme="minorHAnsi"/>
                <w:b/>
                <w:color w:val="000000"/>
                <w:sz w:val="21"/>
                <w:szCs w:val="21"/>
                <w:lang w:eastAsia="en-GB"/>
              </w:rPr>
            </w:pPr>
            <w:r w:rsidRPr="00393B5B">
              <w:rPr>
                <w:rFonts w:eastAsia="Times New Roman" w:cstheme="minorHAnsi"/>
                <w:b/>
                <w:color w:val="000000"/>
                <w:sz w:val="21"/>
                <w:szCs w:val="21"/>
                <w:lang w:eastAsia="en-GB"/>
              </w:rPr>
              <w:t>Food</w:t>
            </w:r>
          </w:p>
        </w:tc>
        <w:tc>
          <w:tcPr>
            <w:tcW w:w="992" w:type="dxa"/>
            <w:tcBorders>
              <w:top w:val="nil"/>
              <w:left w:val="single" w:sz="4" w:space="0" w:color="auto"/>
              <w:bottom w:val="nil"/>
              <w:right w:val="dashed" w:sz="4" w:space="0" w:color="A6A6A6" w:themeColor="background1" w:themeShade="A6"/>
            </w:tcBorders>
            <w:shd w:val="clear" w:color="auto" w:fill="auto"/>
            <w:noWrap/>
            <w:vAlign w:val="center"/>
            <w:hideMark/>
          </w:tcPr>
          <w:p w14:paraId="3BE79A85" w14:textId="77777777" w:rsidR="00393B5B" w:rsidRPr="00393B5B" w:rsidRDefault="00393B5B" w:rsidP="00B20E56">
            <w:pPr>
              <w:spacing w:after="0" w:line="240" w:lineRule="auto"/>
              <w:ind w:firstLine="51"/>
              <w:rPr>
                <w:rFonts w:eastAsia="Times New Roman" w:cstheme="minorHAnsi"/>
                <w:color w:val="000000"/>
                <w:sz w:val="21"/>
                <w:szCs w:val="21"/>
                <w:lang w:eastAsia="en-GB"/>
              </w:rPr>
            </w:pPr>
            <w:r w:rsidRPr="00393B5B">
              <w:rPr>
                <w:rFonts w:eastAsia="Times New Roman" w:cstheme="minorHAnsi"/>
                <w:color w:val="000000"/>
                <w:sz w:val="21"/>
                <w:szCs w:val="21"/>
                <w:lang w:eastAsia="en-GB"/>
              </w:rPr>
              <w:t>GJ/cap</w:t>
            </w:r>
          </w:p>
        </w:tc>
        <w:tc>
          <w:tcPr>
            <w:tcW w:w="1531" w:type="dxa"/>
            <w:tcBorders>
              <w:top w:val="nil"/>
              <w:left w:val="dashed" w:sz="4" w:space="0" w:color="A6A6A6" w:themeColor="background1" w:themeShade="A6"/>
              <w:bottom w:val="nil"/>
              <w:right w:val="single" w:sz="4" w:space="0" w:color="D9D9D9" w:themeColor="background1" w:themeShade="D9"/>
            </w:tcBorders>
            <w:shd w:val="clear" w:color="auto" w:fill="auto"/>
            <w:noWrap/>
            <w:vAlign w:val="center"/>
            <w:hideMark/>
          </w:tcPr>
          <w:p w14:paraId="3F1FA82C" w14:textId="0E6CDB94" w:rsidR="00393B5B" w:rsidRPr="00393B5B" w:rsidRDefault="000346E8" w:rsidP="000346E8">
            <w:pPr>
              <w:spacing w:after="0" w:line="240" w:lineRule="auto"/>
              <w:jc w:val="center"/>
              <w:rPr>
                <w:rFonts w:eastAsia="Times New Roman" w:cstheme="minorHAnsi"/>
                <w:color w:val="000000"/>
                <w:sz w:val="21"/>
                <w:szCs w:val="21"/>
                <w:lang w:eastAsia="en-GB"/>
              </w:rPr>
            </w:pPr>
            <w:r>
              <w:rPr>
                <w:rFonts w:eastAsia="Times New Roman" w:cstheme="minorHAnsi"/>
                <w:color w:val="000000"/>
                <w:sz w:val="21"/>
                <w:szCs w:val="21"/>
                <w:lang w:eastAsia="en-GB"/>
              </w:rPr>
              <w:t>3.1-3.3</w:t>
            </w:r>
          </w:p>
        </w:tc>
        <w:tc>
          <w:tcPr>
            <w:tcW w:w="1361" w:type="dxa"/>
            <w:tcBorders>
              <w:top w:val="nil"/>
              <w:left w:val="single" w:sz="4" w:space="0" w:color="D9D9D9" w:themeColor="background1" w:themeShade="D9"/>
              <w:bottom w:val="nil"/>
              <w:right w:val="single" w:sz="4" w:space="0" w:color="D9D9D9" w:themeColor="background1" w:themeShade="D9"/>
            </w:tcBorders>
            <w:shd w:val="clear" w:color="auto" w:fill="auto"/>
            <w:noWrap/>
            <w:vAlign w:val="center"/>
            <w:hideMark/>
          </w:tcPr>
          <w:p w14:paraId="3C83813E" w14:textId="77777777"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2.5-5.6</w:t>
            </w:r>
          </w:p>
        </w:tc>
        <w:tc>
          <w:tcPr>
            <w:tcW w:w="1361" w:type="dxa"/>
            <w:tcBorders>
              <w:top w:val="nil"/>
              <w:left w:val="single" w:sz="4" w:space="0" w:color="D9D9D9" w:themeColor="background1" w:themeShade="D9"/>
              <w:bottom w:val="nil"/>
              <w:right w:val="nil"/>
            </w:tcBorders>
            <w:shd w:val="clear" w:color="auto" w:fill="auto"/>
            <w:noWrap/>
            <w:vAlign w:val="center"/>
            <w:hideMark/>
          </w:tcPr>
          <w:p w14:paraId="1C01F886" w14:textId="289ABED9"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NA</w:t>
            </w:r>
            <w:r w:rsidR="00D26A9F" w:rsidRPr="00393B5B">
              <w:rPr>
                <w:rFonts w:eastAsia="Times New Roman" w:cstheme="minorHAnsi"/>
                <w:color w:val="000000"/>
                <w:sz w:val="21"/>
                <w:szCs w:val="21"/>
                <w:lang w:eastAsia="en-GB"/>
              </w:rPr>
              <w:t>*</w:t>
            </w:r>
          </w:p>
        </w:tc>
      </w:tr>
      <w:tr w:rsidR="001914BF" w:rsidRPr="00393B5B" w14:paraId="3ECC482F" w14:textId="77777777" w:rsidTr="00B20E56">
        <w:trPr>
          <w:trHeight w:val="315"/>
        </w:trPr>
        <w:tc>
          <w:tcPr>
            <w:tcW w:w="3635" w:type="dxa"/>
            <w:tcBorders>
              <w:top w:val="nil"/>
              <w:left w:val="nil"/>
              <w:bottom w:val="nil"/>
              <w:right w:val="single" w:sz="4" w:space="0" w:color="auto"/>
            </w:tcBorders>
            <w:shd w:val="clear" w:color="auto" w:fill="F2F2F2" w:themeFill="background1" w:themeFillShade="F2"/>
            <w:noWrap/>
            <w:vAlign w:val="center"/>
            <w:hideMark/>
          </w:tcPr>
          <w:p w14:paraId="4F5778CB" w14:textId="49F56F9F" w:rsidR="00393B5B" w:rsidRPr="00393B5B" w:rsidRDefault="00393B5B" w:rsidP="00B20E56">
            <w:pPr>
              <w:spacing w:after="0" w:line="240" w:lineRule="auto"/>
              <w:ind w:left="227"/>
              <w:rPr>
                <w:rFonts w:eastAsia="Times New Roman" w:cstheme="minorHAnsi"/>
                <w:b/>
                <w:color w:val="000000"/>
                <w:sz w:val="21"/>
                <w:szCs w:val="21"/>
                <w:lang w:eastAsia="en-GB"/>
              </w:rPr>
            </w:pPr>
            <w:r w:rsidRPr="00393B5B">
              <w:rPr>
                <w:rFonts w:eastAsia="Times New Roman" w:cstheme="minorHAnsi"/>
                <w:b/>
                <w:color w:val="000000"/>
                <w:sz w:val="21"/>
                <w:szCs w:val="21"/>
                <w:lang w:eastAsia="en-GB"/>
              </w:rPr>
              <w:t xml:space="preserve">Total </w:t>
            </w:r>
            <w:r w:rsidR="001914BF">
              <w:rPr>
                <w:rFonts w:eastAsia="Times New Roman" w:cstheme="minorHAnsi"/>
                <w:b/>
                <w:color w:val="000000"/>
                <w:sz w:val="21"/>
                <w:szCs w:val="21"/>
                <w:lang w:eastAsia="en-GB"/>
              </w:rPr>
              <w:t xml:space="preserve">(final) </w:t>
            </w:r>
            <w:r w:rsidRPr="00393B5B">
              <w:rPr>
                <w:rFonts w:eastAsia="Times New Roman" w:cstheme="minorHAnsi"/>
                <w:b/>
                <w:color w:val="000000"/>
                <w:sz w:val="21"/>
                <w:szCs w:val="21"/>
                <w:lang w:eastAsia="en-GB"/>
              </w:rPr>
              <w:t xml:space="preserve">energy </w:t>
            </w:r>
            <w:r w:rsidR="001914BF">
              <w:rPr>
                <w:rFonts w:eastAsia="Times New Roman" w:cstheme="minorHAnsi"/>
                <w:b/>
                <w:color w:val="000000"/>
                <w:sz w:val="21"/>
                <w:szCs w:val="21"/>
                <w:lang w:eastAsia="en-GB"/>
              </w:rPr>
              <w:t>requirements</w:t>
            </w:r>
          </w:p>
        </w:tc>
        <w:tc>
          <w:tcPr>
            <w:tcW w:w="992" w:type="dxa"/>
            <w:tcBorders>
              <w:top w:val="nil"/>
              <w:left w:val="single" w:sz="4" w:space="0" w:color="auto"/>
              <w:bottom w:val="nil"/>
              <w:right w:val="dashed" w:sz="4" w:space="0" w:color="A6A6A6" w:themeColor="background1" w:themeShade="A6"/>
            </w:tcBorders>
            <w:shd w:val="clear" w:color="auto" w:fill="F2F2F2" w:themeFill="background1" w:themeFillShade="F2"/>
            <w:noWrap/>
            <w:vAlign w:val="center"/>
            <w:hideMark/>
          </w:tcPr>
          <w:p w14:paraId="69C1F27D" w14:textId="77777777" w:rsidR="00393B5B" w:rsidRPr="00393B5B" w:rsidRDefault="00393B5B" w:rsidP="00B20E56">
            <w:pPr>
              <w:spacing w:after="0" w:line="240" w:lineRule="auto"/>
              <w:ind w:firstLine="51"/>
              <w:rPr>
                <w:rFonts w:eastAsia="Times New Roman" w:cstheme="minorHAnsi"/>
                <w:color w:val="000000"/>
                <w:sz w:val="21"/>
                <w:szCs w:val="21"/>
                <w:lang w:eastAsia="en-GB"/>
              </w:rPr>
            </w:pPr>
            <w:r w:rsidRPr="00393B5B">
              <w:rPr>
                <w:rFonts w:eastAsia="Times New Roman" w:cstheme="minorHAnsi"/>
                <w:color w:val="000000"/>
                <w:sz w:val="21"/>
                <w:szCs w:val="21"/>
                <w:lang w:eastAsia="en-GB"/>
              </w:rPr>
              <w:t>GJ/cap</w:t>
            </w:r>
          </w:p>
        </w:tc>
        <w:tc>
          <w:tcPr>
            <w:tcW w:w="1531" w:type="dxa"/>
            <w:tcBorders>
              <w:top w:val="nil"/>
              <w:left w:val="dashed" w:sz="4" w:space="0" w:color="A6A6A6" w:themeColor="background1" w:themeShade="A6"/>
              <w:bottom w:val="nil"/>
              <w:right w:val="single" w:sz="4" w:space="0" w:color="D9D9D9" w:themeColor="background1" w:themeShade="D9"/>
            </w:tcBorders>
            <w:shd w:val="clear" w:color="auto" w:fill="F2F2F2" w:themeFill="background1" w:themeFillShade="F2"/>
            <w:noWrap/>
            <w:vAlign w:val="center"/>
            <w:hideMark/>
          </w:tcPr>
          <w:p w14:paraId="50809115" w14:textId="011BCD97" w:rsidR="00393B5B" w:rsidRPr="00393B5B" w:rsidRDefault="00024CE7" w:rsidP="001914BF">
            <w:pPr>
              <w:spacing w:after="0" w:line="240" w:lineRule="auto"/>
              <w:jc w:val="center"/>
              <w:rPr>
                <w:rFonts w:eastAsia="Times New Roman" w:cstheme="minorHAnsi"/>
                <w:b/>
                <w:color w:val="000000"/>
                <w:sz w:val="21"/>
                <w:szCs w:val="21"/>
                <w:lang w:eastAsia="en-GB"/>
              </w:rPr>
            </w:pPr>
            <w:r>
              <w:rPr>
                <w:rFonts w:eastAsia="Times New Roman" w:cstheme="minorHAnsi"/>
                <w:b/>
                <w:color w:val="000000"/>
                <w:sz w:val="21"/>
                <w:szCs w:val="21"/>
                <w:lang w:eastAsia="en-GB"/>
              </w:rPr>
              <w:t>13</w:t>
            </w:r>
            <w:r w:rsidR="001914BF" w:rsidRPr="00E54FC7">
              <w:rPr>
                <w:rFonts w:eastAsia="Times New Roman" w:cstheme="minorHAnsi"/>
                <w:b/>
                <w:color w:val="000000"/>
                <w:sz w:val="21"/>
                <w:szCs w:val="21"/>
                <w:lang w:eastAsia="en-GB"/>
              </w:rPr>
              <w:t>-18</w:t>
            </w:r>
            <w:r>
              <w:rPr>
                <w:rFonts w:eastAsia="Times New Roman" w:cstheme="minorHAnsi"/>
                <w:b/>
                <w:color w:val="000000"/>
                <w:sz w:val="21"/>
                <w:szCs w:val="21"/>
                <w:lang w:eastAsia="en-GB"/>
              </w:rPr>
              <w:t>.4</w:t>
            </w:r>
          </w:p>
        </w:tc>
        <w:tc>
          <w:tcPr>
            <w:tcW w:w="1361" w:type="dxa"/>
            <w:tcBorders>
              <w:top w:val="nil"/>
              <w:left w:val="single" w:sz="4" w:space="0" w:color="D9D9D9" w:themeColor="background1" w:themeShade="D9"/>
              <w:bottom w:val="nil"/>
              <w:right w:val="single" w:sz="4" w:space="0" w:color="D9D9D9" w:themeColor="background1" w:themeShade="D9"/>
            </w:tcBorders>
            <w:shd w:val="clear" w:color="auto" w:fill="F2F2F2" w:themeFill="background1" w:themeFillShade="F2"/>
            <w:noWrap/>
            <w:vAlign w:val="center"/>
            <w:hideMark/>
          </w:tcPr>
          <w:p w14:paraId="6F4AAD24" w14:textId="52B6D2B5" w:rsidR="00393B5B" w:rsidRPr="00393B5B" w:rsidRDefault="00393B5B" w:rsidP="001914BF">
            <w:pPr>
              <w:spacing w:after="0" w:line="240" w:lineRule="auto"/>
              <w:jc w:val="center"/>
              <w:rPr>
                <w:rFonts w:eastAsia="Times New Roman" w:cstheme="minorHAnsi"/>
                <w:b/>
                <w:color w:val="000000"/>
                <w:sz w:val="21"/>
                <w:szCs w:val="21"/>
                <w:lang w:eastAsia="en-GB"/>
              </w:rPr>
            </w:pPr>
            <w:r w:rsidRPr="00393B5B">
              <w:rPr>
                <w:rFonts w:eastAsia="Times New Roman" w:cstheme="minorHAnsi"/>
                <w:b/>
                <w:color w:val="000000"/>
                <w:sz w:val="21"/>
                <w:szCs w:val="21"/>
                <w:lang w:eastAsia="en-GB"/>
              </w:rPr>
              <w:t>11.4</w:t>
            </w:r>
            <w:r w:rsidR="001914BF" w:rsidRPr="00E54FC7">
              <w:rPr>
                <w:rFonts w:eastAsia="Times New Roman" w:cstheme="minorHAnsi"/>
                <w:b/>
                <w:color w:val="000000"/>
                <w:sz w:val="21"/>
                <w:szCs w:val="21"/>
                <w:lang w:eastAsia="en-GB"/>
              </w:rPr>
              <w:t>-</w:t>
            </w:r>
            <w:r w:rsidRPr="00393B5B">
              <w:rPr>
                <w:rFonts w:eastAsia="Times New Roman" w:cstheme="minorHAnsi"/>
                <w:b/>
                <w:color w:val="000000"/>
                <w:sz w:val="21"/>
                <w:szCs w:val="21"/>
                <w:lang w:eastAsia="en-GB"/>
              </w:rPr>
              <w:t>26</w:t>
            </w:r>
          </w:p>
        </w:tc>
        <w:tc>
          <w:tcPr>
            <w:tcW w:w="1361" w:type="dxa"/>
            <w:tcBorders>
              <w:top w:val="nil"/>
              <w:left w:val="single" w:sz="4" w:space="0" w:color="D9D9D9" w:themeColor="background1" w:themeShade="D9"/>
              <w:bottom w:val="nil"/>
              <w:right w:val="nil"/>
            </w:tcBorders>
            <w:shd w:val="clear" w:color="auto" w:fill="F2F2F2" w:themeFill="background1" w:themeFillShade="F2"/>
            <w:noWrap/>
            <w:vAlign w:val="center"/>
            <w:hideMark/>
          </w:tcPr>
          <w:p w14:paraId="1EE1281B" w14:textId="77777777" w:rsidR="00393B5B" w:rsidRPr="00393B5B" w:rsidRDefault="00393B5B" w:rsidP="00393B5B">
            <w:pPr>
              <w:spacing w:after="0" w:line="240" w:lineRule="auto"/>
              <w:jc w:val="center"/>
              <w:rPr>
                <w:rFonts w:eastAsia="Times New Roman" w:cstheme="minorHAnsi"/>
                <w:b/>
                <w:color w:val="000000"/>
                <w:sz w:val="21"/>
                <w:szCs w:val="21"/>
                <w:lang w:eastAsia="en-GB"/>
              </w:rPr>
            </w:pPr>
            <w:r w:rsidRPr="00393B5B">
              <w:rPr>
                <w:rFonts w:eastAsia="Times New Roman" w:cstheme="minorHAnsi"/>
                <w:b/>
                <w:color w:val="000000"/>
                <w:sz w:val="21"/>
                <w:szCs w:val="21"/>
                <w:lang w:eastAsia="en-GB"/>
              </w:rPr>
              <w:t>20-50</w:t>
            </w:r>
          </w:p>
        </w:tc>
      </w:tr>
      <w:tr w:rsidR="001914BF" w:rsidRPr="00393B5B" w14:paraId="419A3019" w14:textId="77777777" w:rsidTr="00B20E56">
        <w:trPr>
          <w:trHeight w:val="315"/>
        </w:trPr>
        <w:tc>
          <w:tcPr>
            <w:tcW w:w="3635" w:type="dxa"/>
            <w:tcBorders>
              <w:top w:val="nil"/>
              <w:left w:val="nil"/>
              <w:bottom w:val="nil"/>
              <w:right w:val="single" w:sz="4" w:space="0" w:color="auto"/>
            </w:tcBorders>
            <w:shd w:val="clear" w:color="auto" w:fill="auto"/>
            <w:noWrap/>
            <w:vAlign w:val="center"/>
            <w:hideMark/>
          </w:tcPr>
          <w:p w14:paraId="3DFA0BA4" w14:textId="07F456A2" w:rsidR="00393B5B" w:rsidRPr="00393B5B" w:rsidRDefault="00393B5B" w:rsidP="00B20E56">
            <w:pPr>
              <w:spacing w:after="0" w:line="240" w:lineRule="auto"/>
              <w:ind w:left="462"/>
              <w:rPr>
                <w:rFonts w:eastAsia="Times New Roman" w:cstheme="minorHAnsi"/>
                <w:b/>
                <w:color w:val="000000"/>
                <w:sz w:val="21"/>
                <w:szCs w:val="21"/>
                <w:lang w:eastAsia="en-GB"/>
              </w:rPr>
            </w:pPr>
            <w:r w:rsidRPr="00393B5B">
              <w:rPr>
                <w:rFonts w:eastAsia="Times New Roman" w:cstheme="minorHAnsi"/>
                <w:b/>
                <w:color w:val="000000"/>
                <w:sz w:val="21"/>
                <w:szCs w:val="21"/>
                <w:lang w:eastAsia="en-GB"/>
              </w:rPr>
              <w:t>Geographic scope</w:t>
            </w:r>
          </w:p>
        </w:tc>
        <w:tc>
          <w:tcPr>
            <w:tcW w:w="992" w:type="dxa"/>
            <w:tcBorders>
              <w:top w:val="nil"/>
              <w:left w:val="single" w:sz="4" w:space="0" w:color="auto"/>
              <w:bottom w:val="nil"/>
              <w:right w:val="dashed" w:sz="4" w:space="0" w:color="A6A6A6" w:themeColor="background1" w:themeShade="A6"/>
            </w:tcBorders>
            <w:shd w:val="clear" w:color="auto" w:fill="auto"/>
            <w:noWrap/>
            <w:vAlign w:val="center"/>
            <w:hideMark/>
          </w:tcPr>
          <w:p w14:paraId="3C9D60E1" w14:textId="77777777" w:rsidR="00393B5B" w:rsidRPr="00393B5B" w:rsidRDefault="00393B5B" w:rsidP="00B20E56">
            <w:pPr>
              <w:spacing w:after="0" w:line="240" w:lineRule="auto"/>
              <w:rPr>
                <w:rFonts w:eastAsia="Times New Roman" w:cstheme="minorHAnsi"/>
                <w:color w:val="000000"/>
                <w:sz w:val="21"/>
                <w:szCs w:val="21"/>
                <w:lang w:eastAsia="en-GB"/>
              </w:rPr>
            </w:pPr>
          </w:p>
        </w:tc>
        <w:tc>
          <w:tcPr>
            <w:tcW w:w="1531" w:type="dxa"/>
            <w:tcBorders>
              <w:top w:val="nil"/>
              <w:left w:val="dashed" w:sz="4" w:space="0" w:color="A6A6A6" w:themeColor="background1" w:themeShade="A6"/>
              <w:bottom w:val="nil"/>
              <w:right w:val="single" w:sz="4" w:space="0" w:color="D9D9D9" w:themeColor="background1" w:themeShade="D9"/>
            </w:tcBorders>
            <w:shd w:val="clear" w:color="auto" w:fill="auto"/>
            <w:noWrap/>
            <w:vAlign w:val="center"/>
            <w:hideMark/>
          </w:tcPr>
          <w:p w14:paraId="7C9A6A75" w14:textId="71C16E5E" w:rsidR="00393B5B" w:rsidRPr="00393B5B" w:rsidRDefault="00F86CF6" w:rsidP="001914BF">
            <w:pPr>
              <w:spacing w:after="0" w:line="240" w:lineRule="auto"/>
              <w:jc w:val="center"/>
              <w:rPr>
                <w:rFonts w:eastAsia="Times New Roman" w:cstheme="minorHAnsi"/>
                <w:color w:val="000000"/>
                <w:sz w:val="21"/>
                <w:szCs w:val="21"/>
                <w:lang w:eastAsia="en-GB"/>
              </w:rPr>
            </w:pPr>
            <w:r>
              <w:rPr>
                <w:rFonts w:eastAsia="Times New Roman" w:cstheme="minorHAnsi"/>
                <w:color w:val="000000"/>
                <w:sz w:val="21"/>
                <w:szCs w:val="21"/>
                <w:lang w:eastAsia="en-GB"/>
              </w:rPr>
              <w:t>Global</w:t>
            </w:r>
          </w:p>
        </w:tc>
        <w:tc>
          <w:tcPr>
            <w:tcW w:w="1361" w:type="dxa"/>
            <w:tcBorders>
              <w:top w:val="nil"/>
              <w:left w:val="single" w:sz="4" w:space="0" w:color="D9D9D9" w:themeColor="background1" w:themeShade="D9"/>
              <w:bottom w:val="nil"/>
              <w:right w:val="single" w:sz="4" w:space="0" w:color="D9D9D9" w:themeColor="background1" w:themeShade="D9"/>
            </w:tcBorders>
            <w:shd w:val="clear" w:color="auto" w:fill="auto"/>
            <w:noWrap/>
            <w:vAlign w:val="center"/>
            <w:hideMark/>
          </w:tcPr>
          <w:p w14:paraId="4AF2F8B9" w14:textId="77777777" w:rsidR="00393B5B" w:rsidRPr="00393B5B" w:rsidRDefault="00393B5B" w:rsidP="00393B5B">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IND/BRA/ZAF</w:t>
            </w:r>
          </w:p>
        </w:tc>
        <w:tc>
          <w:tcPr>
            <w:tcW w:w="1361" w:type="dxa"/>
            <w:tcBorders>
              <w:top w:val="nil"/>
              <w:left w:val="single" w:sz="4" w:space="0" w:color="D9D9D9" w:themeColor="background1" w:themeShade="D9"/>
              <w:bottom w:val="nil"/>
              <w:right w:val="nil"/>
            </w:tcBorders>
            <w:shd w:val="clear" w:color="auto" w:fill="auto"/>
            <w:noWrap/>
            <w:vAlign w:val="center"/>
            <w:hideMark/>
          </w:tcPr>
          <w:p w14:paraId="663CB289" w14:textId="16A84E90" w:rsidR="00393B5B" w:rsidRPr="00393B5B" w:rsidRDefault="00393B5B" w:rsidP="00F86CF6">
            <w:pPr>
              <w:spacing w:after="0" w:line="240" w:lineRule="auto"/>
              <w:jc w:val="center"/>
              <w:rPr>
                <w:rFonts w:eastAsia="Times New Roman" w:cstheme="minorHAnsi"/>
                <w:color w:val="000000"/>
                <w:sz w:val="21"/>
                <w:szCs w:val="21"/>
                <w:lang w:eastAsia="en-GB"/>
              </w:rPr>
            </w:pPr>
            <w:r w:rsidRPr="00393B5B">
              <w:rPr>
                <w:rFonts w:eastAsia="Times New Roman" w:cstheme="minorHAnsi"/>
                <w:color w:val="000000"/>
                <w:sz w:val="21"/>
                <w:szCs w:val="21"/>
                <w:lang w:eastAsia="en-GB"/>
              </w:rPr>
              <w:t>Global</w:t>
            </w:r>
          </w:p>
        </w:tc>
      </w:tr>
      <w:tr w:rsidR="001914BF" w:rsidRPr="00217D1B" w14:paraId="7248B840" w14:textId="77777777" w:rsidTr="00B20E56">
        <w:trPr>
          <w:trHeight w:val="315"/>
        </w:trPr>
        <w:tc>
          <w:tcPr>
            <w:tcW w:w="3635" w:type="dxa"/>
            <w:tcBorders>
              <w:top w:val="nil"/>
              <w:left w:val="nil"/>
              <w:bottom w:val="nil"/>
              <w:right w:val="single" w:sz="4" w:space="0" w:color="auto"/>
            </w:tcBorders>
            <w:shd w:val="clear" w:color="auto" w:fill="F2F2F2" w:themeFill="background1" w:themeFillShade="F2"/>
            <w:noWrap/>
            <w:vAlign w:val="center"/>
          </w:tcPr>
          <w:p w14:paraId="422D3B32" w14:textId="20893AE7" w:rsidR="001914BF" w:rsidRPr="00217D1B" w:rsidRDefault="001914BF" w:rsidP="00B20E56">
            <w:pPr>
              <w:spacing w:after="0" w:line="240" w:lineRule="auto"/>
              <w:ind w:left="462"/>
              <w:rPr>
                <w:rFonts w:eastAsia="Times New Roman" w:cstheme="minorHAnsi"/>
                <w:b/>
                <w:color w:val="000000"/>
                <w:sz w:val="20"/>
                <w:szCs w:val="20"/>
                <w:lang w:eastAsia="en-GB"/>
              </w:rPr>
            </w:pPr>
            <w:r w:rsidRPr="00B0297D">
              <w:rPr>
                <w:rFonts w:eastAsia="Times New Roman" w:cstheme="minorHAnsi"/>
                <w:b/>
                <w:color w:val="000000"/>
                <w:szCs w:val="20"/>
                <w:lang w:eastAsia="en-GB"/>
              </w:rPr>
              <w:t>Granularity</w:t>
            </w:r>
          </w:p>
        </w:tc>
        <w:tc>
          <w:tcPr>
            <w:tcW w:w="992" w:type="dxa"/>
            <w:tcBorders>
              <w:top w:val="nil"/>
              <w:left w:val="single" w:sz="4" w:space="0" w:color="auto"/>
              <w:bottom w:val="nil"/>
              <w:right w:val="dashed" w:sz="4" w:space="0" w:color="A6A6A6" w:themeColor="background1" w:themeShade="A6"/>
            </w:tcBorders>
            <w:shd w:val="clear" w:color="auto" w:fill="F2F2F2" w:themeFill="background1" w:themeFillShade="F2"/>
            <w:noWrap/>
            <w:vAlign w:val="center"/>
          </w:tcPr>
          <w:p w14:paraId="5C44CF3E" w14:textId="77777777" w:rsidR="001914BF" w:rsidRPr="00217D1B" w:rsidRDefault="001914BF" w:rsidP="00B20E56">
            <w:pPr>
              <w:spacing w:after="0" w:line="240" w:lineRule="auto"/>
              <w:rPr>
                <w:rFonts w:eastAsia="Times New Roman" w:cstheme="minorHAnsi"/>
                <w:color w:val="000000"/>
                <w:sz w:val="20"/>
                <w:szCs w:val="20"/>
                <w:lang w:eastAsia="en-GB"/>
              </w:rPr>
            </w:pPr>
          </w:p>
        </w:tc>
        <w:tc>
          <w:tcPr>
            <w:tcW w:w="1531" w:type="dxa"/>
            <w:tcBorders>
              <w:top w:val="nil"/>
              <w:left w:val="dashed" w:sz="4" w:space="0" w:color="A6A6A6" w:themeColor="background1" w:themeShade="A6"/>
              <w:bottom w:val="nil"/>
              <w:right w:val="single" w:sz="4" w:space="0" w:color="D9D9D9" w:themeColor="background1" w:themeShade="D9"/>
            </w:tcBorders>
            <w:shd w:val="clear" w:color="auto" w:fill="F2F2F2" w:themeFill="background1" w:themeFillShade="F2"/>
            <w:noWrap/>
            <w:vAlign w:val="center"/>
          </w:tcPr>
          <w:p w14:paraId="56CF74CF" w14:textId="73425029" w:rsidR="001914BF" w:rsidRPr="00B0297D" w:rsidRDefault="001914BF" w:rsidP="00393B5B">
            <w:pPr>
              <w:spacing w:after="0" w:line="240" w:lineRule="auto"/>
              <w:jc w:val="center"/>
              <w:rPr>
                <w:rFonts w:eastAsia="Times New Roman" w:cstheme="minorHAnsi"/>
                <w:color w:val="000000"/>
                <w:szCs w:val="20"/>
                <w:lang w:eastAsia="en-GB"/>
              </w:rPr>
            </w:pPr>
            <w:r w:rsidRPr="00B0297D">
              <w:rPr>
                <w:rFonts w:eastAsia="Times New Roman" w:cstheme="minorHAnsi"/>
                <w:color w:val="000000"/>
                <w:szCs w:val="20"/>
                <w:lang w:eastAsia="en-GB"/>
              </w:rPr>
              <w:t>Country</w:t>
            </w:r>
            <w:r w:rsidR="00A8541F" w:rsidRPr="00B0297D">
              <w:rPr>
                <w:rFonts w:eastAsia="Times New Roman" w:cstheme="minorHAnsi"/>
                <w:color w:val="000000"/>
                <w:szCs w:val="20"/>
                <w:lang w:eastAsia="en-GB"/>
              </w:rPr>
              <w:t xml:space="preserve"> &amp; urban/rural</w:t>
            </w:r>
          </w:p>
        </w:tc>
        <w:tc>
          <w:tcPr>
            <w:tcW w:w="1361" w:type="dxa"/>
            <w:tcBorders>
              <w:top w:val="nil"/>
              <w:left w:val="single" w:sz="4" w:space="0" w:color="D9D9D9" w:themeColor="background1" w:themeShade="D9"/>
              <w:bottom w:val="nil"/>
              <w:right w:val="single" w:sz="4" w:space="0" w:color="D9D9D9" w:themeColor="background1" w:themeShade="D9"/>
            </w:tcBorders>
            <w:shd w:val="clear" w:color="auto" w:fill="F2F2F2" w:themeFill="background1" w:themeFillShade="F2"/>
            <w:noWrap/>
            <w:vAlign w:val="center"/>
          </w:tcPr>
          <w:p w14:paraId="6FC109A1" w14:textId="224753B5" w:rsidR="001914BF" w:rsidRPr="00B0297D" w:rsidRDefault="001914BF" w:rsidP="00393B5B">
            <w:pPr>
              <w:spacing w:after="0" w:line="240" w:lineRule="auto"/>
              <w:jc w:val="center"/>
              <w:rPr>
                <w:rFonts w:eastAsia="Times New Roman" w:cstheme="minorHAnsi"/>
                <w:color w:val="000000"/>
                <w:szCs w:val="20"/>
                <w:lang w:eastAsia="en-GB"/>
              </w:rPr>
            </w:pPr>
            <w:r w:rsidRPr="00B0297D">
              <w:rPr>
                <w:rFonts w:eastAsia="Times New Roman" w:cstheme="minorHAnsi"/>
                <w:color w:val="000000"/>
                <w:szCs w:val="20"/>
                <w:lang w:eastAsia="en-GB"/>
              </w:rPr>
              <w:t>Country</w:t>
            </w:r>
          </w:p>
        </w:tc>
        <w:tc>
          <w:tcPr>
            <w:tcW w:w="1361" w:type="dxa"/>
            <w:tcBorders>
              <w:top w:val="nil"/>
              <w:left w:val="single" w:sz="4" w:space="0" w:color="D9D9D9" w:themeColor="background1" w:themeShade="D9"/>
              <w:bottom w:val="nil"/>
              <w:right w:val="nil"/>
            </w:tcBorders>
            <w:shd w:val="clear" w:color="auto" w:fill="F2F2F2" w:themeFill="background1" w:themeFillShade="F2"/>
            <w:noWrap/>
            <w:vAlign w:val="center"/>
          </w:tcPr>
          <w:p w14:paraId="5B9B5CEC" w14:textId="54A4FF61" w:rsidR="001914BF" w:rsidRPr="00B0297D" w:rsidRDefault="001914BF" w:rsidP="001914BF">
            <w:pPr>
              <w:spacing w:after="0" w:line="240" w:lineRule="auto"/>
              <w:jc w:val="center"/>
              <w:rPr>
                <w:rFonts w:eastAsia="Times New Roman" w:cstheme="minorHAnsi"/>
                <w:color w:val="000000"/>
                <w:szCs w:val="20"/>
                <w:lang w:eastAsia="en-GB"/>
              </w:rPr>
            </w:pPr>
            <w:r w:rsidRPr="00B0297D">
              <w:rPr>
                <w:rFonts w:eastAsia="Times New Roman" w:cstheme="minorHAnsi"/>
                <w:color w:val="000000"/>
                <w:szCs w:val="20"/>
                <w:lang w:eastAsia="en-GB"/>
              </w:rPr>
              <w:t>Global N &amp; S</w:t>
            </w:r>
          </w:p>
        </w:tc>
      </w:tr>
    </w:tbl>
    <w:p w14:paraId="62B3765C" w14:textId="506AA238" w:rsidR="00217D1B" w:rsidRPr="00217D1B" w:rsidRDefault="00217D1B" w:rsidP="004B7A92">
      <w:pPr>
        <w:pStyle w:val="NoSpacing"/>
        <w:spacing w:before="60"/>
        <w:rPr>
          <w:b/>
          <w:sz w:val="20"/>
          <w:szCs w:val="20"/>
        </w:rPr>
      </w:pPr>
      <w:r w:rsidRPr="00217D1B">
        <w:rPr>
          <w:b/>
          <w:sz w:val="20"/>
          <w:szCs w:val="20"/>
          <w:vertAlign w:val="superscript"/>
        </w:rPr>
        <w:t>+</w:t>
      </w:r>
      <w:r w:rsidRPr="00217D1B">
        <w:rPr>
          <w:sz w:val="20"/>
          <w:szCs w:val="20"/>
        </w:rPr>
        <w:t xml:space="preserve">This is based upon </w:t>
      </w:r>
      <w:r w:rsidR="00FA574C">
        <w:rPr>
          <w:sz w:val="20"/>
          <w:szCs w:val="20"/>
        </w:rPr>
        <w:t xml:space="preserve">our average of </w:t>
      </w:r>
      <w:r w:rsidRPr="00217D1B">
        <w:rPr>
          <w:rFonts w:eastAsia="Times New Roman" w:cstheme="minorHAnsi"/>
          <w:color w:val="000000"/>
          <w:sz w:val="20"/>
          <w:szCs w:val="20"/>
          <w:lang w:eastAsia="en-GB"/>
        </w:rPr>
        <w:t>4-persons per household</w:t>
      </w:r>
      <w:r w:rsidR="00FA574C">
        <w:rPr>
          <w:rFonts w:eastAsia="Times New Roman" w:cstheme="minorHAnsi"/>
          <w:color w:val="000000"/>
          <w:sz w:val="20"/>
          <w:szCs w:val="20"/>
          <w:lang w:eastAsia="en-GB"/>
        </w:rPr>
        <w:t>.</w:t>
      </w:r>
    </w:p>
    <w:p w14:paraId="27A16B42" w14:textId="4AC494D5" w:rsidR="006B0FAE" w:rsidRPr="00CB0C6B" w:rsidRDefault="00A8541F" w:rsidP="00CB0C6B">
      <w:pPr>
        <w:pStyle w:val="NoSpacing"/>
      </w:pPr>
      <w:r w:rsidRPr="00A8541F">
        <w:rPr>
          <w:sz w:val="20"/>
        </w:rPr>
        <w:t xml:space="preserve">*In LED, cooking is </w:t>
      </w:r>
      <w:r w:rsidR="00D26A9F">
        <w:rPr>
          <w:sz w:val="20"/>
        </w:rPr>
        <w:t>included</w:t>
      </w:r>
      <w:r w:rsidRPr="00A8541F">
        <w:rPr>
          <w:sz w:val="20"/>
        </w:rPr>
        <w:t xml:space="preserve"> in </w:t>
      </w:r>
      <w:r w:rsidRPr="00D26A9F">
        <w:rPr>
          <w:i/>
          <w:sz w:val="20"/>
        </w:rPr>
        <w:t>Housing</w:t>
      </w:r>
      <w:r w:rsidRPr="00A8541F">
        <w:rPr>
          <w:sz w:val="20"/>
        </w:rPr>
        <w:t>,</w:t>
      </w:r>
      <w:r w:rsidR="00D26A9F">
        <w:rPr>
          <w:sz w:val="20"/>
        </w:rPr>
        <w:t xml:space="preserve"> and</w:t>
      </w:r>
      <w:r w:rsidRPr="00A8541F">
        <w:rPr>
          <w:sz w:val="20"/>
        </w:rPr>
        <w:t xml:space="preserve"> food production is not reported separately</w:t>
      </w:r>
      <w:r w:rsidR="00D26A9F">
        <w:rPr>
          <w:sz w:val="20"/>
        </w:rPr>
        <w:t>.</w:t>
      </w:r>
      <w:r w:rsidR="006B0FAE">
        <w:br w:type="page"/>
      </w:r>
    </w:p>
    <w:p w14:paraId="2ACD3212" w14:textId="28DFAA9F" w:rsidR="00B06AA9" w:rsidRPr="00C91A23" w:rsidRDefault="00C91A23" w:rsidP="00C91A23">
      <w:pPr>
        <w:pStyle w:val="Title"/>
      </w:pPr>
      <w:r w:rsidRPr="00C91A23">
        <w:rPr>
          <w:b/>
        </w:rPr>
        <w:lastRenderedPageBreak/>
        <w:t>Part 1</w:t>
      </w:r>
      <w:r>
        <w:t xml:space="preserve">   </w:t>
      </w:r>
      <w:r w:rsidR="008B7404">
        <w:t>Methods and</w:t>
      </w:r>
      <w:r w:rsidRPr="00C91A23">
        <w:t xml:space="preserve"> D</w:t>
      </w:r>
      <w:r w:rsidR="00B06AA9" w:rsidRPr="00C91A23">
        <w:t xml:space="preserve">ata </w:t>
      </w:r>
      <w:r w:rsidRPr="00C91A23">
        <w:t>S</w:t>
      </w:r>
      <w:r w:rsidR="008B7404">
        <w:t>ources</w:t>
      </w:r>
    </w:p>
    <w:p w14:paraId="3A07F6E9" w14:textId="72ECF94F" w:rsidR="00B06AA9" w:rsidRPr="00C91A23" w:rsidRDefault="00C91A23" w:rsidP="00C91A23">
      <w:pPr>
        <w:pStyle w:val="Heading1"/>
      </w:pPr>
      <w:r w:rsidRPr="00C91A23">
        <w:t>Shelter</w:t>
      </w:r>
      <w:r>
        <w:t xml:space="preserve"> and living condition</w:t>
      </w:r>
      <w:r w:rsidR="00B06AA9" w:rsidRPr="00C91A23">
        <w:t>s</w:t>
      </w:r>
    </w:p>
    <w:p w14:paraId="524CA5D1" w14:textId="05277C36" w:rsidR="002E3F36" w:rsidRDefault="004D77E7" w:rsidP="004A33BE">
      <w:pPr>
        <w:pStyle w:val="Heading2"/>
        <w:spacing w:before="80"/>
      </w:pPr>
      <w:r>
        <w:t>Household fl</w:t>
      </w:r>
      <w:r w:rsidR="002E3F36">
        <w:t xml:space="preserve">oor </w:t>
      </w:r>
      <w:r>
        <w:t>s</w:t>
      </w:r>
      <w:r w:rsidR="002E3F36">
        <w:t>pace</w:t>
      </w:r>
    </w:p>
    <w:p w14:paraId="5081F3CB" w14:textId="3305851B" w:rsidR="00D04900" w:rsidRPr="00182E45" w:rsidRDefault="00D2229C" w:rsidP="00D04900">
      <w:r>
        <w:t>Our floor-</w:t>
      </w:r>
      <w:r w:rsidR="002E3F36">
        <w:t>space per capita is a function of the minimum requirements</w:t>
      </w:r>
      <w:r w:rsidR="00FF69CF">
        <w:t xml:space="preserve"> </w:t>
      </w:r>
      <w:r w:rsidR="002E3F36">
        <w:t xml:space="preserve">suggested by </w:t>
      </w:r>
      <w:r w:rsidR="0049500D" w:rsidRPr="0049500D">
        <w:t>Rao and Min</w:t>
      </w:r>
      <w:r w:rsidR="006A2825" w:rsidRPr="006A2825">
        <w:rPr>
          <w:noProof/>
          <w:vertAlign w:val="superscript"/>
        </w:rPr>
        <w:t>3</w:t>
      </w:r>
      <w:r w:rsidR="002E3F36">
        <w:t>, and the average household size that we specify.</w:t>
      </w:r>
      <w:r w:rsidR="00D04900" w:rsidRPr="00D04900">
        <w:t xml:space="preserve"> </w:t>
      </w:r>
      <w:r w:rsidR="00C91CB9">
        <w:t>They</w:t>
      </w:r>
      <w:r w:rsidR="00D04900">
        <w:t xml:space="preserve"> suggest 10 m</w:t>
      </w:r>
      <w:r w:rsidR="00D04900">
        <w:rPr>
          <w:vertAlign w:val="superscript"/>
        </w:rPr>
        <w:t>2</w:t>
      </w:r>
      <w:r w:rsidR="00D04900">
        <w:t>/capita of living space, plus 20 m</w:t>
      </w:r>
      <w:r w:rsidR="00D04900">
        <w:rPr>
          <w:vertAlign w:val="superscript"/>
        </w:rPr>
        <w:t>2</w:t>
      </w:r>
      <w:r w:rsidR="006F6362">
        <w:t>/</w:t>
      </w:r>
      <w:r w:rsidR="00D04900">
        <w:t xml:space="preserve">household for kitchen and bathroom facilities. </w:t>
      </w:r>
      <w:r w:rsidR="00FF69CF">
        <w:t>We assume</w:t>
      </w:r>
      <w:r w:rsidR="00D04900">
        <w:t xml:space="preserve"> a household size of </w:t>
      </w:r>
      <w:r w:rsidR="00AD0A81">
        <w:t>four</w:t>
      </w:r>
      <w:r w:rsidR="00D04900" w:rsidRPr="0062112F">
        <w:t xml:space="preserve"> persons on average</w:t>
      </w:r>
      <w:r w:rsidR="00FF69CF">
        <w:t>, thus</w:t>
      </w:r>
      <w:r w:rsidR="00D04900">
        <w:t xml:space="preserve"> floor space requirement of 1</w:t>
      </w:r>
      <w:r w:rsidR="00AD0A81">
        <w:t>5</w:t>
      </w:r>
      <w:r w:rsidR="00D04900">
        <w:t xml:space="preserve"> m</w:t>
      </w:r>
      <w:r w:rsidR="00D04900">
        <w:rPr>
          <w:vertAlign w:val="superscript"/>
        </w:rPr>
        <w:t>2</w:t>
      </w:r>
      <w:r w:rsidR="00FF69CF">
        <w:t>/capita. This</w:t>
      </w:r>
      <w:r w:rsidR="00D04900">
        <w:t xml:space="preserve"> feeds into </w:t>
      </w:r>
      <w:r w:rsidR="00FF69CF">
        <w:t>our</w:t>
      </w:r>
      <w:r w:rsidR="00AD0A81">
        <w:t xml:space="preserve"> </w:t>
      </w:r>
      <w:r w:rsidR="00D04900">
        <w:t>thermal comfort</w:t>
      </w:r>
      <w:r w:rsidR="00C91CB9">
        <w:t>,</w:t>
      </w:r>
      <w:r w:rsidR="00D04900">
        <w:t xml:space="preserve"> illumination </w:t>
      </w:r>
      <w:r w:rsidR="00C91CB9">
        <w:t xml:space="preserve">and residential construction </w:t>
      </w:r>
      <w:r w:rsidR="00D04900">
        <w:t xml:space="preserve">calculations. We vary the household size in our </w:t>
      </w:r>
      <w:r w:rsidR="000A726A">
        <w:t xml:space="preserve">scenarios and </w:t>
      </w:r>
      <w:r w:rsidR="00D04900">
        <w:t>sensitivity test.</w:t>
      </w:r>
    </w:p>
    <w:p w14:paraId="61821439" w14:textId="476EE7EC" w:rsidR="002E3F36" w:rsidRDefault="00421FB4" w:rsidP="002E3F36">
      <w:r>
        <w:t>For simplicity, w</w:t>
      </w:r>
      <w:r w:rsidR="00C91CB9">
        <w:t xml:space="preserve">e use the same floor-space per capita </w:t>
      </w:r>
      <w:r>
        <w:t xml:space="preserve">in </w:t>
      </w:r>
      <w:r w:rsidR="00C91CB9">
        <w:t xml:space="preserve">rural </w:t>
      </w:r>
      <w:r>
        <w:t xml:space="preserve">and </w:t>
      </w:r>
      <w:r w:rsidR="00C91CB9">
        <w:t>urban areas</w:t>
      </w:r>
      <w:r>
        <w:t>, even though</w:t>
      </w:r>
      <w:r w:rsidR="002E3F36">
        <w:t xml:space="preserve"> rural </w:t>
      </w:r>
      <w:r w:rsidR="00D2229C">
        <w:t>living space</w:t>
      </w:r>
      <w:r w:rsidR="002E3F36">
        <w:t xml:space="preserve"> </w:t>
      </w:r>
      <w:r w:rsidR="00317640">
        <w:t>could</w:t>
      </w:r>
      <w:r w:rsidR="002E3F36">
        <w:t xml:space="preserve"> be larger</w:t>
      </w:r>
      <w:r>
        <w:t xml:space="preserve"> </w:t>
      </w:r>
      <w:r w:rsidR="002E3F36">
        <w:t>due to lower space restrictions.</w:t>
      </w:r>
      <w:r w:rsidR="00D2229C">
        <w:t xml:space="preserve"> </w:t>
      </w:r>
      <w:r w:rsidR="00C91CB9">
        <w:t>This is appropriate f</w:t>
      </w:r>
      <w:r w:rsidR="00FD44EE">
        <w:t>rom a threshold perspective,</w:t>
      </w:r>
      <w:r w:rsidR="002E4BED">
        <w:t xml:space="preserve"> where the</w:t>
      </w:r>
      <w:r w:rsidR="00FD44EE">
        <w:t xml:space="preserve"> minimum is </w:t>
      </w:r>
      <w:r w:rsidR="00C91CB9">
        <w:t>key</w:t>
      </w:r>
      <w:r w:rsidR="00FD44EE">
        <w:t xml:space="preserve">. </w:t>
      </w:r>
      <w:r w:rsidR="00C91CB9">
        <w:t xml:space="preserve">In future work, differentiation </w:t>
      </w:r>
      <w:r>
        <w:t xml:space="preserve">of household floor-space </w:t>
      </w:r>
      <w:r w:rsidR="00C91CB9">
        <w:t xml:space="preserve">based </w:t>
      </w:r>
      <w:r>
        <w:t>up</w:t>
      </w:r>
      <w:r w:rsidR="00C91CB9">
        <w:t xml:space="preserve">on urban/rural splits, special </w:t>
      </w:r>
      <w:r w:rsidR="002E4BED">
        <w:t xml:space="preserve">physical </w:t>
      </w:r>
      <w:r w:rsidR="00C91CB9">
        <w:t>needs, or other fine-grained parameters could be implemented.</w:t>
      </w:r>
    </w:p>
    <w:p w14:paraId="51C13450" w14:textId="2F8D22EE" w:rsidR="00853C9C" w:rsidRDefault="004D77E7" w:rsidP="000F0AE9">
      <w:pPr>
        <w:pStyle w:val="Heading2"/>
      </w:pPr>
      <w:r>
        <w:t>Household t</w:t>
      </w:r>
      <w:r w:rsidR="00B34EA6" w:rsidRPr="00B150F9">
        <w:t>hermal comfort</w:t>
      </w:r>
    </w:p>
    <w:p w14:paraId="50B7318C" w14:textId="12086212" w:rsidR="00EC7B4A" w:rsidRDefault="00EC7B4A" w:rsidP="003F3880">
      <w:r w:rsidRPr="00EC7B4A">
        <w:rPr>
          <w:i/>
        </w:rPr>
        <w:t>Global data</w:t>
      </w:r>
      <w:r w:rsidR="00533CFB">
        <w:rPr>
          <w:i/>
        </w:rPr>
        <w:t>:</w:t>
      </w:r>
      <w:r>
        <w:t xml:space="preserve">  W</w:t>
      </w:r>
      <w:r w:rsidR="003F3880">
        <w:t>e s</w:t>
      </w:r>
      <w:r w:rsidR="00B150F9">
        <w:t xml:space="preserve">tart with data from </w:t>
      </w:r>
      <w:r w:rsidR="0049500D" w:rsidRPr="0049500D">
        <w:t xml:space="preserve">Atalla, </w:t>
      </w:r>
      <w:proofErr w:type="spellStart"/>
      <w:r w:rsidR="0049500D" w:rsidRPr="0049500D">
        <w:t>Gualdi</w:t>
      </w:r>
      <w:proofErr w:type="spellEnd"/>
      <w:r w:rsidR="0049500D" w:rsidRPr="0049500D">
        <w:t xml:space="preserve"> and Lanza</w:t>
      </w:r>
      <w:r w:rsidR="006A2825" w:rsidRPr="006A2825">
        <w:rPr>
          <w:noProof/>
          <w:vertAlign w:val="superscript"/>
        </w:rPr>
        <w:t>4</w:t>
      </w:r>
      <w:r>
        <w:t>, who</w:t>
      </w:r>
      <w:r w:rsidR="00853C9C">
        <w:t xml:space="preserve"> </w:t>
      </w:r>
      <w:r w:rsidR="00FD44EE">
        <w:t xml:space="preserve">provide heating </w:t>
      </w:r>
      <w:r w:rsidR="00D21D47">
        <w:t xml:space="preserve">and cooling </w:t>
      </w:r>
      <w:r w:rsidR="00FD44EE">
        <w:t xml:space="preserve">degree </w:t>
      </w:r>
      <w:r w:rsidR="00D21D47">
        <w:t>days (</w:t>
      </w:r>
      <w:r w:rsidR="003F3880">
        <w:t>HDD and CDD</w:t>
      </w:r>
      <w:r w:rsidR="00D21D47">
        <w:t>)</w:t>
      </w:r>
      <w:r w:rsidR="00B150F9">
        <w:t xml:space="preserve"> for</w:t>
      </w:r>
      <w:r>
        <w:t xml:space="preserve"> 147 countries. These are</w:t>
      </w:r>
      <w:r w:rsidR="00853C9C">
        <w:t xml:space="preserve"> calculated </w:t>
      </w:r>
      <w:r w:rsidR="00D2229C">
        <w:t xml:space="preserve">from </w:t>
      </w:r>
      <w:r>
        <w:t>global</w:t>
      </w:r>
      <w:r w:rsidR="004E07DC">
        <w:t xml:space="preserve"> climate</w:t>
      </w:r>
      <w:r w:rsidR="00D2229C">
        <w:t xml:space="preserve"> data</w:t>
      </w:r>
      <w:r>
        <w:t xml:space="preserve">, </w:t>
      </w:r>
      <w:r w:rsidR="00D2229C">
        <w:t xml:space="preserve">aggregated to national </w:t>
      </w:r>
      <w:r>
        <w:t>values by taking a population-weighted average of the gridded, spatial data across each country</w:t>
      </w:r>
      <w:r w:rsidR="00853C9C">
        <w:t xml:space="preserve">. </w:t>
      </w:r>
      <w:r>
        <w:t xml:space="preserve">They offer </w:t>
      </w:r>
      <w:r w:rsidR="0049500D">
        <w:t>data</w:t>
      </w:r>
      <w:r>
        <w:t xml:space="preserve"> for different temperature thresholds, and </w:t>
      </w:r>
      <w:r w:rsidR="003F3880">
        <w:t>we</w:t>
      </w:r>
      <w:r w:rsidR="00853C9C">
        <w:t xml:space="preserve"> use a reference temperature of 21.1°C</w:t>
      </w:r>
      <w:r>
        <w:t xml:space="preserve"> for CDD</w:t>
      </w:r>
      <w:r w:rsidR="003F3880">
        <w:t>, and</w:t>
      </w:r>
      <w:r w:rsidR="00853C9C">
        <w:t xml:space="preserve"> 15.6°C</w:t>
      </w:r>
      <w:r>
        <w:t xml:space="preserve"> for HDD</w:t>
      </w:r>
      <w:r w:rsidR="00853C9C">
        <w:t>.</w:t>
      </w:r>
      <w:r w:rsidR="003F3880">
        <w:t xml:space="preserve"> In both cases</w:t>
      </w:r>
      <w:r w:rsidR="006B4CF2">
        <w:t>,</w:t>
      </w:r>
      <w:r w:rsidR="003F3880">
        <w:t xml:space="preserve"> </w:t>
      </w:r>
      <w:r>
        <w:t xml:space="preserve">we take their </w:t>
      </w:r>
      <w:r w:rsidR="003F3880">
        <w:t>average 1964-2013 values as a starting point.</w:t>
      </w:r>
    </w:p>
    <w:p w14:paraId="5F1603E9" w14:textId="55F0640F" w:rsidR="004D37ED" w:rsidRDefault="00533CFB" w:rsidP="004D37ED">
      <w:r>
        <w:rPr>
          <w:i/>
        </w:rPr>
        <w:t>Future c</w:t>
      </w:r>
      <w:r w:rsidR="00EC7B4A">
        <w:rPr>
          <w:i/>
        </w:rPr>
        <w:t xml:space="preserve">limate </w:t>
      </w:r>
      <w:r>
        <w:rPr>
          <w:i/>
        </w:rPr>
        <w:t>changes:</w:t>
      </w:r>
      <w:r w:rsidR="00EC7B4A">
        <w:t xml:space="preserve">  We project these national values</w:t>
      </w:r>
      <w:r w:rsidR="003F3880">
        <w:t xml:space="preserve"> </w:t>
      </w:r>
      <w:r w:rsidR="00EC7B4A">
        <w:t xml:space="preserve">forward to 2050, </w:t>
      </w:r>
      <w:r w:rsidR="003F3880">
        <w:t>using a rough</w:t>
      </w:r>
      <w:r w:rsidR="00EC7B4A">
        <w:t xml:space="preserve"> estimation</w:t>
      </w:r>
      <w:r w:rsidR="003F3880">
        <w:t xml:space="preserve"> of the i</w:t>
      </w:r>
      <w:r w:rsidR="00EC7B4A">
        <w:t xml:space="preserve">mpacts of future climate change; </w:t>
      </w:r>
      <w:r w:rsidR="00EC7B4A" w:rsidRPr="00EC7B4A">
        <w:rPr>
          <w:i/>
        </w:rPr>
        <w:t>rough</w:t>
      </w:r>
      <w:r w:rsidR="00EC7B4A">
        <w:t xml:space="preserve">, as we only have </w:t>
      </w:r>
      <w:r>
        <w:t>projections for European counties from</w:t>
      </w:r>
      <w:r w:rsidR="00EC7B4A">
        <w:t xml:space="preserve"> </w:t>
      </w:r>
      <w:proofErr w:type="spellStart"/>
      <w:r w:rsidR="0049500D" w:rsidRPr="0049500D">
        <w:t>Spinoni</w:t>
      </w:r>
      <w:proofErr w:type="spellEnd"/>
      <w:r w:rsidR="0049500D" w:rsidRPr="0049500D">
        <w:t xml:space="preserve"> et al.</w:t>
      </w:r>
      <w:r w:rsidR="006A2825" w:rsidRPr="006A2825">
        <w:rPr>
          <w:noProof/>
          <w:vertAlign w:val="superscript"/>
        </w:rPr>
        <w:t>5</w:t>
      </w:r>
      <w:r>
        <w:t xml:space="preserve">. </w:t>
      </w:r>
      <w:r w:rsidR="0049500D">
        <w:rPr>
          <w:noProof/>
        </w:rPr>
        <w:t>Spinoni</w:t>
      </w:r>
      <w:r w:rsidR="0049500D" w:rsidRPr="00B20917">
        <w:rPr>
          <w:i/>
          <w:noProof/>
        </w:rPr>
        <w:t xml:space="preserve"> et al.</w:t>
      </w:r>
      <w:r w:rsidR="0049500D">
        <w:rPr>
          <w:i/>
          <w:noProof/>
        </w:rPr>
        <w:t xml:space="preserve"> </w:t>
      </w:r>
      <w:r w:rsidR="005B432E">
        <w:t xml:space="preserve">explore potential changes in HDD and CDD in </w:t>
      </w:r>
      <w:r w:rsidR="004D37ED">
        <w:t>Europe to 2100</w:t>
      </w:r>
      <w:r w:rsidR="0049500D">
        <w:t>,</w:t>
      </w:r>
      <w:r w:rsidR="004D37ED">
        <w:t xml:space="preserve"> for </w:t>
      </w:r>
      <w:r w:rsidR="004D37ED" w:rsidRPr="003F3880">
        <w:t>two emission representative</w:t>
      </w:r>
      <w:r w:rsidR="004D37ED">
        <w:t xml:space="preserve"> </w:t>
      </w:r>
      <w:r w:rsidR="004D37ED" w:rsidRPr="003F3880">
        <w:t>concentratio</w:t>
      </w:r>
      <w:r w:rsidR="004D37ED">
        <w:t>n pathways (RCP4.5 and RCP8.5). They find</w:t>
      </w:r>
      <w:r w:rsidR="004D37ED" w:rsidRPr="003F3880">
        <w:t xml:space="preserve"> significant decrease</w:t>
      </w:r>
      <w:r w:rsidR="004D37ED">
        <w:t>s</w:t>
      </w:r>
      <w:r w:rsidR="004D37ED" w:rsidRPr="003F3880">
        <w:t xml:space="preserve"> </w:t>
      </w:r>
      <w:r w:rsidR="004D37ED">
        <w:t>in</w:t>
      </w:r>
      <w:r w:rsidR="004D37ED" w:rsidRPr="003F3880">
        <w:t xml:space="preserve"> HDD, especially </w:t>
      </w:r>
      <w:r w:rsidR="004D37ED">
        <w:t>in northern and colder regions</w:t>
      </w:r>
      <w:r w:rsidR="004D37ED" w:rsidRPr="003F3880">
        <w:t>, and increase</w:t>
      </w:r>
      <w:r w:rsidR="004D37ED">
        <w:t>s</w:t>
      </w:r>
      <w:r w:rsidR="004D37ED" w:rsidRPr="003F3880">
        <w:t xml:space="preserve"> </w:t>
      </w:r>
      <w:r w:rsidR="004D37ED">
        <w:t>in</w:t>
      </w:r>
      <w:r w:rsidR="004D37ED" w:rsidRPr="003F3880">
        <w:t xml:space="preserve"> CDD </w:t>
      </w:r>
      <w:r w:rsidR="004D37ED">
        <w:t>that peak</w:t>
      </w:r>
      <w:r w:rsidR="004D37ED" w:rsidRPr="003F3880">
        <w:t xml:space="preserve"> over Mediterranean region</w:t>
      </w:r>
      <w:r w:rsidR="004D37ED">
        <w:t>s</w:t>
      </w:r>
      <w:r w:rsidR="004D37ED" w:rsidRPr="003F3880">
        <w:t xml:space="preserve">. </w:t>
      </w:r>
      <w:r w:rsidR="004D37ED">
        <w:t>But o</w:t>
      </w:r>
      <w:r w:rsidR="004D37ED" w:rsidRPr="003F3880">
        <w:t>verall</w:t>
      </w:r>
      <w:r w:rsidR="004D37ED">
        <w:t>, differences are found to be modest when</w:t>
      </w:r>
      <w:r w:rsidR="004D37ED" w:rsidRPr="003F3880">
        <w:t xml:space="preserve"> p</w:t>
      </w:r>
      <w:r w:rsidR="004D37ED">
        <w:t>opulation weighting is applied.</w:t>
      </w:r>
    </w:p>
    <w:p w14:paraId="22555B21" w14:textId="77777777" w:rsidR="00B4161C" w:rsidRPr="00533CFB" w:rsidRDefault="00B4161C" w:rsidP="00B4161C">
      <w:pPr>
        <w:pStyle w:val="NoSpacing"/>
        <w:spacing w:after="60"/>
      </w:pPr>
    </w:p>
    <w:tbl>
      <w:tblPr>
        <w:tblW w:w="9072" w:type="dxa"/>
        <w:tblLook w:val="04A0" w:firstRow="1" w:lastRow="0" w:firstColumn="1" w:lastColumn="0" w:noHBand="0" w:noVBand="1"/>
      </w:tblPr>
      <w:tblGrid>
        <w:gridCol w:w="2369"/>
        <w:gridCol w:w="1317"/>
        <w:gridCol w:w="1719"/>
        <w:gridCol w:w="407"/>
        <w:gridCol w:w="787"/>
        <w:gridCol w:w="772"/>
        <w:gridCol w:w="851"/>
        <w:gridCol w:w="850"/>
      </w:tblGrid>
      <w:tr w:rsidR="00FE7323" w:rsidRPr="00B5774B" w14:paraId="2B69FF71" w14:textId="77777777" w:rsidTr="00124E55">
        <w:trPr>
          <w:trHeight w:val="255"/>
        </w:trPr>
        <w:tc>
          <w:tcPr>
            <w:tcW w:w="2369" w:type="dxa"/>
            <w:vMerge w:val="restart"/>
            <w:tcBorders>
              <w:top w:val="nil"/>
              <w:left w:val="nil"/>
              <w:right w:val="nil"/>
            </w:tcBorders>
            <w:shd w:val="clear" w:color="auto" w:fill="auto"/>
          </w:tcPr>
          <w:p w14:paraId="41B7C6DC" w14:textId="3F273D96" w:rsidR="00FE7323" w:rsidRPr="00EE07DD" w:rsidRDefault="00471003" w:rsidP="00FA6F92">
            <w:pPr>
              <w:ind w:left="181" w:hanging="181"/>
              <w:rPr>
                <w:i/>
                <w:iCs/>
              </w:rPr>
            </w:pPr>
            <w:r>
              <w:rPr>
                <w:b/>
                <w:bCs/>
                <w:iCs/>
              </w:rPr>
              <w:t>Table S3</w:t>
            </w:r>
            <w:r w:rsidR="00FE7323" w:rsidRPr="00F8499F">
              <w:rPr>
                <w:b/>
                <w:bCs/>
                <w:iCs/>
              </w:rPr>
              <w:t>:</w:t>
            </w:r>
            <w:r w:rsidR="00FE7323" w:rsidRPr="00EE07DD">
              <w:rPr>
                <w:i/>
                <w:iCs/>
              </w:rPr>
              <w:t xml:space="preserve"> </w:t>
            </w:r>
            <w:r w:rsidR="00FE7323">
              <w:rPr>
                <w:i/>
                <w:iCs/>
              </w:rPr>
              <w:t xml:space="preserve"> </w:t>
            </w:r>
            <w:r w:rsidR="00FE7323" w:rsidRPr="00EE07DD">
              <w:rPr>
                <w:i/>
                <w:iCs/>
              </w:rPr>
              <w:t xml:space="preserve">Matching of European regions in </w:t>
            </w:r>
            <w:proofErr w:type="spellStart"/>
            <w:r w:rsidR="00FE7323" w:rsidRPr="00EE07DD">
              <w:rPr>
                <w:i/>
                <w:iCs/>
              </w:rPr>
              <w:t>Spinoni</w:t>
            </w:r>
            <w:proofErr w:type="spellEnd"/>
            <w:r w:rsidR="00FE7323" w:rsidRPr="00EE07DD">
              <w:rPr>
                <w:i/>
                <w:iCs/>
              </w:rPr>
              <w:t xml:space="preserve"> et al. (2018) to four climate zones</w:t>
            </w:r>
          </w:p>
          <w:p w14:paraId="51049B12" w14:textId="77777777" w:rsidR="00FE7323" w:rsidRPr="0097388E" w:rsidRDefault="00FE7323" w:rsidP="00B5774B">
            <w:pPr>
              <w:spacing w:after="0" w:line="240" w:lineRule="auto"/>
              <w:jc w:val="center"/>
              <w:rPr>
                <w:rFonts w:ascii="Arial" w:eastAsia="Times New Roman" w:hAnsi="Arial" w:cs="Arial"/>
                <w:b/>
                <w:bCs/>
                <w:color w:val="FFFFFF" w:themeColor="background1"/>
                <w:sz w:val="20"/>
                <w:szCs w:val="20"/>
              </w:rPr>
            </w:pPr>
          </w:p>
        </w:tc>
        <w:tc>
          <w:tcPr>
            <w:tcW w:w="1317" w:type="dxa"/>
            <w:vMerge w:val="restart"/>
            <w:tcBorders>
              <w:top w:val="nil"/>
              <w:left w:val="nil"/>
              <w:bottom w:val="nil"/>
              <w:right w:val="nil"/>
            </w:tcBorders>
            <w:shd w:val="clear" w:color="auto" w:fill="262626" w:themeFill="text1" w:themeFillTint="D9"/>
            <w:vAlign w:val="center"/>
            <w:hideMark/>
          </w:tcPr>
          <w:p w14:paraId="5E7E714D" w14:textId="77777777" w:rsidR="00580C87" w:rsidRDefault="00FE7323" w:rsidP="00580C87">
            <w:pPr>
              <w:spacing w:after="0" w:line="240" w:lineRule="auto"/>
              <w:rPr>
                <w:rFonts w:ascii="Arial" w:eastAsia="Times New Roman" w:hAnsi="Arial" w:cs="Arial"/>
                <w:b/>
                <w:bCs/>
                <w:color w:val="FFFFFF" w:themeColor="background1"/>
                <w:sz w:val="20"/>
                <w:szCs w:val="20"/>
              </w:rPr>
            </w:pPr>
            <w:r w:rsidRPr="0097388E">
              <w:rPr>
                <w:rFonts w:ascii="Arial" w:eastAsia="Times New Roman" w:hAnsi="Arial" w:cs="Arial"/>
                <w:b/>
                <w:bCs/>
                <w:color w:val="FFFFFF" w:themeColor="background1"/>
                <w:sz w:val="20"/>
                <w:szCs w:val="20"/>
              </w:rPr>
              <w:t xml:space="preserve">Climate </w:t>
            </w:r>
          </w:p>
          <w:p w14:paraId="3DA71998" w14:textId="27E885DF" w:rsidR="00FE7323" w:rsidRPr="00B5774B" w:rsidRDefault="00580C87" w:rsidP="00580C87">
            <w:pPr>
              <w:spacing w:after="0" w:line="240" w:lineRule="auto"/>
              <w:rPr>
                <w:rFonts w:ascii="Arial" w:eastAsia="Times New Roman" w:hAnsi="Arial" w:cs="Arial"/>
                <w:b/>
                <w:bCs/>
                <w:color w:val="000000"/>
                <w:sz w:val="20"/>
                <w:szCs w:val="20"/>
              </w:rPr>
            </w:pPr>
            <w:r>
              <w:rPr>
                <w:rFonts w:ascii="Arial" w:eastAsia="Times New Roman" w:hAnsi="Arial" w:cs="Arial"/>
                <w:b/>
                <w:bCs/>
                <w:color w:val="FFFFFF" w:themeColor="background1"/>
                <w:sz w:val="20"/>
                <w:szCs w:val="20"/>
              </w:rPr>
              <w:t xml:space="preserve">  </w:t>
            </w:r>
            <w:r w:rsidR="00FE7323" w:rsidRPr="0097388E">
              <w:rPr>
                <w:rFonts w:ascii="Arial" w:eastAsia="Times New Roman" w:hAnsi="Arial" w:cs="Arial"/>
                <w:b/>
                <w:bCs/>
                <w:color w:val="FFFFFF" w:themeColor="background1"/>
                <w:sz w:val="20"/>
                <w:szCs w:val="20"/>
              </w:rPr>
              <w:t>zones</w:t>
            </w:r>
          </w:p>
        </w:tc>
        <w:tc>
          <w:tcPr>
            <w:tcW w:w="2126" w:type="dxa"/>
            <w:gridSpan w:val="2"/>
            <w:vMerge w:val="restart"/>
            <w:tcBorders>
              <w:top w:val="nil"/>
              <w:left w:val="nil"/>
              <w:bottom w:val="nil"/>
              <w:right w:val="nil"/>
            </w:tcBorders>
            <w:shd w:val="clear" w:color="000000" w:fill="808080"/>
            <w:noWrap/>
            <w:vAlign w:val="center"/>
            <w:hideMark/>
          </w:tcPr>
          <w:p w14:paraId="28046B6B" w14:textId="77777777" w:rsidR="00580C87" w:rsidRDefault="00FE7323" w:rsidP="00580C87">
            <w:pPr>
              <w:spacing w:after="0" w:line="240" w:lineRule="auto"/>
              <w:rPr>
                <w:rFonts w:ascii="Arial" w:eastAsia="Times New Roman" w:hAnsi="Arial" w:cs="Arial"/>
                <w:b/>
                <w:bCs/>
                <w:color w:val="FFFFFF"/>
                <w:sz w:val="20"/>
                <w:szCs w:val="20"/>
              </w:rPr>
            </w:pPr>
            <w:r w:rsidRPr="00B5774B">
              <w:rPr>
                <w:rFonts w:ascii="Arial" w:eastAsia="Times New Roman" w:hAnsi="Arial" w:cs="Arial"/>
                <w:b/>
                <w:bCs/>
                <w:color w:val="FFFFFF"/>
                <w:sz w:val="20"/>
                <w:szCs w:val="20"/>
              </w:rPr>
              <w:t xml:space="preserve">European </w:t>
            </w:r>
          </w:p>
          <w:p w14:paraId="4E8DAF3D" w14:textId="3C7090ED" w:rsidR="00FE7323" w:rsidRPr="00B5774B" w:rsidRDefault="00580C87" w:rsidP="00580C87">
            <w:pPr>
              <w:spacing w:after="0" w:line="240" w:lineRule="auto"/>
              <w:rPr>
                <w:rFonts w:ascii="Arial" w:eastAsia="Times New Roman" w:hAnsi="Arial" w:cs="Arial"/>
                <w:b/>
                <w:bCs/>
                <w:color w:val="FFFFFF"/>
                <w:sz w:val="20"/>
                <w:szCs w:val="20"/>
              </w:rPr>
            </w:pPr>
            <w:r>
              <w:rPr>
                <w:rFonts w:ascii="Arial" w:eastAsia="Times New Roman" w:hAnsi="Arial" w:cs="Arial"/>
                <w:b/>
                <w:bCs/>
                <w:color w:val="FFFFFF"/>
                <w:sz w:val="20"/>
                <w:szCs w:val="20"/>
              </w:rPr>
              <w:t xml:space="preserve">  </w:t>
            </w:r>
            <w:r w:rsidR="00FE7323" w:rsidRPr="00B5774B">
              <w:rPr>
                <w:rFonts w:ascii="Arial" w:eastAsia="Times New Roman" w:hAnsi="Arial" w:cs="Arial"/>
                <w:b/>
                <w:bCs/>
                <w:color w:val="FFFFFF"/>
                <w:sz w:val="20"/>
                <w:szCs w:val="20"/>
              </w:rPr>
              <w:t>analogue</w:t>
            </w:r>
          </w:p>
        </w:tc>
        <w:tc>
          <w:tcPr>
            <w:tcW w:w="1559" w:type="dxa"/>
            <w:gridSpan w:val="2"/>
            <w:tcBorders>
              <w:top w:val="nil"/>
              <w:left w:val="nil"/>
              <w:bottom w:val="nil"/>
              <w:right w:val="nil"/>
            </w:tcBorders>
            <w:shd w:val="clear" w:color="000000" w:fill="595959"/>
            <w:noWrap/>
            <w:vAlign w:val="center"/>
            <w:hideMark/>
          </w:tcPr>
          <w:p w14:paraId="2C889AE4" w14:textId="77777777" w:rsidR="00FE7323" w:rsidRPr="00B5774B" w:rsidRDefault="00FE7323" w:rsidP="00B5774B">
            <w:pPr>
              <w:spacing w:after="0" w:line="240" w:lineRule="auto"/>
              <w:jc w:val="center"/>
              <w:rPr>
                <w:rFonts w:ascii="Arial" w:eastAsia="Times New Roman" w:hAnsi="Arial" w:cs="Arial"/>
                <w:b/>
                <w:bCs/>
                <w:color w:val="FFFFFF"/>
                <w:sz w:val="20"/>
                <w:szCs w:val="20"/>
              </w:rPr>
            </w:pPr>
            <w:r w:rsidRPr="00B5774B">
              <w:rPr>
                <w:rFonts w:ascii="Arial" w:eastAsia="Times New Roman" w:hAnsi="Arial" w:cs="Arial"/>
                <w:b/>
                <w:bCs/>
                <w:color w:val="FFFFFF"/>
                <w:sz w:val="20"/>
                <w:szCs w:val="20"/>
              </w:rPr>
              <w:t>RCP4.5</w:t>
            </w:r>
          </w:p>
        </w:tc>
        <w:tc>
          <w:tcPr>
            <w:tcW w:w="1701" w:type="dxa"/>
            <w:gridSpan w:val="2"/>
            <w:tcBorders>
              <w:top w:val="nil"/>
              <w:left w:val="nil"/>
              <w:bottom w:val="nil"/>
              <w:right w:val="nil"/>
            </w:tcBorders>
            <w:shd w:val="clear" w:color="000000" w:fill="808080"/>
            <w:noWrap/>
            <w:vAlign w:val="center"/>
            <w:hideMark/>
          </w:tcPr>
          <w:p w14:paraId="0FAAED9B" w14:textId="77777777" w:rsidR="00FE7323" w:rsidRPr="00B5774B" w:rsidRDefault="00FE7323" w:rsidP="00B5774B">
            <w:pPr>
              <w:spacing w:after="0" w:line="240" w:lineRule="auto"/>
              <w:jc w:val="center"/>
              <w:rPr>
                <w:rFonts w:ascii="Arial" w:eastAsia="Times New Roman" w:hAnsi="Arial" w:cs="Arial"/>
                <w:b/>
                <w:bCs/>
                <w:color w:val="FFFFFF"/>
                <w:sz w:val="20"/>
                <w:szCs w:val="20"/>
              </w:rPr>
            </w:pPr>
            <w:r w:rsidRPr="00B5774B">
              <w:rPr>
                <w:rFonts w:ascii="Arial" w:eastAsia="Times New Roman" w:hAnsi="Arial" w:cs="Arial"/>
                <w:b/>
                <w:bCs/>
                <w:color w:val="FFFFFF"/>
                <w:sz w:val="20"/>
                <w:szCs w:val="20"/>
              </w:rPr>
              <w:t>RCP8.5</w:t>
            </w:r>
          </w:p>
        </w:tc>
      </w:tr>
      <w:tr w:rsidR="00FE7323" w:rsidRPr="00B5774B" w14:paraId="01D330D7" w14:textId="77777777" w:rsidTr="00124E55">
        <w:trPr>
          <w:trHeight w:val="255"/>
        </w:trPr>
        <w:tc>
          <w:tcPr>
            <w:tcW w:w="2369" w:type="dxa"/>
            <w:vMerge/>
            <w:tcBorders>
              <w:left w:val="nil"/>
              <w:right w:val="nil"/>
            </w:tcBorders>
            <w:shd w:val="clear" w:color="auto" w:fill="auto"/>
          </w:tcPr>
          <w:p w14:paraId="66598CA0" w14:textId="77777777" w:rsidR="00FE7323" w:rsidRPr="00B5774B" w:rsidRDefault="00FE7323" w:rsidP="00B5774B">
            <w:pPr>
              <w:spacing w:after="0" w:line="240" w:lineRule="auto"/>
              <w:rPr>
                <w:rFonts w:ascii="Arial" w:eastAsia="Times New Roman" w:hAnsi="Arial" w:cs="Arial"/>
                <w:b/>
                <w:bCs/>
                <w:color w:val="000000"/>
                <w:sz w:val="20"/>
                <w:szCs w:val="20"/>
              </w:rPr>
            </w:pPr>
          </w:p>
        </w:tc>
        <w:tc>
          <w:tcPr>
            <w:tcW w:w="1317" w:type="dxa"/>
            <w:vMerge/>
            <w:tcBorders>
              <w:top w:val="nil"/>
              <w:left w:val="nil"/>
              <w:bottom w:val="nil"/>
              <w:right w:val="nil"/>
            </w:tcBorders>
            <w:shd w:val="clear" w:color="auto" w:fill="262626" w:themeFill="text1" w:themeFillTint="D9"/>
            <w:vAlign w:val="center"/>
            <w:hideMark/>
          </w:tcPr>
          <w:p w14:paraId="1C796B5E" w14:textId="38BDD9CE" w:rsidR="00FE7323" w:rsidRPr="00B5774B" w:rsidRDefault="00FE7323" w:rsidP="00B5774B">
            <w:pPr>
              <w:spacing w:after="0" w:line="240" w:lineRule="auto"/>
              <w:rPr>
                <w:rFonts w:ascii="Arial" w:eastAsia="Times New Roman" w:hAnsi="Arial" w:cs="Arial"/>
                <w:b/>
                <w:bCs/>
                <w:color w:val="000000"/>
                <w:sz w:val="20"/>
                <w:szCs w:val="20"/>
              </w:rPr>
            </w:pPr>
          </w:p>
        </w:tc>
        <w:tc>
          <w:tcPr>
            <w:tcW w:w="2126" w:type="dxa"/>
            <w:gridSpan w:val="2"/>
            <w:vMerge/>
            <w:tcBorders>
              <w:top w:val="nil"/>
              <w:left w:val="nil"/>
              <w:bottom w:val="nil"/>
              <w:right w:val="nil"/>
            </w:tcBorders>
            <w:vAlign w:val="center"/>
            <w:hideMark/>
          </w:tcPr>
          <w:p w14:paraId="7918BC67" w14:textId="77777777" w:rsidR="00FE7323" w:rsidRPr="00B5774B" w:rsidRDefault="00FE7323" w:rsidP="00B5774B">
            <w:pPr>
              <w:spacing w:after="0" w:line="240" w:lineRule="auto"/>
              <w:rPr>
                <w:rFonts w:ascii="Arial" w:eastAsia="Times New Roman" w:hAnsi="Arial" w:cs="Arial"/>
                <w:b/>
                <w:bCs/>
                <w:color w:val="FFFFFF"/>
                <w:sz w:val="20"/>
                <w:szCs w:val="20"/>
              </w:rPr>
            </w:pPr>
          </w:p>
        </w:tc>
        <w:tc>
          <w:tcPr>
            <w:tcW w:w="787" w:type="dxa"/>
            <w:tcBorders>
              <w:top w:val="nil"/>
              <w:left w:val="nil"/>
              <w:bottom w:val="nil"/>
              <w:right w:val="nil"/>
            </w:tcBorders>
            <w:shd w:val="clear" w:color="000000" w:fill="595959"/>
            <w:noWrap/>
            <w:vAlign w:val="center"/>
            <w:hideMark/>
          </w:tcPr>
          <w:p w14:paraId="4500B1A8" w14:textId="77777777" w:rsidR="00FE7323" w:rsidRPr="00B5774B" w:rsidRDefault="00FE7323" w:rsidP="00B5774B">
            <w:pPr>
              <w:spacing w:after="0" w:line="240" w:lineRule="auto"/>
              <w:jc w:val="center"/>
              <w:rPr>
                <w:rFonts w:ascii="Arial" w:eastAsia="Times New Roman" w:hAnsi="Arial" w:cs="Arial"/>
                <w:b/>
                <w:bCs/>
                <w:color w:val="FFFFFF"/>
                <w:sz w:val="20"/>
                <w:szCs w:val="20"/>
              </w:rPr>
            </w:pPr>
            <w:r w:rsidRPr="00B5774B">
              <w:rPr>
                <w:rFonts w:ascii="Arial" w:eastAsia="Times New Roman" w:hAnsi="Arial" w:cs="Arial"/>
                <w:b/>
                <w:bCs/>
                <w:color w:val="FFFFFF"/>
                <w:sz w:val="20"/>
                <w:szCs w:val="20"/>
              </w:rPr>
              <w:t>∆HDD</w:t>
            </w:r>
          </w:p>
        </w:tc>
        <w:tc>
          <w:tcPr>
            <w:tcW w:w="772" w:type="dxa"/>
            <w:tcBorders>
              <w:top w:val="nil"/>
              <w:left w:val="single" w:sz="4" w:space="0" w:color="A6A6A6"/>
              <w:bottom w:val="nil"/>
              <w:right w:val="nil"/>
            </w:tcBorders>
            <w:shd w:val="clear" w:color="000000" w:fill="595959"/>
            <w:noWrap/>
            <w:vAlign w:val="bottom"/>
            <w:hideMark/>
          </w:tcPr>
          <w:p w14:paraId="46AC45C9" w14:textId="77777777" w:rsidR="00FE7323" w:rsidRPr="00B5774B" w:rsidRDefault="00FE7323" w:rsidP="00B5774B">
            <w:pPr>
              <w:spacing w:after="0" w:line="240" w:lineRule="auto"/>
              <w:rPr>
                <w:rFonts w:ascii="Arial" w:eastAsia="Times New Roman" w:hAnsi="Arial" w:cs="Arial"/>
                <w:b/>
                <w:bCs/>
                <w:color w:val="FFFFFF"/>
                <w:sz w:val="20"/>
                <w:szCs w:val="20"/>
              </w:rPr>
            </w:pPr>
            <w:r w:rsidRPr="00B5774B">
              <w:rPr>
                <w:rFonts w:ascii="Arial" w:eastAsia="Times New Roman" w:hAnsi="Arial" w:cs="Arial"/>
                <w:b/>
                <w:bCs/>
                <w:color w:val="FFFFFF"/>
                <w:sz w:val="20"/>
                <w:szCs w:val="20"/>
              </w:rPr>
              <w:t>∆CDD</w:t>
            </w:r>
          </w:p>
        </w:tc>
        <w:tc>
          <w:tcPr>
            <w:tcW w:w="851" w:type="dxa"/>
            <w:tcBorders>
              <w:top w:val="nil"/>
              <w:left w:val="nil"/>
              <w:bottom w:val="nil"/>
              <w:right w:val="nil"/>
            </w:tcBorders>
            <w:shd w:val="clear" w:color="000000" w:fill="808080"/>
            <w:noWrap/>
            <w:vAlign w:val="center"/>
            <w:hideMark/>
          </w:tcPr>
          <w:p w14:paraId="59FDFBFF" w14:textId="77777777" w:rsidR="00FE7323" w:rsidRPr="00B5774B" w:rsidRDefault="00FE7323" w:rsidP="00B5774B">
            <w:pPr>
              <w:spacing w:after="0" w:line="240" w:lineRule="auto"/>
              <w:jc w:val="center"/>
              <w:rPr>
                <w:rFonts w:ascii="Arial" w:eastAsia="Times New Roman" w:hAnsi="Arial" w:cs="Arial"/>
                <w:b/>
                <w:bCs/>
                <w:color w:val="FFFFFF"/>
                <w:sz w:val="20"/>
                <w:szCs w:val="20"/>
              </w:rPr>
            </w:pPr>
            <w:r w:rsidRPr="00B5774B">
              <w:rPr>
                <w:rFonts w:ascii="Arial" w:eastAsia="Times New Roman" w:hAnsi="Arial" w:cs="Arial"/>
                <w:b/>
                <w:bCs/>
                <w:color w:val="FFFFFF"/>
                <w:sz w:val="20"/>
                <w:szCs w:val="20"/>
              </w:rPr>
              <w:t>∆HDD</w:t>
            </w:r>
          </w:p>
        </w:tc>
        <w:tc>
          <w:tcPr>
            <w:tcW w:w="850" w:type="dxa"/>
            <w:tcBorders>
              <w:top w:val="nil"/>
              <w:left w:val="single" w:sz="4" w:space="0" w:color="A6A6A6"/>
              <w:bottom w:val="nil"/>
              <w:right w:val="nil"/>
            </w:tcBorders>
            <w:shd w:val="clear" w:color="000000" w:fill="808080"/>
            <w:noWrap/>
            <w:vAlign w:val="bottom"/>
            <w:hideMark/>
          </w:tcPr>
          <w:p w14:paraId="7FB94684" w14:textId="77777777" w:rsidR="00FE7323" w:rsidRPr="00B5774B" w:rsidRDefault="00FE7323" w:rsidP="00B5774B">
            <w:pPr>
              <w:spacing w:after="0" w:line="240" w:lineRule="auto"/>
              <w:rPr>
                <w:rFonts w:ascii="Arial" w:eastAsia="Times New Roman" w:hAnsi="Arial" w:cs="Arial"/>
                <w:b/>
                <w:bCs/>
                <w:color w:val="FFFFFF"/>
                <w:sz w:val="20"/>
                <w:szCs w:val="20"/>
              </w:rPr>
            </w:pPr>
            <w:r w:rsidRPr="00B5774B">
              <w:rPr>
                <w:rFonts w:ascii="Arial" w:eastAsia="Times New Roman" w:hAnsi="Arial" w:cs="Arial"/>
                <w:b/>
                <w:bCs/>
                <w:color w:val="FFFFFF"/>
                <w:sz w:val="20"/>
                <w:szCs w:val="20"/>
              </w:rPr>
              <w:t>∆CDD</w:t>
            </w:r>
          </w:p>
        </w:tc>
      </w:tr>
      <w:tr w:rsidR="00FE7323" w:rsidRPr="00B5774B" w14:paraId="39C9B152" w14:textId="77777777" w:rsidTr="00124E55">
        <w:trPr>
          <w:trHeight w:val="255"/>
        </w:trPr>
        <w:tc>
          <w:tcPr>
            <w:tcW w:w="2369" w:type="dxa"/>
            <w:vMerge/>
            <w:tcBorders>
              <w:left w:val="nil"/>
              <w:right w:val="nil"/>
            </w:tcBorders>
            <w:shd w:val="clear" w:color="auto" w:fill="auto"/>
          </w:tcPr>
          <w:p w14:paraId="5CF6B83C" w14:textId="77777777" w:rsidR="00FE7323" w:rsidRPr="00B5774B" w:rsidRDefault="00FE7323" w:rsidP="00B5774B">
            <w:pPr>
              <w:spacing w:after="0" w:line="240" w:lineRule="auto"/>
              <w:jc w:val="center"/>
              <w:rPr>
                <w:rFonts w:ascii="Arial" w:eastAsia="Times New Roman" w:hAnsi="Arial" w:cs="Arial"/>
                <w:b/>
                <w:bCs/>
                <w:color w:val="000000"/>
                <w:sz w:val="20"/>
                <w:szCs w:val="20"/>
              </w:rPr>
            </w:pPr>
          </w:p>
        </w:tc>
        <w:tc>
          <w:tcPr>
            <w:tcW w:w="1317" w:type="dxa"/>
            <w:vMerge w:val="restart"/>
            <w:tcBorders>
              <w:top w:val="nil"/>
              <w:left w:val="nil"/>
              <w:bottom w:val="nil"/>
              <w:right w:val="nil"/>
            </w:tcBorders>
            <w:shd w:val="clear" w:color="000000" w:fill="A6A6A6"/>
            <w:noWrap/>
            <w:vAlign w:val="center"/>
            <w:hideMark/>
          </w:tcPr>
          <w:p w14:paraId="1E055763" w14:textId="1474B955" w:rsidR="00FE7323" w:rsidRPr="00B5774B" w:rsidRDefault="00FE7323" w:rsidP="00B5774B">
            <w:pPr>
              <w:spacing w:after="0" w:line="240" w:lineRule="auto"/>
              <w:jc w:val="center"/>
              <w:rPr>
                <w:rFonts w:ascii="Arial" w:eastAsia="Times New Roman" w:hAnsi="Arial" w:cs="Arial"/>
                <w:b/>
                <w:bCs/>
                <w:color w:val="000000"/>
                <w:sz w:val="20"/>
                <w:szCs w:val="20"/>
              </w:rPr>
            </w:pPr>
            <w:r w:rsidRPr="00B5774B">
              <w:rPr>
                <w:rFonts w:ascii="Arial" w:eastAsia="Times New Roman" w:hAnsi="Arial" w:cs="Arial"/>
                <w:b/>
                <w:bCs/>
                <w:color w:val="000000"/>
                <w:sz w:val="20"/>
                <w:szCs w:val="20"/>
              </w:rPr>
              <w:t>Tropical</w:t>
            </w:r>
          </w:p>
        </w:tc>
        <w:tc>
          <w:tcPr>
            <w:tcW w:w="2126" w:type="dxa"/>
            <w:gridSpan w:val="2"/>
            <w:tcBorders>
              <w:top w:val="nil"/>
              <w:left w:val="nil"/>
              <w:bottom w:val="nil"/>
              <w:right w:val="nil"/>
            </w:tcBorders>
            <w:shd w:val="clear" w:color="000000" w:fill="D9D9D9"/>
            <w:noWrap/>
            <w:vAlign w:val="bottom"/>
            <w:hideMark/>
          </w:tcPr>
          <w:p w14:paraId="4DF63C0B" w14:textId="77777777" w:rsidR="00FE7323" w:rsidRPr="00B5774B" w:rsidRDefault="00FE7323" w:rsidP="00B5774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South Spain; Turkey</w:t>
            </w:r>
          </w:p>
        </w:tc>
        <w:tc>
          <w:tcPr>
            <w:tcW w:w="787" w:type="dxa"/>
            <w:tcBorders>
              <w:top w:val="nil"/>
              <w:left w:val="nil"/>
              <w:bottom w:val="nil"/>
              <w:right w:val="nil"/>
            </w:tcBorders>
            <w:shd w:val="clear" w:color="000000" w:fill="BFBFBF"/>
            <w:noWrap/>
            <w:vAlign w:val="bottom"/>
            <w:hideMark/>
          </w:tcPr>
          <w:p w14:paraId="7A6A62FC"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-2</w:t>
            </w:r>
          </w:p>
        </w:tc>
        <w:tc>
          <w:tcPr>
            <w:tcW w:w="772" w:type="dxa"/>
            <w:tcBorders>
              <w:top w:val="nil"/>
              <w:left w:val="single" w:sz="4" w:space="0" w:color="A6A6A6"/>
              <w:bottom w:val="nil"/>
              <w:right w:val="nil"/>
            </w:tcBorders>
            <w:shd w:val="clear" w:color="000000" w:fill="BFBFBF"/>
            <w:noWrap/>
            <w:vAlign w:val="bottom"/>
            <w:hideMark/>
          </w:tcPr>
          <w:p w14:paraId="5E645A73"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5</w:t>
            </w:r>
          </w:p>
        </w:tc>
        <w:tc>
          <w:tcPr>
            <w:tcW w:w="851" w:type="dxa"/>
            <w:tcBorders>
              <w:top w:val="nil"/>
              <w:left w:val="nil"/>
              <w:bottom w:val="nil"/>
              <w:right w:val="nil"/>
            </w:tcBorders>
            <w:shd w:val="clear" w:color="000000" w:fill="D9D9D9"/>
            <w:noWrap/>
            <w:vAlign w:val="bottom"/>
            <w:hideMark/>
          </w:tcPr>
          <w:p w14:paraId="4AEEE630"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-5</w:t>
            </w:r>
          </w:p>
        </w:tc>
        <w:tc>
          <w:tcPr>
            <w:tcW w:w="850" w:type="dxa"/>
            <w:tcBorders>
              <w:top w:val="nil"/>
              <w:left w:val="single" w:sz="4" w:space="0" w:color="A6A6A6"/>
              <w:bottom w:val="nil"/>
              <w:right w:val="nil"/>
            </w:tcBorders>
            <w:shd w:val="clear" w:color="000000" w:fill="D9D9D9"/>
            <w:noWrap/>
            <w:vAlign w:val="bottom"/>
            <w:hideMark/>
          </w:tcPr>
          <w:p w14:paraId="4A01954E"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10</w:t>
            </w:r>
          </w:p>
        </w:tc>
      </w:tr>
      <w:tr w:rsidR="00FE7323" w:rsidRPr="00B5774B" w14:paraId="263DED24" w14:textId="77777777" w:rsidTr="00124E55">
        <w:trPr>
          <w:trHeight w:val="315"/>
        </w:trPr>
        <w:tc>
          <w:tcPr>
            <w:tcW w:w="2369" w:type="dxa"/>
            <w:vMerge/>
            <w:tcBorders>
              <w:left w:val="nil"/>
              <w:right w:val="nil"/>
            </w:tcBorders>
            <w:shd w:val="clear" w:color="auto" w:fill="auto"/>
          </w:tcPr>
          <w:p w14:paraId="1EC5CCC6" w14:textId="77777777" w:rsidR="00FE7323" w:rsidRPr="00B5774B" w:rsidRDefault="00FE7323" w:rsidP="00B5774B">
            <w:pPr>
              <w:spacing w:after="0" w:line="240" w:lineRule="auto"/>
              <w:rPr>
                <w:rFonts w:ascii="Arial" w:eastAsia="Times New Roman" w:hAnsi="Arial" w:cs="Arial"/>
                <w:b/>
                <w:bCs/>
                <w:color w:val="000000"/>
                <w:sz w:val="20"/>
                <w:szCs w:val="20"/>
              </w:rPr>
            </w:pPr>
          </w:p>
        </w:tc>
        <w:tc>
          <w:tcPr>
            <w:tcW w:w="1317" w:type="dxa"/>
            <w:vMerge/>
            <w:tcBorders>
              <w:top w:val="nil"/>
              <w:left w:val="nil"/>
              <w:bottom w:val="nil"/>
              <w:right w:val="nil"/>
            </w:tcBorders>
            <w:vAlign w:val="center"/>
            <w:hideMark/>
          </w:tcPr>
          <w:p w14:paraId="09A4646B" w14:textId="0006C525" w:rsidR="00FE7323" w:rsidRPr="00B5774B" w:rsidRDefault="00FE7323" w:rsidP="00B5774B">
            <w:pPr>
              <w:spacing w:after="0" w:line="240" w:lineRule="auto"/>
              <w:rPr>
                <w:rFonts w:ascii="Arial" w:eastAsia="Times New Roman" w:hAnsi="Arial" w:cs="Arial"/>
                <w:b/>
                <w:bCs/>
                <w:color w:val="000000"/>
                <w:sz w:val="20"/>
                <w:szCs w:val="20"/>
              </w:rPr>
            </w:pPr>
          </w:p>
        </w:tc>
        <w:tc>
          <w:tcPr>
            <w:tcW w:w="1719" w:type="dxa"/>
            <w:tcBorders>
              <w:top w:val="nil"/>
              <w:left w:val="nil"/>
              <w:bottom w:val="nil"/>
              <w:right w:val="nil"/>
            </w:tcBorders>
            <w:shd w:val="clear" w:color="000000" w:fill="D9D9D9"/>
            <w:noWrap/>
            <w:vAlign w:val="bottom"/>
            <w:hideMark/>
          </w:tcPr>
          <w:p w14:paraId="02AD173F" w14:textId="77777777" w:rsidR="00FE7323" w:rsidRPr="00B5774B" w:rsidRDefault="00FE7323" w:rsidP="00B5774B">
            <w:pPr>
              <w:spacing w:after="0" w:line="240" w:lineRule="auto"/>
              <w:ind w:firstLineChars="100" w:firstLine="180"/>
              <w:rPr>
                <w:rFonts w:ascii="Arial" w:eastAsia="Times New Roman" w:hAnsi="Arial" w:cs="Arial"/>
                <w:i/>
                <w:iCs/>
                <w:color w:val="000000"/>
                <w:sz w:val="18"/>
                <w:szCs w:val="18"/>
              </w:rPr>
            </w:pPr>
            <w:r w:rsidRPr="00B5774B">
              <w:rPr>
                <w:rFonts w:ascii="Arial" w:eastAsia="Times New Roman" w:hAnsi="Arial" w:cs="Arial"/>
                <w:i/>
                <w:iCs/>
                <w:color w:val="000000"/>
                <w:sz w:val="18"/>
                <w:szCs w:val="18"/>
              </w:rPr>
              <w:t>Average</w:t>
            </w:r>
          </w:p>
        </w:tc>
        <w:tc>
          <w:tcPr>
            <w:tcW w:w="407" w:type="dxa"/>
            <w:tcBorders>
              <w:top w:val="nil"/>
              <w:left w:val="nil"/>
              <w:bottom w:val="nil"/>
              <w:right w:val="nil"/>
            </w:tcBorders>
            <w:shd w:val="clear" w:color="000000" w:fill="D9D9D9"/>
            <w:noWrap/>
            <w:vAlign w:val="bottom"/>
            <w:hideMark/>
          </w:tcPr>
          <w:p w14:paraId="45616C1B" w14:textId="77777777" w:rsidR="00FE7323" w:rsidRPr="00B5774B" w:rsidRDefault="00FE7323" w:rsidP="00B5774B">
            <w:pPr>
              <w:spacing w:after="0" w:line="240" w:lineRule="auto"/>
              <w:rPr>
                <w:rFonts w:ascii="Arial" w:eastAsia="Times New Roman" w:hAnsi="Arial" w:cs="Arial"/>
                <w:i/>
                <w:iCs/>
                <w:color w:val="000000"/>
                <w:sz w:val="18"/>
                <w:szCs w:val="18"/>
              </w:rPr>
            </w:pPr>
            <w:r w:rsidRPr="00B5774B">
              <w:rPr>
                <w:rFonts w:ascii="Arial" w:eastAsia="Times New Roman" w:hAnsi="Arial" w:cs="Arial"/>
                <w:i/>
                <w:iCs/>
                <w:color w:val="000000"/>
                <w:sz w:val="18"/>
                <w:szCs w:val="18"/>
              </w:rPr>
              <w:t> </w:t>
            </w:r>
          </w:p>
        </w:tc>
        <w:tc>
          <w:tcPr>
            <w:tcW w:w="787" w:type="dxa"/>
            <w:tcBorders>
              <w:top w:val="nil"/>
              <w:left w:val="nil"/>
              <w:bottom w:val="nil"/>
              <w:right w:val="nil"/>
            </w:tcBorders>
            <w:shd w:val="clear" w:color="000000" w:fill="BFBFBF"/>
            <w:noWrap/>
            <w:vAlign w:val="bottom"/>
            <w:hideMark/>
          </w:tcPr>
          <w:p w14:paraId="457D25B2"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-2</w:t>
            </w:r>
          </w:p>
        </w:tc>
        <w:tc>
          <w:tcPr>
            <w:tcW w:w="772" w:type="dxa"/>
            <w:tcBorders>
              <w:top w:val="nil"/>
              <w:left w:val="single" w:sz="4" w:space="0" w:color="A6A6A6"/>
              <w:bottom w:val="nil"/>
              <w:right w:val="nil"/>
            </w:tcBorders>
            <w:shd w:val="clear" w:color="000000" w:fill="BFBFBF"/>
            <w:noWrap/>
            <w:vAlign w:val="bottom"/>
            <w:hideMark/>
          </w:tcPr>
          <w:p w14:paraId="6D1BFEFE"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5</w:t>
            </w:r>
          </w:p>
        </w:tc>
        <w:tc>
          <w:tcPr>
            <w:tcW w:w="851" w:type="dxa"/>
            <w:tcBorders>
              <w:top w:val="nil"/>
              <w:left w:val="nil"/>
              <w:bottom w:val="nil"/>
              <w:right w:val="nil"/>
            </w:tcBorders>
            <w:shd w:val="clear" w:color="000000" w:fill="D9D9D9"/>
            <w:noWrap/>
            <w:vAlign w:val="bottom"/>
            <w:hideMark/>
          </w:tcPr>
          <w:p w14:paraId="6612549A"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-5</w:t>
            </w:r>
          </w:p>
        </w:tc>
        <w:tc>
          <w:tcPr>
            <w:tcW w:w="850" w:type="dxa"/>
            <w:tcBorders>
              <w:top w:val="nil"/>
              <w:left w:val="single" w:sz="4" w:space="0" w:color="A6A6A6"/>
              <w:bottom w:val="nil"/>
              <w:right w:val="nil"/>
            </w:tcBorders>
            <w:shd w:val="clear" w:color="000000" w:fill="D9D9D9"/>
            <w:noWrap/>
            <w:vAlign w:val="bottom"/>
            <w:hideMark/>
          </w:tcPr>
          <w:p w14:paraId="68447B5F"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10</w:t>
            </w:r>
          </w:p>
        </w:tc>
      </w:tr>
      <w:tr w:rsidR="00FE7323" w:rsidRPr="00B5774B" w14:paraId="556BD1F5" w14:textId="77777777" w:rsidTr="00124E55">
        <w:trPr>
          <w:trHeight w:val="255"/>
        </w:trPr>
        <w:tc>
          <w:tcPr>
            <w:tcW w:w="2369" w:type="dxa"/>
            <w:vMerge/>
            <w:tcBorders>
              <w:left w:val="nil"/>
              <w:right w:val="nil"/>
            </w:tcBorders>
            <w:shd w:val="clear" w:color="auto" w:fill="auto"/>
          </w:tcPr>
          <w:p w14:paraId="296CF99E" w14:textId="77777777" w:rsidR="00FE7323" w:rsidRPr="00B5774B" w:rsidRDefault="00FE7323" w:rsidP="00B5774B">
            <w:pPr>
              <w:spacing w:after="0" w:line="240" w:lineRule="auto"/>
              <w:jc w:val="center"/>
              <w:rPr>
                <w:rFonts w:ascii="Arial" w:eastAsia="Times New Roman" w:hAnsi="Arial" w:cs="Arial"/>
                <w:b/>
                <w:bCs/>
                <w:color w:val="000000"/>
                <w:sz w:val="20"/>
                <w:szCs w:val="20"/>
              </w:rPr>
            </w:pPr>
          </w:p>
        </w:tc>
        <w:tc>
          <w:tcPr>
            <w:tcW w:w="1317" w:type="dxa"/>
            <w:vMerge w:val="restart"/>
            <w:tcBorders>
              <w:top w:val="nil"/>
              <w:left w:val="nil"/>
              <w:bottom w:val="nil"/>
              <w:right w:val="nil"/>
            </w:tcBorders>
            <w:shd w:val="clear" w:color="000000" w:fill="BFBFBF"/>
            <w:noWrap/>
            <w:vAlign w:val="center"/>
            <w:hideMark/>
          </w:tcPr>
          <w:p w14:paraId="30BF3AB2" w14:textId="254D817A" w:rsidR="00FE7323" w:rsidRPr="00B5774B" w:rsidRDefault="00FE7323" w:rsidP="00B5774B">
            <w:pPr>
              <w:spacing w:after="0" w:line="240" w:lineRule="auto"/>
              <w:jc w:val="center"/>
              <w:rPr>
                <w:rFonts w:ascii="Arial" w:eastAsia="Times New Roman" w:hAnsi="Arial" w:cs="Arial"/>
                <w:b/>
                <w:bCs/>
                <w:color w:val="000000"/>
                <w:sz w:val="20"/>
                <w:szCs w:val="20"/>
              </w:rPr>
            </w:pPr>
            <w:r w:rsidRPr="00B5774B">
              <w:rPr>
                <w:rFonts w:ascii="Arial" w:eastAsia="Times New Roman" w:hAnsi="Arial" w:cs="Arial"/>
                <w:b/>
                <w:bCs/>
                <w:color w:val="000000"/>
                <w:sz w:val="20"/>
                <w:szCs w:val="20"/>
              </w:rPr>
              <w:t>Subtropical</w:t>
            </w:r>
          </w:p>
        </w:tc>
        <w:tc>
          <w:tcPr>
            <w:tcW w:w="2126" w:type="dxa"/>
            <w:gridSpan w:val="2"/>
            <w:tcBorders>
              <w:top w:val="nil"/>
              <w:left w:val="nil"/>
              <w:bottom w:val="nil"/>
              <w:right w:val="nil"/>
            </w:tcBorders>
            <w:shd w:val="clear" w:color="000000" w:fill="F2F2F2"/>
            <w:noWrap/>
            <w:vAlign w:val="bottom"/>
            <w:hideMark/>
          </w:tcPr>
          <w:p w14:paraId="333B967B" w14:textId="77777777" w:rsidR="00FE7323" w:rsidRPr="00B5774B" w:rsidRDefault="00FE7323" w:rsidP="00B5774B">
            <w:pPr>
              <w:spacing w:after="0" w:line="240" w:lineRule="auto"/>
              <w:rPr>
                <w:rFonts w:ascii="Arial" w:eastAsia="Times New Roman" w:hAnsi="Arial" w:cs="Arial"/>
                <w:color w:val="000000"/>
                <w:sz w:val="18"/>
                <w:szCs w:val="18"/>
              </w:rPr>
            </w:pPr>
            <w:r w:rsidRPr="00B5774B">
              <w:rPr>
                <w:rFonts w:ascii="Arial" w:eastAsia="Times New Roman" w:hAnsi="Arial" w:cs="Arial"/>
                <w:color w:val="000000"/>
                <w:sz w:val="18"/>
                <w:szCs w:val="18"/>
              </w:rPr>
              <w:t>Iberian Peninsula</w:t>
            </w:r>
          </w:p>
        </w:tc>
        <w:tc>
          <w:tcPr>
            <w:tcW w:w="787" w:type="dxa"/>
            <w:tcBorders>
              <w:top w:val="nil"/>
              <w:left w:val="nil"/>
              <w:bottom w:val="nil"/>
              <w:right w:val="nil"/>
            </w:tcBorders>
            <w:shd w:val="clear" w:color="000000" w:fill="D9D9D9"/>
            <w:noWrap/>
            <w:vAlign w:val="bottom"/>
            <w:hideMark/>
          </w:tcPr>
          <w:p w14:paraId="1008C208"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-2.5</w:t>
            </w:r>
          </w:p>
        </w:tc>
        <w:tc>
          <w:tcPr>
            <w:tcW w:w="772" w:type="dxa"/>
            <w:tcBorders>
              <w:top w:val="nil"/>
              <w:left w:val="single" w:sz="4" w:space="0" w:color="A6A6A6"/>
              <w:bottom w:val="nil"/>
              <w:right w:val="nil"/>
            </w:tcBorders>
            <w:shd w:val="clear" w:color="000000" w:fill="D9D9D9"/>
            <w:noWrap/>
            <w:vAlign w:val="bottom"/>
            <w:hideMark/>
          </w:tcPr>
          <w:p w14:paraId="3B085C1D"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1.7</w:t>
            </w:r>
          </w:p>
        </w:tc>
        <w:tc>
          <w:tcPr>
            <w:tcW w:w="851" w:type="dxa"/>
            <w:tcBorders>
              <w:top w:val="nil"/>
              <w:left w:val="nil"/>
              <w:bottom w:val="nil"/>
              <w:right w:val="nil"/>
            </w:tcBorders>
            <w:shd w:val="clear" w:color="000000" w:fill="F2F2F2"/>
            <w:noWrap/>
            <w:vAlign w:val="bottom"/>
            <w:hideMark/>
          </w:tcPr>
          <w:p w14:paraId="4AC288A5"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-4.9</w:t>
            </w:r>
          </w:p>
        </w:tc>
        <w:tc>
          <w:tcPr>
            <w:tcW w:w="850" w:type="dxa"/>
            <w:tcBorders>
              <w:top w:val="nil"/>
              <w:left w:val="single" w:sz="4" w:space="0" w:color="A6A6A6"/>
              <w:bottom w:val="nil"/>
              <w:right w:val="nil"/>
            </w:tcBorders>
            <w:shd w:val="clear" w:color="000000" w:fill="F2F2F2"/>
            <w:noWrap/>
            <w:vAlign w:val="bottom"/>
            <w:hideMark/>
          </w:tcPr>
          <w:p w14:paraId="2401000E"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4.1</w:t>
            </w:r>
          </w:p>
        </w:tc>
      </w:tr>
      <w:tr w:rsidR="00FE7323" w:rsidRPr="00B5774B" w14:paraId="160BB3C5" w14:textId="77777777" w:rsidTr="00124E55">
        <w:trPr>
          <w:trHeight w:val="255"/>
        </w:trPr>
        <w:tc>
          <w:tcPr>
            <w:tcW w:w="2369" w:type="dxa"/>
            <w:vMerge/>
            <w:tcBorders>
              <w:left w:val="nil"/>
              <w:right w:val="nil"/>
            </w:tcBorders>
            <w:shd w:val="clear" w:color="auto" w:fill="auto"/>
          </w:tcPr>
          <w:p w14:paraId="21068D29" w14:textId="77777777" w:rsidR="00FE7323" w:rsidRPr="00B5774B" w:rsidRDefault="00FE7323" w:rsidP="00B5774B">
            <w:pPr>
              <w:spacing w:after="0" w:line="240" w:lineRule="auto"/>
              <w:rPr>
                <w:rFonts w:ascii="Arial" w:eastAsia="Times New Roman" w:hAnsi="Arial" w:cs="Arial"/>
                <w:b/>
                <w:bCs/>
                <w:color w:val="000000"/>
                <w:sz w:val="20"/>
                <w:szCs w:val="20"/>
              </w:rPr>
            </w:pPr>
          </w:p>
        </w:tc>
        <w:tc>
          <w:tcPr>
            <w:tcW w:w="1317" w:type="dxa"/>
            <w:vMerge/>
            <w:tcBorders>
              <w:top w:val="nil"/>
              <w:left w:val="nil"/>
              <w:bottom w:val="nil"/>
              <w:right w:val="nil"/>
            </w:tcBorders>
            <w:vAlign w:val="center"/>
            <w:hideMark/>
          </w:tcPr>
          <w:p w14:paraId="246278AD" w14:textId="54B0E323" w:rsidR="00FE7323" w:rsidRPr="00B5774B" w:rsidRDefault="00FE7323" w:rsidP="00B5774B">
            <w:pPr>
              <w:spacing w:after="0" w:line="240" w:lineRule="auto"/>
              <w:rPr>
                <w:rFonts w:ascii="Arial" w:eastAsia="Times New Roman" w:hAnsi="Arial" w:cs="Arial"/>
                <w:b/>
                <w:bCs/>
                <w:color w:val="000000"/>
                <w:sz w:val="20"/>
                <w:szCs w:val="20"/>
              </w:rPr>
            </w:pPr>
          </w:p>
        </w:tc>
        <w:tc>
          <w:tcPr>
            <w:tcW w:w="2126" w:type="dxa"/>
            <w:gridSpan w:val="2"/>
            <w:tcBorders>
              <w:top w:val="nil"/>
              <w:left w:val="nil"/>
              <w:bottom w:val="nil"/>
              <w:right w:val="nil"/>
            </w:tcBorders>
            <w:shd w:val="clear" w:color="000000" w:fill="F2F2F2"/>
            <w:noWrap/>
            <w:vAlign w:val="bottom"/>
            <w:hideMark/>
          </w:tcPr>
          <w:p w14:paraId="70BC4210" w14:textId="77777777" w:rsidR="00FE7323" w:rsidRPr="00B5774B" w:rsidRDefault="00FE7323" w:rsidP="00B5774B">
            <w:pPr>
              <w:spacing w:after="0" w:line="240" w:lineRule="auto"/>
              <w:rPr>
                <w:rFonts w:ascii="Arial" w:eastAsia="Times New Roman" w:hAnsi="Arial" w:cs="Arial"/>
                <w:color w:val="000000"/>
                <w:sz w:val="18"/>
                <w:szCs w:val="18"/>
              </w:rPr>
            </w:pPr>
            <w:r w:rsidRPr="00B5774B">
              <w:rPr>
                <w:rFonts w:ascii="Arial" w:eastAsia="Times New Roman" w:hAnsi="Arial" w:cs="Arial"/>
                <w:color w:val="000000"/>
                <w:sz w:val="18"/>
                <w:szCs w:val="18"/>
              </w:rPr>
              <w:t>Mediterranean region</w:t>
            </w:r>
          </w:p>
        </w:tc>
        <w:tc>
          <w:tcPr>
            <w:tcW w:w="787" w:type="dxa"/>
            <w:tcBorders>
              <w:top w:val="nil"/>
              <w:left w:val="nil"/>
              <w:bottom w:val="nil"/>
              <w:right w:val="nil"/>
            </w:tcBorders>
            <w:shd w:val="clear" w:color="000000" w:fill="D9D9D9"/>
            <w:noWrap/>
            <w:vAlign w:val="bottom"/>
            <w:hideMark/>
          </w:tcPr>
          <w:p w14:paraId="013F4904"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-3.4</w:t>
            </w:r>
          </w:p>
        </w:tc>
        <w:tc>
          <w:tcPr>
            <w:tcW w:w="772" w:type="dxa"/>
            <w:tcBorders>
              <w:top w:val="nil"/>
              <w:left w:val="single" w:sz="4" w:space="0" w:color="A6A6A6"/>
              <w:bottom w:val="nil"/>
              <w:right w:val="nil"/>
            </w:tcBorders>
            <w:shd w:val="clear" w:color="000000" w:fill="D9D9D9"/>
            <w:noWrap/>
            <w:vAlign w:val="bottom"/>
            <w:hideMark/>
          </w:tcPr>
          <w:p w14:paraId="73E0D2D3"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1.9</w:t>
            </w:r>
          </w:p>
        </w:tc>
        <w:tc>
          <w:tcPr>
            <w:tcW w:w="851" w:type="dxa"/>
            <w:tcBorders>
              <w:top w:val="nil"/>
              <w:left w:val="nil"/>
              <w:bottom w:val="nil"/>
              <w:right w:val="nil"/>
            </w:tcBorders>
            <w:shd w:val="clear" w:color="000000" w:fill="F2F2F2"/>
            <w:noWrap/>
            <w:vAlign w:val="bottom"/>
            <w:hideMark/>
          </w:tcPr>
          <w:p w14:paraId="1304E796"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-6.1</w:t>
            </w:r>
          </w:p>
        </w:tc>
        <w:tc>
          <w:tcPr>
            <w:tcW w:w="850" w:type="dxa"/>
            <w:tcBorders>
              <w:top w:val="nil"/>
              <w:left w:val="single" w:sz="4" w:space="0" w:color="A6A6A6"/>
              <w:bottom w:val="nil"/>
              <w:right w:val="nil"/>
            </w:tcBorders>
            <w:shd w:val="clear" w:color="000000" w:fill="F2F2F2"/>
            <w:noWrap/>
            <w:vAlign w:val="bottom"/>
            <w:hideMark/>
          </w:tcPr>
          <w:p w14:paraId="3E3518F8"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4.4</w:t>
            </w:r>
          </w:p>
        </w:tc>
      </w:tr>
      <w:tr w:rsidR="00FE7323" w:rsidRPr="00B5774B" w14:paraId="10B8B865" w14:textId="77777777" w:rsidTr="00124E55">
        <w:trPr>
          <w:trHeight w:val="255"/>
        </w:trPr>
        <w:tc>
          <w:tcPr>
            <w:tcW w:w="2369" w:type="dxa"/>
            <w:vMerge/>
            <w:tcBorders>
              <w:left w:val="nil"/>
              <w:right w:val="nil"/>
            </w:tcBorders>
            <w:shd w:val="clear" w:color="auto" w:fill="auto"/>
          </w:tcPr>
          <w:p w14:paraId="341BDCDE" w14:textId="77777777" w:rsidR="00FE7323" w:rsidRPr="00B5774B" w:rsidRDefault="00FE7323" w:rsidP="00B5774B">
            <w:pPr>
              <w:spacing w:after="0" w:line="240" w:lineRule="auto"/>
              <w:rPr>
                <w:rFonts w:ascii="Arial" w:eastAsia="Times New Roman" w:hAnsi="Arial" w:cs="Arial"/>
                <w:b/>
                <w:bCs/>
                <w:color w:val="000000"/>
                <w:sz w:val="20"/>
                <w:szCs w:val="20"/>
              </w:rPr>
            </w:pPr>
          </w:p>
        </w:tc>
        <w:tc>
          <w:tcPr>
            <w:tcW w:w="1317" w:type="dxa"/>
            <w:vMerge/>
            <w:tcBorders>
              <w:top w:val="nil"/>
              <w:left w:val="nil"/>
              <w:bottom w:val="nil"/>
              <w:right w:val="nil"/>
            </w:tcBorders>
            <w:vAlign w:val="center"/>
            <w:hideMark/>
          </w:tcPr>
          <w:p w14:paraId="59FC3F97" w14:textId="13621066" w:rsidR="00FE7323" w:rsidRPr="00B5774B" w:rsidRDefault="00FE7323" w:rsidP="00B5774B">
            <w:pPr>
              <w:spacing w:after="0" w:line="240" w:lineRule="auto"/>
              <w:rPr>
                <w:rFonts w:ascii="Arial" w:eastAsia="Times New Roman" w:hAnsi="Arial" w:cs="Arial"/>
                <w:b/>
                <w:bCs/>
                <w:color w:val="000000"/>
                <w:sz w:val="20"/>
                <w:szCs w:val="20"/>
              </w:rPr>
            </w:pPr>
          </w:p>
        </w:tc>
        <w:tc>
          <w:tcPr>
            <w:tcW w:w="2126" w:type="dxa"/>
            <w:gridSpan w:val="2"/>
            <w:tcBorders>
              <w:top w:val="nil"/>
              <w:left w:val="nil"/>
              <w:bottom w:val="nil"/>
              <w:right w:val="nil"/>
            </w:tcBorders>
            <w:shd w:val="clear" w:color="000000" w:fill="F2F2F2"/>
            <w:noWrap/>
            <w:vAlign w:val="bottom"/>
            <w:hideMark/>
          </w:tcPr>
          <w:p w14:paraId="3D207872" w14:textId="77777777" w:rsidR="00FE7323" w:rsidRPr="00B5774B" w:rsidRDefault="00FE7323" w:rsidP="00B5774B">
            <w:pPr>
              <w:spacing w:after="0" w:line="240" w:lineRule="auto"/>
              <w:rPr>
                <w:rFonts w:ascii="Arial" w:eastAsia="Times New Roman" w:hAnsi="Arial" w:cs="Arial"/>
                <w:color w:val="000000"/>
                <w:sz w:val="18"/>
                <w:szCs w:val="18"/>
              </w:rPr>
            </w:pPr>
            <w:r w:rsidRPr="00B5774B">
              <w:rPr>
                <w:rFonts w:ascii="Arial" w:eastAsia="Times New Roman" w:hAnsi="Arial" w:cs="Arial"/>
                <w:color w:val="000000"/>
                <w:sz w:val="18"/>
                <w:szCs w:val="18"/>
              </w:rPr>
              <w:t>South Spain, Turkey…</w:t>
            </w:r>
          </w:p>
        </w:tc>
        <w:tc>
          <w:tcPr>
            <w:tcW w:w="787" w:type="dxa"/>
            <w:tcBorders>
              <w:top w:val="nil"/>
              <w:left w:val="nil"/>
              <w:bottom w:val="nil"/>
              <w:right w:val="nil"/>
            </w:tcBorders>
            <w:shd w:val="clear" w:color="000000" w:fill="D9D9D9"/>
            <w:noWrap/>
            <w:vAlign w:val="bottom"/>
            <w:hideMark/>
          </w:tcPr>
          <w:p w14:paraId="21B9792B"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-2</w:t>
            </w:r>
          </w:p>
        </w:tc>
        <w:tc>
          <w:tcPr>
            <w:tcW w:w="772" w:type="dxa"/>
            <w:tcBorders>
              <w:top w:val="nil"/>
              <w:left w:val="single" w:sz="4" w:space="0" w:color="A6A6A6"/>
              <w:bottom w:val="nil"/>
              <w:right w:val="nil"/>
            </w:tcBorders>
            <w:shd w:val="clear" w:color="000000" w:fill="D9D9D9"/>
            <w:noWrap/>
            <w:vAlign w:val="bottom"/>
            <w:hideMark/>
          </w:tcPr>
          <w:p w14:paraId="636A3299"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5</w:t>
            </w:r>
          </w:p>
        </w:tc>
        <w:tc>
          <w:tcPr>
            <w:tcW w:w="851" w:type="dxa"/>
            <w:tcBorders>
              <w:top w:val="nil"/>
              <w:left w:val="nil"/>
              <w:bottom w:val="nil"/>
              <w:right w:val="nil"/>
            </w:tcBorders>
            <w:shd w:val="clear" w:color="000000" w:fill="F2F2F2"/>
            <w:noWrap/>
            <w:vAlign w:val="bottom"/>
            <w:hideMark/>
          </w:tcPr>
          <w:p w14:paraId="7C23F876"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-5</w:t>
            </w:r>
          </w:p>
        </w:tc>
        <w:tc>
          <w:tcPr>
            <w:tcW w:w="850" w:type="dxa"/>
            <w:tcBorders>
              <w:top w:val="nil"/>
              <w:left w:val="single" w:sz="4" w:space="0" w:color="A6A6A6"/>
              <w:bottom w:val="nil"/>
              <w:right w:val="nil"/>
            </w:tcBorders>
            <w:shd w:val="clear" w:color="000000" w:fill="F2F2F2"/>
            <w:noWrap/>
            <w:vAlign w:val="bottom"/>
            <w:hideMark/>
          </w:tcPr>
          <w:p w14:paraId="0AFFC1C1"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10</w:t>
            </w:r>
          </w:p>
        </w:tc>
      </w:tr>
      <w:tr w:rsidR="00FE7323" w:rsidRPr="00B5774B" w14:paraId="568582B6" w14:textId="77777777" w:rsidTr="00124E55">
        <w:trPr>
          <w:trHeight w:val="255"/>
        </w:trPr>
        <w:tc>
          <w:tcPr>
            <w:tcW w:w="2369" w:type="dxa"/>
            <w:vMerge/>
            <w:tcBorders>
              <w:left w:val="nil"/>
              <w:right w:val="nil"/>
            </w:tcBorders>
            <w:shd w:val="clear" w:color="auto" w:fill="auto"/>
          </w:tcPr>
          <w:p w14:paraId="6F16B7D1" w14:textId="77777777" w:rsidR="00FE7323" w:rsidRPr="00B5774B" w:rsidRDefault="00FE7323" w:rsidP="00B5774B">
            <w:pPr>
              <w:spacing w:after="0" w:line="240" w:lineRule="auto"/>
              <w:rPr>
                <w:rFonts w:ascii="Arial" w:eastAsia="Times New Roman" w:hAnsi="Arial" w:cs="Arial"/>
                <w:b/>
                <w:bCs/>
                <w:color w:val="000000"/>
                <w:sz w:val="20"/>
                <w:szCs w:val="20"/>
              </w:rPr>
            </w:pPr>
          </w:p>
        </w:tc>
        <w:tc>
          <w:tcPr>
            <w:tcW w:w="1317" w:type="dxa"/>
            <w:vMerge/>
            <w:tcBorders>
              <w:top w:val="nil"/>
              <w:left w:val="nil"/>
              <w:bottom w:val="nil"/>
              <w:right w:val="nil"/>
            </w:tcBorders>
            <w:vAlign w:val="center"/>
            <w:hideMark/>
          </w:tcPr>
          <w:p w14:paraId="1986C5C6" w14:textId="2BF4F2E3" w:rsidR="00FE7323" w:rsidRPr="00B5774B" w:rsidRDefault="00FE7323" w:rsidP="00B5774B">
            <w:pPr>
              <w:spacing w:after="0" w:line="240" w:lineRule="auto"/>
              <w:rPr>
                <w:rFonts w:ascii="Arial" w:eastAsia="Times New Roman" w:hAnsi="Arial" w:cs="Arial"/>
                <w:b/>
                <w:bCs/>
                <w:color w:val="000000"/>
                <w:sz w:val="20"/>
                <w:szCs w:val="20"/>
              </w:rPr>
            </w:pPr>
          </w:p>
        </w:tc>
        <w:tc>
          <w:tcPr>
            <w:tcW w:w="1719" w:type="dxa"/>
            <w:tcBorders>
              <w:top w:val="nil"/>
              <w:left w:val="nil"/>
              <w:bottom w:val="nil"/>
              <w:right w:val="nil"/>
            </w:tcBorders>
            <w:shd w:val="clear" w:color="000000" w:fill="F2F2F2"/>
            <w:noWrap/>
            <w:vAlign w:val="bottom"/>
            <w:hideMark/>
          </w:tcPr>
          <w:p w14:paraId="625DF08E" w14:textId="77777777" w:rsidR="00FE7323" w:rsidRPr="00B5774B" w:rsidRDefault="00FE7323" w:rsidP="00B5774B">
            <w:pPr>
              <w:spacing w:after="0" w:line="240" w:lineRule="auto"/>
              <w:ind w:firstLineChars="100" w:firstLine="180"/>
              <w:rPr>
                <w:rFonts w:ascii="Arial" w:eastAsia="Times New Roman" w:hAnsi="Arial" w:cs="Arial"/>
                <w:i/>
                <w:iCs/>
                <w:color w:val="000000"/>
                <w:sz w:val="18"/>
                <w:szCs w:val="18"/>
              </w:rPr>
            </w:pPr>
            <w:r w:rsidRPr="00B5774B">
              <w:rPr>
                <w:rFonts w:ascii="Arial" w:eastAsia="Times New Roman" w:hAnsi="Arial" w:cs="Arial"/>
                <w:i/>
                <w:iCs/>
                <w:color w:val="000000"/>
                <w:sz w:val="18"/>
                <w:szCs w:val="18"/>
              </w:rPr>
              <w:t>Average</w:t>
            </w:r>
          </w:p>
        </w:tc>
        <w:tc>
          <w:tcPr>
            <w:tcW w:w="407" w:type="dxa"/>
            <w:tcBorders>
              <w:top w:val="nil"/>
              <w:left w:val="nil"/>
              <w:bottom w:val="nil"/>
              <w:right w:val="nil"/>
            </w:tcBorders>
            <w:shd w:val="clear" w:color="000000" w:fill="F2F2F2"/>
            <w:noWrap/>
            <w:vAlign w:val="bottom"/>
            <w:hideMark/>
          </w:tcPr>
          <w:p w14:paraId="48E25732" w14:textId="77777777" w:rsidR="00FE7323" w:rsidRPr="00B5774B" w:rsidRDefault="00FE7323" w:rsidP="00B5774B">
            <w:pPr>
              <w:spacing w:after="0" w:line="240" w:lineRule="auto"/>
              <w:rPr>
                <w:rFonts w:ascii="Arial" w:eastAsia="Times New Roman" w:hAnsi="Arial" w:cs="Arial"/>
                <w:i/>
                <w:iCs/>
                <w:color w:val="000000"/>
                <w:sz w:val="18"/>
                <w:szCs w:val="18"/>
              </w:rPr>
            </w:pPr>
            <w:r w:rsidRPr="00B5774B">
              <w:rPr>
                <w:rFonts w:ascii="Arial" w:eastAsia="Times New Roman" w:hAnsi="Arial" w:cs="Arial"/>
                <w:i/>
                <w:iCs/>
                <w:color w:val="000000"/>
                <w:sz w:val="18"/>
                <w:szCs w:val="18"/>
              </w:rPr>
              <w:t> </w:t>
            </w:r>
          </w:p>
        </w:tc>
        <w:tc>
          <w:tcPr>
            <w:tcW w:w="787" w:type="dxa"/>
            <w:tcBorders>
              <w:top w:val="nil"/>
              <w:left w:val="nil"/>
              <w:bottom w:val="nil"/>
              <w:right w:val="nil"/>
            </w:tcBorders>
            <w:shd w:val="clear" w:color="000000" w:fill="D9D9D9"/>
            <w:noWrap/>
            <w:vAlign w:val="bottom"/>
            <w:hideMark/>
          </w:tcPr>
          <w:p w14:paraId="2E37EA50"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-2.6</w:t>
            </w:r>
          </w:p>
        </w:tc>
        <w:tc>
          <w:tcPr>
            <w:tcW w:w="772" w:type="dxa"/>
            <w:tcBorders>
              <w:top w:val="nil"/>
              <w:left w:val="single" w:sz="4" w:space="0" w:color="A6A6A6"/>
              <w:bottom w:val="nil"/>
              <w:right w:val="nil"/>
            </w:tcBorders>
            <w:shd w:val="clear" w:color="000000" w:fill="D9D9D9"/>
            <w:noWrap/>
            <w:vAlign w:val="bottom"/>
            <w:hideMark/>
          </w:tcPr>
          <w:p w14:paraId="3224CE0A"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2.9</w:t>
            </w:r>
          </w:p>
        </w:tc>
        <w:tc>
          <w:tcPr>
            <w:tcW w:w="851" w:type="dxa"/>
            <w:tcBorders>
              <w:top w:val="nil"/>
              <w:left w:val="nil"/>
              <w:bottom w:val="nil"/>
              <w:right w:val="nil"/>
            </w:tcBorders>
            <w:shd w:val="clear" w:color="000000" w:fill="F2F2F2"/>
            <w:noWrap/>
            <w:vAlign w:val="bottom"/>
            <w:hideMark/>
          </w:tcPr>
          <w:p w14:paraId="49011A58"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-5.3</w:t>
            </w:r>
          </w:p>
        </w:tc>
        <w:tc>
          <w:tcPr>
            <w:tcW w:w="850" w:type="dxa"/>
            <w:tcBorders>
              <w:top w:val="nil"/>
              <w:left w:val="single" w:sz="4" w:space="0" w:color="A6A6A6"/>
              <w:bottom w:val="nil"/>
              <w:right w:val="nil"/>
            </w:tcBorders>
            <w:shd w:val="clear" w:color="000000" w:fill="F2F2F2"/>
            <w:noWrap/>
            <w:vAlign w:val="bottom"/>
            <w:hideMark/>
          </w:tcPr>
          <w:p w14:paraId="4A5C6B19"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6.2</w:t>
            </w:r>
          </w:p>
        </w:tc>
      </w:tr>
      <w:tr w:rsidR="00FE7323" w:rsidRPr="00B5774B" w14:paraId="6E7792BB" w14:textId="77777777" w:rsidTr="00124E55">
        <w:trPr>
          <w:trHeight w:val="255"/>
        </w:trPr>
        <w:tc>
          <w:tcPr>
            <w:tcW w:w="2369" w:type="dxa"/>
            <w:vMerge/>
            <w:tcBorders>
              <w:left w:val="nil"/>
              <w:right w:val="nil"/>
            </w:tcBorders>
            <w:shd w:val="clear" w:color="auto" w:fill="auto"/>
          </w:tcPr>
          <w:p w14:paraId="14486853" w14:textId="77777777" w:rsidR="00FE7323" w:rsidRPr="00B5774B" w:rsidRDefault="00FE7323" w:rsidP="00B5774B">
            <w:pPr>
              <w:spacing w:after="0" w:line="240" w:lineRule="auto"/>
              <w:jc w:val="center"/>
              <w:rPr>
                <w:rFonts w:ascii="Arial" w:eastAsia="Times New Roman" w:hAnsi="Arial" w:cs="Arial"/>
                <w:b/>
                <w:bCs/>
                <w:color w:val="000000"/>
                <w:sz w:val="20"/>
                <w:szCs w:val="20"/>
              </w:rPr>
            </w:pPr>
          </w:p>
        </w:tc>
        <w:tc>
          <w:tcPr>
            <w:tcW w:w="1317" w:type="dxa"/>
            <w:vMerge w:val="restart"/>
            <w:tcBorders>
              <w:top w:val="nil"/>
              <w:left w:val="nil"/>
              <w:bottom w:val="nil"/>
              <w:right w:val="nil"/>
            </w:tcBorders>
            <w:shd w:val="clear" w:color="000000" w:fill="A6A6A6"/>
            <w:noWrap/>
            <w:vAlign w:val="center"/>
            <w:hideMark/>
          </w:tcPr>
          <w:p w14:paraId="5AF457C8" w14:textId="5596C675" w:rsidR="00FE7323" w:rsidRPr="00B5774B" w:rsidRDefault="00FE7323" w:rsidP="00B5774B">
            <w:pPr>
              <w:spacing w:after="0" w:line="240" w:lineRule="auto"/>
              <w:jc w:val="center"/>
              <w:rPr>
                <w:rFonts w:ascii="Arial" w:eastAsia="Times New Roman" w:hAnsi="Arial" w:cs="Arial"/>
                <w:b/>
                <w:bCs/>
                <w:color w:val="000000"/>
                <w:sz w:val="20"/>
                <w:szCs w:val="20"/>
              </w:rPr>
            </w:pPr>
            <w:r w:rsidRPr="00B5774B">
              <w:rPr>
                <w:rFonts w:ascii="Arial" w:eastAsia="Times New Roman" w:hAnsi="Arial" w:cs="Arial"/>
                <w:b/>
                <w:bCs/>
                <w:color w:val="000000"/>
                <w:sz w:val="20"/>
                <w:szCs w:val="20"/>
              </w:rPr>
              <w:t>Temperate</w:t>
            </w:r>
          </w:p>
        </w:tc>
        <w:tc>
          <w:tcPr>
            <w:tcW w:w="1719" w:type="dxa"/>
            <w:tcBorders>
              <w:top w:val="nil"/>
              <w:left w:val="nil"/>
              <w:bottom w:val="nil"/>
              <w:right w:val="nil"/>
            </w:tcBorders>
            <w:shd w:val="clear" w:color="000000" w:fill="D9D9D9"/>
            <w:noWrap/>
            <w:vAlign w:val="bottom"/>
            <w:hideMark/>
          </w:tcPr>
          <w:p w14:paraId="6AD8816D" w14:textId="77777777" w:rsidR="00FE7323" w:rsidRPr="00B5774B" w:rsidRDefault="00FE7323" w:rsidP="00B5774B">
            <w:pPr>
              <w:spacing w:after="0" w:line="240" w:lineRule="auto"/>
              <w:rPr>
                <w:rFonts w:ascii="Arial" w:eastAsia="Times New Roman" w:hAnsi="Arial" w:cs="Arial"/>
                <w:color w:val="000000"/>
                <w:sz w:val="18"/>
                <w:szCs w:val="18"/>
              </w:rPr>
            </w:pPr>
            <w:r w:rsidRPr="00B5774B">
              <w:rPr>
                <w:rFonts w:ascii="Arial" w:eastAsia="Times New Roman" w:hAnsi="Arial" w:cs="Arial"/>
                <w:color w:val="000000"/>
                <w:sz w:val="18"/>
                <w:szCs w:val="18"/>
              </w:rPr>
              <w:t>British Isles</w:t>
            </w:r>
          </w:p>
        </w:tc>
        <w:tc>
          <w:tcPr>
            <w:tcW w:w="407" w:type="dxa"/>
            <w:tcBorders>
              <w:top w:val="nil"/>
              <w:left w:val="nil"/>
              <w:bottom w:val="nil"/>
              <w:right w:val="nil"/>
            </w:tcBorders>
            <w:shd w:val="clear" w:color="000000" w:fill="D9D9D9"/>
            <w:noWrap/>
            <w:vAlign w:val="bottom"/>
            <w:hideMark/>
          </w:tcPr>
          <w:p w14:paraId="0EEA1069" w14:textId="77777777" w:rsidR="00FE7323" w:rsidRPr="00B5774B" w:rsidRDefault="00FE7323" w:rsidP="00B5774B">
            <w:pPr>
              <w:spacing w:after="0" w:line="240" w:lineRule="auto"/>
              <w:rPr>
                <w:rFonts w:ascii="Arial" w:eastAsia="Times New Roman" w:hAnsi="Arial" w:cs="Arial"/>
                <w:color w:val="000000"/>
                <w:sz w:val="18"/>
                <w:szCs w:val="18"/>
              </w:rPr>
            </w:pPr>
            <w:r w:rsidRPr="00B5774B">
              <w:rPr>
                <w:rFonts w:ascii="Arial" w:eastAsia="Times New Roman" w:hAnsi="Arial" w:cs="Arial"/>
                <w:color w:val="000000"/>
                <w:sz w:val="18"/>
                <w:szCs w:val="18"/>
              </w:rPr>
              <w:t> </w:t>
            </w:r>
          </w:p>
        </w:tc>
        <w:tc>
          <w:tcPr>
            <w:tcW w:w="787" w:type="dxa"/>
            <w:tcBorders>
              <w:top w:val="nil"/>
              <w:left w:val="nil"/>
              <w:bottom w:val="nil"/>
              <w:right w:val="nil"/>
            </w:tcBorders>
            <w:shd w:val="clear" w:color="000000" w:fill="BFBFBF"/>
            <w:noWrap/>
            <w:vAlign w:val="bottom"/>
            <w:hideMark/>
          </w:tcPr>
          <w:p w14:paraId="44844F81"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-2.9</w:t>
            </w:r>
          </w:p>
        </w:tc>
        <w:tc>
          <w:tcPr>
            <w:tcW w:w="772" w:type="dxa"/>
            <w:tcBorders>
              <w:top w:val="nil"/>
              <w:left w:val="single" w:sz="4" w:space="0" w:color="A6A6A6"/>
              <w:bottom w:val="nil"/>
              <w:right w:val="nil"/>
            </w:tcBorders>
            <w:shd w:val="clear" w:color="000000" w:fill="BFBFBF"/>
            <w:noWrap/>
            <w:vAlign w:val="bottom"/>
            <w:hideMark/>
          </w:tcPr>
          <w:p w14:paraId="22EAED05"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0.1</w:t>
            </w:r>
          </w:p>
        </w:tc>
        <w:tc>
          <w:tcPr>
            <w:tcW w:w="851" w:type="dxa"/>
            <w:tcBorders>
              <w:top w:val="nil"/>
              <w:left w:val="nil"/>
              <w:bottom w:val="nil"/>
              <w:right w:val="nil"/>
            </w:tcBorders>
            <w:shd w:val="clear" w:color="000000" w:fill="D9D9D9"/>
            <w:noWrap/>
            <w:vAlign w:val="bottom"/>
            <w:hideMark/>
          </w:tcPr>
          <w:p w14:paraId="29939489"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-5.2</w:t>
            </w:r>
          </w:p>
        </w:tc>
        <w:tc>
          <w:tcPr>
            <w:tcW w:w="850" w:type="dxa"/>
            <w:tcBorders>
              <w:top w:val="nil"/>
              <w:left w:val="single" w:sz="4" w:space="0" w:color="A6A6A6"/>
              <w:bottom w:val="nil"/>
              <w:right w:val="nil"/>
            </w:tcBorders>
            <w:shd w:val="clear" w:color="000000" w:fill="D9D9D9"/>
            <w:noWrap/>
            <w:vAlign w:val="bottom"/>
            <w:hideMark/>
          </w:tcPr>
          <w:p w14:paraId="1DB61CB2"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0.3</w:t>
            </w:r>
          </w:p>
        </w:tc>
      </w:tr>
      <w:tr w:rsidR="00FE7323" w:rsidRPr="00B5774B" w14:paraId="0C1AE6FB" w14:textId="77777777" w:rsidTr="00124E55">
        <w:trPr>
          <w:trHeight w:val="255"/>
        </w:trPr>
        <w:tc>
          <w:tcPr>
            <w:tcW w:w="2369" w:type="dxa"/>
            <w:vMerge/>
            <w:tcBorders>
              <w:left w:val="nil"/>
              <w:right w:val="nil"/>
            </w:tcBorders>
            <w:shd w:val="clear" w:color="auto" w:fill="auto"/>
          </w:tcPr>
          <w:p w14:paraId="2798F6FB" w14:textId="77777777" w:rsidR="00FE7323" w:rsidRPr="00B5774B" w:rsidRDefault="00FE7323" w:rsidP="00B5774B">
            <w:pPr>
              <w:spacing w:after="0" w:line="240" w:lineRule="auto"/>
              <w:rPr>
                <w:rFonts w:ascii="Arial" w:eastAsia="Times New Roman" w:hAnsi="Arial" w:cs="Arial"/>
                <w:b/>
                <w:bCs/>
                <w:color w:val="000000"/>
                <w:sz w:val="20"/>
                <w:szCs w:val="20"/>
              </w:rPr>
            </w:pPr>
          </w:p>
        </w:tc>
        <w:tc>
          <w:tcPr>
            <w:tcW w:w="1317" w:type="dxa"/>
            <w:vMerge/>
            <w:tcBorders>
              <w:top w:val="nil"/>
              <w:left w:val="nil"/>
              <w:bottom w:val="nil"/>
              <w:right w:val="nil"/>
            </w:tcBorders>
            <w:vAlign w:val="center"/>
            <w:hideMark/>
          </w:tcPr>
          <w:p w14:paraId="7C45075E" w14:textId="38D6E842" w:rsidR="00FE7323" w:rsidRPr="00B5774B" w:rsidRDefault="00FE7323" w:rsidP="00B5774B">
            <w:pPr>
              <w:spacing w:after="0" w:line="240" w:lineRule="auto"/>
              <w:rPr>
                <w:rFonts w:ascii="Arial" w:eastAsia="Times New Roman" w:hAnsi="Arial" w:cs="Arial"/>
                <w:b/>
                <w:bCs/>
                <w:color w:val="000000"/>
                <w:sz w:val="20"/>
                <w:szCs w:val="20"/>
              </w:rPr>
            </w:pPr>
          </w:p>
        </w:tc>
        <w:tc>
          <w:tcPr>
            <w:tcW w:w="2126" w:type="dxa"/>
            <w:gridSpan w:val="2"/>
            <w:tcBorders>
              <w:top w:val="nil"/>
              <w:left w:val="nil"/>
              <w:bottom w:val="nil"/>
              <w:right w:val="nil"/>
            </w:tcBorders>
            <w:shd w:val="clear" w:color="000000" w:fill="D9D9D9"/>
            <w:noWrap/>
            <w:vAlign w:val="bottom"/>
            <w:hideMark/>
          </w:tcPr>
          <w:p w14:paraId="7F388FAA" w14:textId="77777777" w:rsidR="00FE7323" w:rsidRPr="00B5774B" w:rsidRDefault="00FE7323" w:rsidP="00B5774B">
            <w:pPr>
              <w:spacing w:after="0" w:line="240" w:lineRule="auto"/>
              <w:rPr>
                <w:rFonts w:ascii="Arial" w:eastAsia="Times New Roman" w:hAnsi="Arial" w:cs="Arial"/>
                <w:color w:val="000000"/>
                <w:sz w:val="18"/>
                <w:szCs w:val="18"/>
              </w:rPr>
            </w:pPr>
            <w:r w:rsidRPr="00B5774B">
              <w:rPr>
                <w:rFonts w:ascii="Arial" w:eastAsia="Times New Roman" w:hAnsi="Arial" w:cs="Arial"/>
                <w:color w:val="000000"/>
                <w:sz w:val="18"/>
                <w:szCs w:val="18"/>
              </w:rPr>
              <w:t>France</w:t>
            </w:r>
            <w:r>
              <w:rPr>
                <w:rFonts w:ascii="Arial" w:eastAsia="Times New Roman" w:hAnsi="Arial" w:cs="Arial"/>
                <w:color w:val="000000"/>
                <w:sz w:val="18"/>
                <w:szCs w:val="18"/>
              </w:rPr>
              <w:t xml:space="preserve"> </w:t>
            </w:r>
            <w:r w:rsidRPr="00B5774B">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B5774B">
              <w:rPr>
                <w:rFonts w:ascii="Arial" w:eastAsia="Times New Roman" w:hAnsi="Arial" w:cs="Arial"/>
                <w:color w:val="000000"/>
                <w:sz w:val="18"/>
                <w:szCs w:val="18"/>
              </w:rPr>
              <w:t>Benelux</w:t>
            </w:r>
          </w:p>
        </w:tc>
        <w:tc>
          <w:tcPr>
            <w:tcW w:w="787" w:type="dxa"/>
            <w:tcBorders>
              <w:top w:val="nil"/>
              <w:left w:val="nil"/>
              <w:bottom w:val="nil"/>
              <w:right w:val="nil"/>
            </w:tcBorders>
            <w:shd w:val="clear" w:color="000000" w:fill="BFBFBF"/>
            <w:noWrap/>
            <w:vAlign w:val="bottom"/>
            <w:hideMark/>
          </w:tcPr>
          <w:p w14:paraId="37EC69F7"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-3.2</w:t>
            </w:r>
          </w:p>
        </w:tc>
        <w:tc>
          <w:tcPr>
            <w:tcW w:w="772" w:type="dxa"/>
            <w:tcBorders>
              <w:top w:val="nil"/>
              <w:left w:val="single" w:sz="4" w:space="0" w:color="A6A6A6"/>
              <w:bottom w:val="nil"/>
              <w:right w:val="nil"/>
            </w:tcBorders>
            <w:shd w:val="clear" w:color="000000" w:fill="BFBFBF"/>
            <w:noWrap/>
            <w:vAlign w:val="bottom"/>
            <w:hideMark/>
          </w:tcPr>
          <w:p w14:paraId="03A9F04A"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0.8</w:t>
            </w:r>
          </w:p>
        </w:tc>
        <w:tc>
          <w:tcPr>
            <w:tcW w:w="851" w:type="dxa"/>
            <w:tcBorders>
              <w:top w:val="nil"/>
              <w:left w:val="nil"/>
              <w:bottom w:val="nil"/>
              <w:right w:val="nil"/>
            </w:tcBorders>
            <w:shd w:val="clear" w:color="000000" w:fill="D9D9D9"/>
            <w:noWrap/>
            <w:vAlign w:val="bottom"/>
            <w:hideMark/>
          </w:tcPr>
          <w:p w14:paraId="29740C45"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-6</w:t>
            </w:r>
          </w:p>
        </w:tc>
        <w:tc>
          <w:tcPr>
            <w:tcW w:w="850" w:type="dxa"/>
            <w:tcBorders>
              <w:top w:val="nil"/>
              <w:left w:val="single" w:sz="4" w:space="0" w:color="A6A6A6"/>
              <w:bottom w:val="nil"/>
              <w:right w:val="nil"/>
            </w:tcBorders>
            <w:shd w:val="clear" w:color="000000" w:fill="D9D9D9"/>
            <w:noWrap/>
            <w:vAlign w:val="bottom"/>
            <w:hideMark/>
          </w:tcPr>
          <w:p w14:paraId="64076E2F"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2</w:t>
            </w:r>
          </w:p>
        </w:tc>
      </w:tr>
      <w:tr w:rsidR="00FE7323" w:rsidRPr="00B5774B" w14:paraId="561C1829" w14:textId="77777777" w:rsidTr="00124E55">
        <w:trPr>
          <w:trHeight w:val="255"/>
        </w:trPr>
        <w:tc>
          <w:tcPr>
            <w:tcW w:w="2369" w:type="dxa"/>
            <w:vMerge/>
            <w:tcBorders>
              <w:left w:val="nil"/>
              <w:right w:val="nil"/>
            </w:tcBorders>
            <w:shd w:val="clear" w:color="auto" w:fill="auto"/>
          </w:tcPr>
          <w:p w14:paraId="07BE84A0" w14:textId="77777777" w:rsidR="00FE7323" w:rsidRPr="00B5774B" w:rsidRDefault="00FE7323" w:rsidP="00B5774B">
            <w:pPr>
              <w:spacing w:after="0" w:line="240" w:lineRule="auto"/>
              <w:rPr>
                <w:rFonts w:ascii="Arial" w:eastAsia="Times New Roman" w:hAnsi="Arial" w:cs="Arial"/>
                <w:b/>
                <w:bCs/>
                <w:color w:val="000000"/>
                <w:sz w:val="20"/>
                <w:szCs w:val="20"/>
              </w:rPr>
            </w:pPr>
          </w:p>
        </w:tc>
        <w:tc>
          <w:tcPr>
            <w:tcW w:w="1317" w:type="dxa"/>
            <w:vMerge/>
            <w:tcBorders>
              <w:top w:val="nil"/>
              <w:left w:val="nil"/>
              <w:bottom w:val="nil"/>
              <w:right w:val="nil"/>
            </w:tcBorders>
            <w:vAlign w:val="center"/>
            <w:hideMark/>
          </w:tcPr>
          <w:p w14:paraId="7F1BDFDB" w14:textId="3247CE35" w:rsidR="00FE7323" w:rsidRPr="00B5774B" w:rsidRDefault="00FE7323" w:rsidP="00B5774B">
            <w:pPr>
              <w:spacing w:after="0" w:line="240" w:lineRule="auto"/>
              <w:rPr>
                <w:rFonts w:ascii="Arial" w:eastAsia="Times New Roman" w:hAnsi="Arial" w:cs="Arial"/>
                <w:b/>
                <w:bCs/>
                <w:color w:val="000000"/>
                <w:sz w:val="20"/>
                <w:szCs w:val="20"/>
              </w:rPr>
            </w:pPr>
          </w:p>
        </w:tc>
        <w:tc>
          <w:tcPr>
            <w:tcW w:w="2126" w:type="dxa"/>
            <w:gridSpan w:val="2"/>
            <w:tcBorders>
              <w:top w:val="nil"/>
              <w:left w:val="nil"/>
              <w:bottom w:val="nil"/>
              <w:right w:val="nil"/>
            </w:tcBorders>
            <w:shd w:val="clear" w:color="000000" w:fill="D9D9D9"/>
            <w:noWrap/>
            <w:vAlign w:val="bottom"/>
            <w:hideMark/>
          </w:tcPr>
          <w:p w14:paraId="6B67C8FF" w14:textId="77777777" w:rsidR="00FE7323" w:rsidRPr="00B5774B" w:rsidRDefault="00FE7323" w:rsidP="00B5774B">
            <w:pPr>
              <w:spacing w:after="0" w:line="240" w:lineRule="auto"/>
              <w:rPr>
                <w:rFonts w:ascii="Arial" w:eastAsia="Times New Roman" w:hAnsi="Arial" w:cs="Arial"/>
                <w:color w:val="000000"/>
                <w:sz w:val="18"/>
                <w:szCs w:val="18"/>
              </w:rPr>
            </w:pPr>
            <w:r w:rsidRPr="00B5774B">
              <w:rPr>
                <w:rFonts w:ascii="Arial" w:eastAsia="Times New Roman" w:hAnsi="Arial" w:cs="Arial"/>
                <w:color w:val="000000"/>
                <w:sz w:val="18"/>
                <w:szCs w:val="18"/>
              </w:rPr>
              <w:t>Central Europe</w:t>
            </w:r>
          </w:p>
        </w:tc>
        <w:tc>
          <w:tcPr>
            <w:tcW w:w="787" w:type="dxa"/>
            <w:tcBorders>
              <w:top w:val="nil"/>
              <w:left w:val="nil"/>
              <w:bottom w:val="nil"/>
              <w:right w:val="nil"/>
            </w:tcBorders>
            <w:shd w:val="clear" w:color="000000" w:fill="BFBFBF"/>
            <w:noWrap/>
            <w:vAlign w:val="bottom"/>
            <w:hideMark/>
          </w:tcPr>
          <w:p w14:paraId="0796C2F8"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-3.9</w:t>
            </w:r>
          </w:p>
        </w:tc>
        <w:tc>
          <w:tcPr>
            <w:tcW w:w="772" w:type="dxa"/>
            <w:tcBorders>
              <w:top w:val="nil"/>
              <w:left w:val="single" w:sz="4" w:space="0" w:color="A6A6A6"/>
              <w:bottom w:val="nil"/>
              <w:right w:val="nil"/>
            </w:tcBorders>
            <w:shd w:val="clear" w:color="000000" w:fill="BFBFBF"/>
            <w:noWrap/>
            <w:vAlign w:val="bottom"/>
            <w:hideMark/>
          </w:tcPr>
          <w:p w14:paraId="3DC25FF6"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0.4</w:t>
            </w:r>
          </w:p>
        </w:tc>
        <w:tc>
          <w:tcPr>
            <w:tcW w:w="851" w:type="dxa"/>
            <w:tcBorders>
              <w:top w:val="nil"/>
              <w:left w:val="nil"/>
              <w:bottom w:val="nil"/>
              <w:right w:val="nil"/>
            </w:tcBorders>
            <w:shd w:val="clear" w:color="000000" w:fill="D9D9D9"/>
            <w:noWrap/>
            <w:vAlign w:val="bottom"/>
            <w:hideMark/>
          </w:tcPr>
          <w:p w14:paraId="64E83F39"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-7.2</w:t>
            </w:r>
          </w:p>
        </w:tc>
        <w:tc>
          <w:tcPr>
            <w:tcW w:w="850" w:type="dxa"/>
            <w:tcBorders>
              <w:top w:val="nil"/>
              <w:left w:val="single" w:sz="4" w:space="0" w:color="A6A6A6"/>
              <w:bottom w:val="nil"/>
              <w:right w:val="nil"/>
            </w:tcBorders>
            <w:shd w:val="clear" w:color="000000" w:fill="D9D9D9"/>
            <w:noWrap/>
            <w:vAlign w:val="bottom"/>
            <w:hideMark/>
          </w:tcPr>
          <w:p w14:paraId="3CCE6C43"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1.1</w:t>
            </w:r>
          </w:p>
        </w:tc>
      </w:tr>
      <w:tr w:rsidR="00FE7323" w:rsidRPr="00B5774B" w14:paraId="2D9FBC69" w14:textId="77777777" w:rsidTr="00124E55">
        <w:trPr>
          <w:trHeight w:val="255"/>
        </w:trPr>
        <w:tc>
          <w:tcPr>
            <w:tcW w:w="2369" w:type="dxa"/>
            <w:vMerge/>
            <w:tcBorders>
              <w:left w:val="nil"/>
              <w:right w:val="nil"/>
            </w:tcBorders>
            <w:shd w:val="clear" w:color="auto" w:fill="auto"/>
          </w:tcPr>
          <w:p w14:paraId="1FD29245" w14:textId="77777777" w:rsidR="00FE7323" w:rsidRPr="00B5774B" w:rsidRDefault="00FE7323" w:rsidP="00B5774B">
            <w:pPr>
              <w:spacing w:after="0" w:line="240" w:lineRule="auto"/>
              <w:rPr>
                <w:rFonts w:ascii="Arial" w:eastAsia="Times New Roman" w:hAnsi="Arial" w:cs="Arial"/>
                <w:b/>
                <w:bCs/>
                <w:color w:val="000000"/>
                <w:sz w:val="20"/>
                <w:szCs w:val="20"/>
              </w:rPr>
            </w:pPr>
          </w:p>
        </w:tc>
        <w:tc>
          <w:tcPr>
            <w:tcW w:w="1317" w:type="dxa"/>
            <w:vMerge/>
            <w:tcBorders>
              <w:top w:val="nil"/>
              <w:left w:val="nil"/>
              <w:bottom w:val="nil"/>
              <w:right w:val="nil"/>
            </w:tcBorders>
            <w:vAlign w:val="center"/>
            <w:hideMark/>
          </w:tcPr>
          <w:p w14:paraId="0ED7C439" w14:textId="32F29889" w:rsidR="00FE7323" w:rsidRPr="00B5774B" w:rsidRDefault="00FE7323" w:rsidP="00B5774B">
            <w:pPr>
              <w:spacing w:after="0" w:line="240" w:lineRule="auto"/>
              <w:rPr>
                <w:rFonts w:ascii="Arial" w:eastAsia="Times New Roman" w:hAnsi="Arial" w:cs="Arial"/>
                <w:b/>
                <w:bCs/>
                <w:color w:val="000000"/>
                <w:sz w:val="20"/>
                <w:szCs w:val="20"/>
              </w:rPr>
            </w:pPr>
          </w:p>
        </w:tc>
        <w:tc>
          <w:tcPr>
            <w:tcW w:w="2126" w:type="dxa"/>
            <w:gridSpan w:val="2"/>
            <w:tcBorders>
              <w:top w:val="nil"/>
              <w:left w:val="nil"/>
              <w:bottom w:val="nil"/>
              <w:right w:val="nil"/>
            </w:tcBorders>
            <w:shd w:val="clear" w:color="000000" w:fill="D9D9D9"/>
            <w:noWrap/>
            <w:vAlign w:val="bottom"/>
            <w:hideMark/>
          </w:tcPr>
          <w:p w14:paraId="068F84B2" w14:textId="77777777" w:rsidR="00FE7323" w:rsidRPr="00B5774B" w:rsidRDefault="00FE7323" w:rsidP="00B5774B">
            <w:pPr>
              <w:spacing w:after="0" w:line="240" w:lineRule="auto"/>
              <w:rPr>
                <w:rFonts w:ascii="Arial" w:eastAsia="Times New Roman" w:hAnsi="Arial" w:cs="Arial"/>
                <w:color w:val="000000"/>
                <w:sz w:val="18"/>
                <w:szCs w:val="18"/>
              </w:rPr>
            </w:pPr>
            <w:r w:rsidRPr="00B5774B">
              <w:rPr>
                <w:rFonts w:ascii="Arial" w:eastAsia="Times New Roman" w:hAnsi="Arial" w:cs="Arial"/>
                <w:color w:val="000000"/>
                <w:sz w:val="18"/>
                <w:szCs w:val="18"/>
              </w:rPr>
              <w:t>Eastern Europe</w:t>
            </w:r>
          </w:p>
        </w:tc>
        <w:tc>
          <w:tcPr>
            <w:tcW w:w="787" w:type="dxa"/>
            <w:tcBorders>
              <w:top w:val="nil"/>
              <w:left w:val="nil"/>
              <w:bottom w:val="nil"/>
              <w:right w:val="nil"/>
            </w:tcBorders>
            <w:shd w:val="clear" w:color="000000" w:fill="BFBFBF"/>
            <w:noWrap/>
            <w:vAlign w:val="bottom"/>
            <w:hideMark/>
          </w:tcPr>
          <w:p w14:paraId="4AE246CD"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-4.4</w:t>
            </w:r>
          </w:p>
        </w:tc>
        <w:tc>
          <w:tcPr>
            <w:tcW w:w="772" w:type="dxa"/>
            <w:tcBorders>
              <w:top w:val="nil"/>
              <w:left w:val="single" w:sz="4" w:space="0" w:color="A6A6A6"/>
              <w:bottom w:val="nil"/>
              <w:right w:val="nil"/>
            </w:tcBorders>
            <w:shd w:val="clear" w:color="000000" w:fill="BFBFBF"/>
            <w:noWrap/>
            <w:vAlign w:val="bottom"/>
            <w:hideMark/>
          </w:tcPr>
          <w:p w14:paraId="65C311C5"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0.7</w:t>
            </w:r>
          </w:p>
        </w:tc>
        <w:tc>
          <w:tcPr>
            <w:tcW w:w="851" w:type="dxa"/>
            <w:tcBorders>
              <w:top w:val="nil"/>
              <w:left w:val="nil"/>
              <w:bottom w:val="nil"/>
              <w:right w:val="nil"/>
            </w:tcBorders>
            <w:shd w:val="clear" w:color="000000" w:fill="D9D9D9"/>
            <w:noWrap/>
            <w:vAlign w:val="bottom"/>
            <w:hideMark/>
          </w:tcPr>
          <w:p w14:paraId="078D909B"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-7.9</w:t>
            </w:r>
          </w:p>
        </w:tc>
        <w:tc>
          <w:tcPr>
            <w:tcW w:w="850" w:type="dxa"/>
            <w:tcBorders>
              <w:top w:val="nil"/>
              <w:left w:val="single" w:sz="4" w:space="0" w:color="A6A6A6"/>
              <w:bottom w:val="nil"/>
              <w:right w:val="nil"/>
            </w:tcBorders>
            <w:shd w:val="clear" w:color="000000" w:fill="D9D9D9"/>
            <w:noWrap/>
            <w:vAlign w:val="bottom"/>
            <w:hideMark/>
          </w:tcPr>
          <w:p w14:paraId="5CF13C36"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1.7</w:t>
            </w:r>
          </w:p>
        </w:tc>
      </w:tr>
      <w:tr w:rsidR="00FE7323" w:rsidRPr="00B5774B" w14:paraId="1E40620B" w14:textId="77777777" w:rsidTr="00124E55">
        <w:trPr>
          <w:trHeight w:val="255"/>
        </w:trPr>
        <w:tc>
          <w:tcPr>
            <w:tcW w:w="2369" w:type="dxa"/>
            <w:vMerge/>
            <w:tcBorders>
              <w:left w:val="nil"/>
              <w:right w:val="nil"/>
            </w:tcBorders>
            <w:shd w:val="clear" w:color="auto" w:fill="auto"/>
          </w:tcPr>
          <w:p w14:paraId="3E06CB13" w14:textId="77777777" w:rsidR="00FE7323" w:rsidRPr="00B5774B" w:rsidRDefault="00FE7323" w:rsidP="00B5774B">
            <w:pPr>
              <w:spacing w:after="0" w:line="240" w:lineRule="auto"/>
              <w:rPr>
                <w:rFonts w:ascii="Arial" w:eastAsia="Times New Roman" w:hAnsi="Arial" w:cs="Arial"/>
                <w:b/>
                <w:bCs/>
                <w:color w:val="000000"/>
                <w:sz w:val="20"/>
                <w:szCs w:val="20"/>
              </w:rPr>
            </w:pPr>
          </w:p>
        </w:tc>
        <w:tc>
          <w:tcPr>
            <w:tcW w:w="1317" w:type="dxa"/>
            <w:vMerge/>
            <w:tcBorders>
              <w:top w:val="nil"/>
              <w:left w:val="nil"/>
              <w:bottom w:val="nil"/>
              <w:right w:val="nil"/>
            </w:tcBorders>
            <w:vAlign w:val="center"/>
            <w:hideMark/>
          </w:tcPr>
          <w:p w14:paraId="640BC4FC" w14:textId="6C421404" w:rsidR="00FE7323" w:rsidRPr="00B5774B" w:rsidRDefault="00FE7323" w:rsidP="00B5774B">
            <w:pPr>
              <w:spacing w:after="0" w:line="240" w:lineRule="auto"/>
              <w:rPr>
                <w:rFonts w:ascii="Arial" w:eastAsia="Times New Roman" w:hAnsi="Arial" w:cs="Arial"/>
                <w:b/>
                <w:bCs/>
                <w:color w:val="000000"/>
                <w:sz w:val="20"/>
                <w:szCs w:val="20"/>
              </w:rPr>
            </w:pPr>
          </w:p>
        </w:tc>
        <w:tc>
          <w:tcPr>
            <w:tcW w:w="1719" w:type="dxa"/>
            <w:tcBorders>
              <w:top w:val="nil"/>
              <w:left w:val="nil"/>
              <w:bottom w:val="nil"/>
              <w:right w:val="nil"/>
            </w:tcBorders>
            <w:shd w:val="clear" w:color="000000" w:fill="D9D9D9"/>
            <w:noWrap/>
            <w:vAlign w:val="bottom"/>
            <w:hideMark/>
          </w:tcPr>
          <w:p w14:paraId="3290E445" w14:textId="77777777" w:rsidR="00FE7323" w:rsidRPr="00B5774B" w:rsidRDefault="00FE7323" w:rsidP="00B5774B">
            <w:pPr>
              <w:spacing w:after="0" w:line="240" w:lineRule="auto"/>
              <w:ind w:firstLineChars="100" w:firstLine="180"/>
              <w:rPr>
                <w:rFonts w:ascii="Arial" w:eastAsia="Times New Roman" w:hAnsi="Arial" w:cs="Arial"/>
                <w:i/>
                <w:iCs/>
                <w:color w:val="000000"/>
                <w:sz w:val="18"/>
                <w:szCs w:val="18"/>
              </w:rPr>
            </w:pPr>
            <w:r w:rsidRPr="00B5774B">
              <w:rPr>
                <w:rFonts w:ascii="Arial" w:eastAsia="Times New Roman" w:hAnsi="Arial" w:cs="Arial"/>
                <w:i/>
                <w:iCs/>
                <w:color w:val="000000"/>
                <w:sz w:val="18"/>
                <w:szCs w:val="18"/>
              </w:rPr>
              <w:t>Average</w:t>
            </w:r>
          </w:p>
        </w:tc>
        <w:tc>
          <w:tcPr>
            <w:tcW w:w="407" w:type="dxa"/>
            <w:tcBorders>
              <w:top w:val="nil"/>
              <w:left w:val="nil"/>
              <w:bottom w:val="nil"/>
              <w:right w:val="nil"/>
            </w:tcBorders>
            <w:shd w:val="clear" w:color="000000" w:fill="D9D9D9"/>
            <w:noWrap/>
            <w:vAlign w:val="bottom"/>
            <w:hideMark/>
          </w:tcPr>
          <w:p w14:paraId="7B91F40B" w14:textId="77777777" w:rsidR="00FE7323" w:rsidRPr="00B5774B" w:rsidRDefault="00FE7323" w:rsidP="00B5774B">
            <w:pPr>
              <w:spacing w:after="0" w:line="240" w:lineRule="auto"/>
              <w:rPr>
                <w:rFonts w:ascii="Arial" w:eastAsia="Times New Roman" w:hAnsi="Arial" w:cs="Arial"/>
                <w:i/>
                <w:iCs/>
                <w:color w:val="000000"/>
                <w:sz w:val="18"/>
                <w:szCs w:val="18"/>
              </w:rPr>
            </w:pPr>
            <w:r w:rsidRPr="00B5774B">
              <w:rPr>
                <w:rFonts w:ascii="Arial" w:eastAsia="Times New Roman" w:hAnsi="Arial" w:cs="Arial"/>
                <w:i/>
                <w:iCs/>
                <w:color w:val="000000"/>
                <w:sz w:val="18"/>
                <w:szCs w:val="18"/>
              </w:rPr>
              <w:t> </w:t>
            </w:r>
          </w:p>
        </w:tc>
        <w:tc>
          <w:tcPr>
            <w:tcW w:w="787" w:type="dxa"/>
            <w:tcBorders>
              <w:top w:val="nil"/>
              <w:left w:val="nil"/>
              <w:bottom w:val="nil"/>
              <w:right w:val="nil"/>
            </w:tcBorders>
            <w:shd w:val="clear" w:color="000000" w:fill="BFBFBF"/>
            <w:noWrap/>
            <w:vAlign w:val="bottom"/>
            <w:hideMark/>
          </w:tcPr>
          <w:p w14:paraId="294C470E"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-3.6</w:t>
            </w:r>
          </w:p>
        </w:tc>
        <w:tc>
          <w:tcPr>
            <w:tcW w:w="772" w:type="dxa"/>
            <w:tcBorders>
              <w:top w:val="nil"/>
              <w:left w:val="single" w:sz="4" w:space="0" w:color="A6A6A6"/>
              <w:bottom w:val="nil"/>
              <w:right w:val="nil"/>
            </w:tcBorders>
            <w:shd w:val="clear" w:color="000000" w:fill="BFBFBF"/>
            <w:noWrap/>
            <w:vAlign w:val="bottom"/>
            <w:hideMark/>
          </w:tcPr>
          <w:p w14:paraId="6E4E9DB4"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0.5</w:t>
            </w:r>
          </w:p>
        </w:tc>
        <w:tc>
          <w:tcPr>
            <w:tcW w:w="851" w:type="dxa"/>
            <w:tcBorders>
              <w:top w:val="nil"/>
              <w:left w:val="nil"/>
              <w:bottom w:val="nil"/>
              <w:right w:val="nil"/>
            </w:tcBorders>
            <w:shd w:val="clear" w:color="000000" w:fill="D9D9D9"/>
            <w:noWrap/>
            <w:vAlign w:val="bottom"/>
            <w:hideMark/>
          </w:tcPr>
          <w:p w14:paraId="5904F661"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-6.6</w:t>
            </w:r>
          </w:p>
        </w:tc>
        <w:tc>
          <w:tcPr>
            <w:tcW w:w="850" w:type="dxa"/>
            <w:tcBorders>
              <w:top w:val="nil"/>
              <w:left w:val="single" w:sz="4" w:space="0" w:color="A6A6A6"/>
              <w:bottom w:val="nil"/>
              <w:right w:val="nil"/>
            </w:tcBorders>
            <w:shd w:val="clear" w:color="000000" w:fill="D9D9D9"/>
            <w:noWrap/>
            <w:vAlign w:val="bottom"/>
            <w:hideMark/>
          </w:tcPr>
          <w:p w14:paraId="2E6CC7F9"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1.3</w:t>
            </w:r>
          </w:p>
        </w:tc>
      </w:tr>
      <w:tr w:rsidR="00FE7323" w:rsidRPr="00B5774B" w14:paraId="33FBF79B" w14:textId="77777777" w:rsidTr="00124E55">
        <w:trPr>
          <w:trHeight w:val="255"/>
        </w:trPr>
        <w:tc>
          <w:tcPr>
            <w:tcW w:w="2369" w:type="dxa"/>
            <w:vMerge/>
            <w:tcBorders>
              <w:left w:val="nil"/>
              <w:right w:val="nil"/>
            </w:tcBorders>
            <w:shd w:val="clear" w:color="auto" w:fill="auto"/>
          </w:tcPr>
          <w:p w14:paraId="6F01E8C4" w14:textId="77777777" w:rsidR="00FE7323" w:rsidRPr="00B5774B" w:rsidRDefault="00FE7323" w:rsidP="00B5774B">
            <w:pPr>
              <w:spacing w:after="0" w:line="240" w:lineRule="auto"/>
              <w:jc w:val="center"/>
              <w:rPr>
                <w:rFonts w:ascii="Arial" w:eastAsia="Times New Roman" w:hAnsi="Arial" w:cs="Arial"/>
                <w:b/>
                <w:bCs/>
                <w:color w:val="000000"/>
                <w:sz w:val="20"/>
                <w:szCs w:val="20"/>
              </w:rPr>
            </w:pPr>
          </w:p>
        </w:tc>
        <w:tc>
          <w:tcPr>
            <w:tcW w:w="1317" w:type="dxa"/>
            <w:vMerge w:val="restart"/>
            <w:tcBorders>
              <w:top w:val="nil"/>
              <w:left w:val="nil"/>
              <w:bottom w:val="nil"/>
              <w:right w:val="nil"/>
            </w:tcBorders>
            <w:shd w:val="clear" w:color="000000" w:fill="BFBFBF"/>
            <w:noWrap/>
            <w:vAlign w:val="center"/>
            <w:hideMark/>
          </w:tcPr>
          <w:p w14:paraId="26FDF785" w14:textId="25A967DA" w:rsidR="00FE7323" w:rsidRPr="00B5774B" w:rsidRDefault="00FE7323" w:rsidP="00B5774B">
            <w:pPr>
              <w:spacing w:after="0" w:line="240" w:lineRule="auto"/>
              <w:jc w:val="center"/>
              <w:rPr>
                <w:rFonts w:ascii="Arial" w:eastAsia="Times New Roman" w:hAnsi="Arial" w:cs="Arial"/>
                <w:b/>
                <w:bCs/>
                <w:color w:val="000000"/>
                <w:sz w:val="20"/>
                <w:szCs w:val="20"/>
              </w:rPr>
            </w:pPr>
            <w:r w:rsidRPr="00B5774B">
              <w:rPr>
                <w:rFonts w:ascii="Arial" w:eastAsia="Times New Roman" w:hAnsi="Arial" w:cs="Arial"/>
                <w:b/>
                <w:bCs/>
                <w:color w:val="000000"/>
                <w:sz w:val="20"/>
                <w:szCs w:val="20"/>
              </w:rPr>
              <w:t>Cold</w:t>
            </w:r>
          </w:p>
        </w:tc>
        <w:tc>
          <w:tcPr>
            <w:tcW w:w="2126" w:type="dxa"/>
            <w:gridSpan w:val="2"/>
            <w:tcBorders>
              <w:top w:val="nil"/>
              <w:left w:val="nil"/>
              <w:bottom w:val="nil"/>
              <w:right w:val="nil"/>
            </w:tcBorders>
            <w:shd w:val="clear" w:color="000000" w:fill="F2F2F2"/>
            <w:noWrap/>
            <w:vAlign w:val="bottom"/>
            <w:hideMark/>
          </w:tcPr>
          <w:p w14:paraId="780D73A4" w14:textId="77777777" w:rsidR="00FE7323" w:rsidRPr="00B5774B" w:rsidRDefault="00FE7323" w:rsidP="00B5774B">
            <w:pPr>
              <w:spacing w:after="0" w:line="240" w:lineRule="auto"/>
              <w:rPr>
                <w:rFonts w:ascii="Arial" w:eastAsia="Times New Roman" w:hAnsi="Arial" w:cs="Arial"/>
                <w:color w:val="000000"/>
                <w:sz w:val="18"/>
                <w:szCs w:val="18"/>
              </w:rPr>
            </w:pPr>
            <w:r w:rsidRPr="00B5774B">
              <w:rPr>
                <w:rFonts w:ascii="Arial" w:eastAsia="Times New Roman" w:hAnsi="Arial" w:cs="Arial"/>
                <w:color w:val="000000"/>
                <w:sz w:val="18"/>
                <w:szCs w:val="18"/>
              </w:rPr>
              <w:t>Northern Europe</w:t>
            </w:r>
          </w:p>
        </w:tc>
        <w:tc>
          <w:tcPr>
            <w:tcW w:w="787" w:type="dxa"/>
            <w:tcBorders>
              <w:top w:val="nil"/>
              <w:left w:val="nil"/>
              <w:bottom w:val="nil"/>
              <w:right w:val="nil"/>
            </w:tcBorders>
            <w:shd w:val="clear" w:color="000000" w:fill="D9D9D9"/>
            <w:noWrap/>
            <w:vAlign w:val="bottom"/>
            <w:hideMark/>
          </w:tcPr>
          <w:p w14:paraId="371A61F9"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-5.7</w:t>
            </w:r>
          </w:p>
        </w:tc>
        <w:tc>
          <w:tcPr>
            <w:tcW w:w="772" w:type="dxa"/>
            <w:tcBorders>
              <w:top w:val="nil"/>
              <w:left w:val="single" w:sz="4" w:space="0" w:color="A6A6A6"/>
              <w:bottom w:val="nil"/>
              <w:right w:val="nil"/>
            </w:tcBorders>
            <w:shd w:val="clear" w:color="000000" w:fill="D9D9D9"/>
            <w:noWrap/>
            <w:vAlign w:val="bottom"/>
            <w:hideMark/>
          </w:tcPr>
          <w:p w14:paraId="0A2D6FFE"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0.1</w:t>
            </w:r>
          </w:p>
        </w:tc>
        <w:tc>
          <w:tcPr>
            <w:tcW w:w="851" w:type="dxa"/>
            <w:tcBorders>
              <w:top w:val="nil"/>
              <w:left w:val="nil"/>
              <w:bottom w:val="nil"/>
              <w:right w:val="nil"/>
            </w:tcBorders>
            <w:shd w:val="clear" w:color="000000" w:fill="F2F2F2"/>
            <w:noWrap/>
            <w:vAlign w:val="bottom"/>
            <w:hideMark/>
          </w:tcPr>
          <w:p w14:paraId="0C2E1148"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-9.4</w:t>
            </w:r>
          </w:p>
        </w:tc>
        <w:tc>
          <w:tcPr>
            <w:tcW w:w="850" w:type="dxa"/>
            <w:tcBorders>
              <w:top w:val="nil"/>
              <w:left w:val="single" w:sz="4" w:space="0" w:color="A6A6A6"/>
              <w:bottom w:val="nil"/>
              <w:right w:val="nil"/>
            </w:tcBorders>
            <w:shd w:val="clear" w:color="000000" w:fill="F2F2F2"/>
            <w:noWrap/>
            <w:vAlign w:val="bottom"/>
            <w:hideMark/>
          </w:tcPr>
          <w:p w14:paraId="5E59BEDC"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0.3</w:t>
            </w:r>
          </w:p>
        </w:tc>
      </w:tr>
      <w:tr w:rsidR="00FE7323" w:rsidRPr="00B5774B" w14:paraId="120071ED" w14:textId="77777777" w:rsidTr="00124E55">
        <w:trPr>
          <w:trHeight w:val="255"/>
        </w:trPr>
        <w:tc>
          <w:tcPr>
            <w:tcW w:w="2369" w:type="dxa"/>
            <w:vMerge/>
            <w:tcBorders>
              <w:left w:val="nil"/>
              <w:bottom w:val="nil"/>
              <w:right w:val="nil"/>
            </w:tcBorders>
            <w:shd w:val="clear" w:color="auto" w:fill="auto"/>
          </w:tcPr>
          <w:p w14:paraId="6799899E" w14:textId="77777777" w:rsidR="00FE7323" w:rsidRPr="00B5774B" w:rsidRDefault="00FE7323" w:rsidP="00B5774B">
            <w:pPr>
              <w:spacing w:after="0" w:line="240" w:lineRule="auto"/>
              <w:rPr>
                <w:rFonts w:ascii="Arial" w:eastAsia="Times New Roman" w:hAnsi="Arial" w:cs="Arial"/>
                <w:b/>
                <w:bCs/>
                <w:color w:val="000000"/>
                <w:sz w:val="20"/>
                <w:szCs w:val="20"/>
              </w:rPr>
            </w:pPr>
          </w:p>
        </w:tc>
        <w:tc>
          <w:tcPr>
            <w:tcW w:w="1317" w:type="dxa"/>
            <w:vMerge/>
            <w:tcBorders>
              <w:top w:val="nil"/>
              <w:left w:val="nil"/>
              <w:bottom w:val="nil"/>
              <w:right w:val="nil"/>
            </w:tcBorders>
            <w:vAlign w:val="center"/>
            <w:hideMark/>
          </w:tcPr>
          <w:p w14:paraId="6456CE8C" w14:textId="374B877D" w:rsidR="00FE7323" w:rsidRPr="00B5774B" w:rsidRDefault="00FE7323" w:rsidP="00B5774B">
            <w:pPr>
              <w:spacing w:after="0" w:line="240" w:lineRule="auto"/>
              <w:rPr>
                <w:rFonts w:ascii="Arial" w:eastAsia="Times New Roman" w:hAnsi="Arial" w:cs="Arial"/>
                <w:b/>
                <w:bCs/>
                <w:color w:val="000000"/>
                <w:sz w:val="20"/>
                <w:szCs w:val="20"/>
              </w:rPr>
            </w:pPr>
          </w:p>
        </w:tc>
        <w:tc>
          <w:tcPr>
            <w:tcW w:w="2126" w:type="dxa"/>
            <w:gridSpan w:val="2"/>
            <w:tcBorders>
              <w:top w:val="nil"/>
              <w:left w:val="nil"/>
              <w:bottom w:val="nil"/>
              <w:right w:val="nil"/>
            </w:tcBorders>
            <w:shd w:val="clear" w:color="000000" w:fill="F2F2F2"/>
            <w:noWrap/>
            <w:vAlign w:val="bottom"/>
            <w:hideMark/>
          </w:tcPr>
          <w:p w14:paraId="713EB782" w14:textId="77777777" w:rsidR="00FE7323" w:rsidRPr="00B5774B" w:rsidRDefault="00FE7323" w:rsidP="00B5774B">
            <w:pPr>
              <w:spacing w:after="0" w:line="240" w:lineRule="auto"/>
              <w:rPr>
                <w:rFonts w:ascii="Arial" w:eastAsia="Times New Roman" w:hAnsi="Arial" w:cs="Arial"/>
                <w:color w:val="000000"/>
                <w:sz w:val="18"/>
                <w:szCs w:val="18"/>
              </w:rPr>
            </w:pPr>
            <w:r w:rsidRPr="00B5774B">
              <w:rPr>
                <w:rFonts w:ascii="Arial" w:eastAsia="Times New Roman" w:hAnsi="Arial" w:cs="Arial"/>
                <w:color w:val="000000"/>
                <w:sz w:val="18"/>
                <w:szCs w:val="18"/>
              </w:rPr>
              <w:t>European Russia</w:t>
            </w:r>
          </w:p>
        </w:tc>
        <w:tc>
          <w:tcPr>
            <w:tcW w:w="787" w:type="dxa"/>
            <w:tcBorders>
              <w:top w:val="nil"/>
              <w:left w:val="nil"/>
              <w:bottom w:val="nil"/>
              <w:right w:val="nil"/>
            </w:tcBorders>
            <w:shd w:val="clear" w:color="000000" w:fill="D9D9D9"/>
            <w:noWrap/>
            <w:vAlign w:val="bottom"/>
            <w:hideMark/>
          </w:tcPr>
          <w:p w14:paraId="0E12F096"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-6.5</w:t>
            </w:r>
          </w:p>
        </w:tc>
        <w:tc>
          <w:tcPr>
            <w:tcW w:w="772" w:type="dxa"/>
            <w:tcBorders>
              <w:top w:val="nil"/>
              <w:left w:val="single" w:sz="4" w:space="0" w:color="A6A6A6"/>
              <w:bottom w:val="nil"/>
              <w:right w:val="nil"/>
            </w:tcBorders>
            <w:shd w:val="clear" w:color="000000" w:fill="D9D9D9"/>
            <w:noWrap/>
            <w:vAlign w:val="bottom"/>
            <w:hideMark/>
          </w:tcPr>
          <w:p w14:paraId="07A475CD"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0.6</w:t>
            </w:r>
          </w:p>
        </w:tc>
        <w:tc>
          <w:tcPr>
            <w:tcW w:w="851" w:type="dxa"/>
            <w:tcBorders>
              <w:top w:val="nil"/>
              <w:left w:val="nil"/>
              <w:bottom w:val="nil"/>
              <w:right w:val="nil"/>
            </w:tcBorders>
            <w:shd w:val="clear" w:color="000000" w:fill="F2F2F2"/>
            <w:noWrap/>
            <w:vAlign w:val="bottom"/>
            <w:hideMark/>
          </w:tcPr>
          <w:p w14:paraId="4B47DBA4"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-10.9</w:t>
            </w:r>
          </w:p>
        </w:tc>
        <w:tc>
          <w:tcPr>
            <w:tcW w:w="850" w:type="dxa"/>
            <w:tcBorders>
              <w:top w:val="nil"/>
              <w:left w:val="single" w:sz="4" w:space="0" w:color="A6A6A6"/>
              <w:bottom w:val="nil"/>
              <w:right w:val="nil"/>
            </w:tcBorders>
            <w:shd w:val="clear" w:color="000000" w:fill="F2F2F2"/>
            <w:noWrap/>
            <w:vAlign w:val="bottom"/>
            <w:hideMark/>
          </w:tcPr>
          <w:p w14:paraId="1EC1F5D3" w14:textId="77777777" w:rsidR="00FE7323" w:rsidRPr="0029076F" w:rsidRDefault="00FE7323" w:rsidP="00B5774B">
            <w:pPr>
              <w:spacing w:after="0" w:line="240" w:lineRule="auto"/>
              <w:jc w:val="right"/>
              <w:rPr>
                <w:rFonts w:ascii="Arial" w:eastAsia="Times New Roman" w:hAnsi="Arial" w:cs="Arial"/>
                <w:color w:val="000000"/>
                <w:sz w:val="18"/>
                <w:szCs w:val="18"/>
              </w:rPr>
            </w:pPr>
            <w:r w:rsidRPr="0029076F">
              <w:rPr>
                <w:rFonts w:ascii="Arial" w:eastAsia="Times New Roman" w:hAnsi="Arial" w:cs="Arial"/>
                <w:color w:val="000000"/>
                <w:sz w:val="18"/>
                <w:szCs w:val="18"/>
              </w:rPr>
              <w:t>1.7</w:t>
            </w:r>
          </w:p>
        </w:tc>
      </w:tr>
      <w:tr w:rsidR="00FE7323" w:rsidRPr="00B5774B" w14:paraId="0FA1AA75" w14:textId="77777777" w:rsidTr="00124E55">
        <w:trPr>
          <w:trHeight w:val="255"/>
        </w:trPr>
        <w:tc>
          <w:tcPr>
            <w:tcW w:w="2369" w:type="dxa"/>
            <w:tcBorders>
              <w:top w:val="nil"/>
              <w:left w:val="nil"/>
              <w:bottom w:val="nil"/>
              <w:right w:val="nil"/>
            </w:tcBorders>
          </w:tcPr>
          <w:p w14:paraId="5171B425" w14:textId="77777777" w:rsidR="00FE7323" w:rsidRPr="00B5774B" w:rsidRDefault="00FE7323" w:rsidP="00B5774B">
            <w:pPr>
              <w:spacing w:after="0" w:line="240" w:lineRule="auto"/>
              <w:rPr>
                <w:rFonts w:ascii="Arial" w:eastAsia="Times New Roman" w:hAnsi="Arial" w:cs="Arial"/>
                <w:b/>
                <w:bCs/>
                <w:color w:val="000000"/>
                <w:sz w:val="20"/>
                <w:szCs w:val="20"/>
              </w:rPr>
            </w:pPr>
          </w:p>
        </w:tc>
        <w:tc>
          <w:tcPr>
            <w:tcW w:w="1317" w:type="dxa"/>
            <w:vMerge/>
            <w:tcBorders>
              <w:top w:val="nil"/>
              <w:left w:val="nil"/>
              <w:bottom w:val="nil"/>
              <w:right w:val="nil"/>
            </w:tcBorders>
            <w:vAlign w:val="center"/>
            <w:hideMark/>
          </w:tcPr>
          <w:p w14:paraId="361F5582" w14:textId="08416FFB" w:rsidR="00FE7323" w:rsidRPr="00B5774B" w:rsidRDefault="00FE7323" w:rsidP="00B5774B">
            <w:pPr>
              <w:spacing w:after="0" w:line="240" w:lineRule="auto"/>
              <w:rPr>
                <w:rFonts w:ascii="Arial" w:eastAsia="Times New Roman" w:hAnsi="Arial" w:cs="Arial"/>
                <w:b/>
                <w:bCs/>
                <w:color w:val="000000"/>
                <w:sz w:val="20"/>
                <w:szCs w:val="20"/>
              </w:rPr>
            </w:pPr>
          </w:p>
        </w:tc>
        <w:tc>
          <w:tcPr>
            <w:tcW w:w="1719" w:type="dxa"/>
            <w:tcBorders>
              <w:top w:val="nil"/>
              <w:left w:val="nil"/>
              <w:bottom w:val="nil"/>
              <w:right w:val="nil"/>
            </w:tcBorders>
            <w:shd w:val="clear" w:color="000000" w:fill="F2F2F2"/>
            <w:noWrap/>
            <w:vAlign w:val="bottom"/>
            <w:hideMark/>
          </w:tcPr>
          <w:p w14:paraId="6B202FD8" w14:textId="77777777" w:rsidR="00FE7323" w:rsidRPr="00B5774B" w:rsidRDefault="00FE7323" w:rsidP="00B5774B">
            <w:pPr>
              <w:spacing w:after="0" w:line="240" w:lineRule="auto"/>
              <w:ind w:firstLineChars="100" w:firstLine="180"/>
              <w:rPr>
                <w:rFonts w:ascii="Arial" w:eastAsia="Times New Roman" w:hAnsi="Arial" w:cs="Arial"/>
                <w:i/>
                <w:iCs/>
                <w:color w:val="000000"/>
                <w:sz w:val="18"/>
                <w:szCs w:val="18"/>
              </w:rPr>
            </w:pPr>
            <w:r w:rsidRPr="00B5774B">
              <w:rPr>
                <w:rFonts w:ascii="Arial" w:eastAsia="Times New Roman" w:hAnsi="Arial" w:cs="Arial"/>
                <w:i/>
                <w:iCs/>
                <w:color w:val="000000"/>
                <w:sz w:val="18"/>
                <w:szCs w:val="18"/>
              </w:rPr>
              <w:t>Average</w:t>
            </w:r>
          </w:p>
        </w:tc>
        <w:tc>
          <w:tcPr>
            <w:tcW w:w="407" w:type="dxa"/>
            <w:tcBorders>
              <w:top w:val="nil"/>
              <w:left w:val="nil"/>
              <w:bottom w:val="nil"/>
              <w:right w:val="nil"/>
            </w:tcBorders>
            <w:shd w:val="clear" w:color="000000" w:fill="F2F2F2"/>
            <w:noWrap/>
            <w:vAlign w:val="bottom"/>
            <w:hideMark/>
          </w:tcPr>
          <w:p w14:paraId="4CD86695" w14:textId="77777777" w:rsidR="00FE7323" w:rsidRPr="00B5774B" w:rsidRDefault="00FE7323" w:rsidP="00B5774B">
            <w:pPr>
              <w:spacing w:after="0" w:line="240" w:lineRule="auto"/>
              <w:rPr>
                <w:rFonts w:ascii="Arial" w:eastAsia="Times New Roman" w:hAnsi="Arial" w:cs="Arial"/>
                <w:i/>
                <w:iCs/>
                <w:color w:val="000000"/>
                <w:sz w:val="18"/>
                <w:szCs w:val="18"/>
              </w:rPr>
            </w:pPr>
            <w:r w:rsidRPr="00B5774B">
              <w:rPr>
                <w:rFonts w:ascii="Arial" w:eastAsia="Times New Roman" w:hAnsi="Arial" w:cs="Arial"/>
                <w:i/>
                <w:iCs/>
                <w:color w:val="000000"/>
                <w:sz w:val="18"/>
                <w:szCs w:val="18"/>
              </w:rPr>
              <w:t> </w:t>
            </w:r>
          </w:p>
        </w:tc>
        <w:tc>
          <w:tcPr>
            <w:tcW w:w="787" w:type="dxa"/>
            <w:tcBorders>
              <w:top w:val="nil"/>
              <w:left w:val="nil"/>
              <w:bottom w:val="nil"/>
              <w:right w:val="nil"/>
            </w:tcBorders>
            <w:shd w:val="clear" w:color="000000" w:fill="D9D9D9"/>
            <w:noWrap/>
            <w:vAlign w:val="bottom"/>
            <w:hideMark/>
          </w:tcPr>
          <w:p w14:paraId="24E43860"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-6.1</w:t>
            </w:r>
          </w:p>
        </w:tc>
        <w:tc>
          <w:tcPr>
            <w:tcW w:w="772" w:type="dxa"/>
            <w:tcBorders>
              <w:top w:val="nil"/>
              <w:left w:val="single" w:sz="4" w:space="0" w:color="A6A6A6"/>
              <w:bottom w:val="nil"/>
              <w:right w:val="nil"/>
            </w:tcBorders>
            <w:shd w:val="clear" w:color="000000" w:fill="D9D9D9"/>
            <w:noWrap/>
            <w:vAlign w:val="bottom"/>
            <w:hideMark/>
          </w:tcPr>
          <w:p w14:paraId="625370F9"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0.4</w:t>
            </w:r>
          </w:p>
        </w:tc>
        <w:tc>
          <w:tcPr>
            <w:tcW w:w="851" w:type="dxa"/>
            <w:tcBorders>
              <w:top w:val="nil"/>
              <w:left w:val="nil"/>
              <w:bottom w:val="nil"/>
              <w:right w:val="nil"/>
            </w:tcBorders>
            <w:shd w:val="clear" w:color="000000" w:fill="F2F2F2"/>
            <w:noWrap/>
            <w:vAlign w:val="bottom"/>
            <w:hideMark/>
          </w:tcPr>
          <w:p w14:paraId="3621DFD7"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-10.2</w:t>
            </w:r>
          </w:p>
        </w:tc>
        <w:tc>
          <w:tcPr>
            <w:tcW w:w="850" w:type="dxa"/>
            <w:tcBorders>
              <w:top w:val="nil"/>
              <w:left w:val="single" w:sz="4" w:space="0" w:color="A6A6A6"/>
              <w:bottom w:val="nil"/>
              <w:right w:val="nil"/>
            </w:tcBorders>
            <w:shd w:val="clear" w:color="000000" w:fill="F2F2F2"/>
            <w:noWrap/>
            <w:vAlign w:val="bottom"/>
            <w:hideMark/>
          </w:tcPr>
          <w:p w14:paraId="4C951DB6" w14:textId="77777777" w:rsidR="00FE7323" w:rsidRPr="0029076F" w:rsidRDefault="00FE7323" w:rsidP="00B5774B">
            <w:pPr>
              <w:spacing w:after="0" w:line="240" w:lineRule="auto"/>
              <w:jc w:val="right"/>
              <w:rPr>
                <w:rFonts w:ascii="Arial" w:eastAsia="Times New Roman" w:hAnsi="Arial" w:cs="Arial"/>
                <w:b/>
                <w:bCs/>
                <w:color w:val="000000"/>
                <w:sz w:val="18"/>
                <w:szCs w:val="18"/>
              </w:rPr>
            </w:pPr>
            <w:r w:rsidRPr="0029076F">
              <w:rPr>
                <w:rFonts w:ascii="Arial" w:eastAsia="Times New Roman" w:hAnsi="Arial" w:cs="Arial"/>
                <w:b/>
                <w:bCs/>
                <w:color w:val="000000"/>
                <w:sz w:val="18"/>
                <w:szCs w:val="18"/>
              </w:rPr>
              <w:t>1.0</w:t>
            </w:r>
          </w:p>
        </w:tc>
      </w:tr>
    </w:tbl>
    <w:p w14:paraId="0A51E753" w14:textId="49C69ABD" w:rsidR="009449BA" w:rsidRDefault="009449BA" w:rsidP="009449BA">
      <w:r>
        <w:lastRenderedPageBreak/>
        <w:t xml:space="preserve">The main issue is matching their </w:t>
      </w:r>
      <w:r w:rsidR="00610BBC">
        <w:t xml:space="preserve">European </w:t>
      </w:r>
      <w:r>
        <w:t>data to our global</w:t>
      </w:r>
      <w:r w:rsidR="0049500D">
        <w:t xml:space="preserve"> GTAP</w:t>
      </w:r>
      <w:r>
        <w:t xml:space="preserve"> </w:t>
      </w:r>
      <w:r w:rsidR="00610BBC">
        <w:t>countr</w:t>
      </w:r>
      <w:r w:rsidR="0049500D">
        <w:t>ies</w:t>
      </w:r>
      <w:r>
        <w:t xml:space="preserve">. </w:t>
      </w:r>
      <w:r w:rsidR="0049500D">
        <w:t>T</w:t>
      </w:r>
      <w:r>
        <w:t>his is</w:t>
      </w:r>
      <w:r w:rsidR="00610BBC">
        <w:t xml:space="preserve"> a</w:t>
      </w:r>
      <w:r>
        <w:t xml:space="preserve"> crude</w:t>
      </w:r>
      <w:r w:rsidR="00610BBC">
        <w:t xml:space="preserve"> process</w:t>
      </w:r>
      <w:r>
        <w:t xml:space="preserve">, but </w:t>
      </w:r>
      <w:r w:rsidR="0049500D">
        <w:t xml:space="preserve">seems acceptable, </w:t>
      </w:r>
      <w:r>
        <w:t xml:space="preserve">given the relatively modest changes, and the discrete format of the building energy use data </w:t>
      </w:r>
      <w:r w:rsidR="0049500D">
        <w:t>we introduce later</w:t>
      </w:r>
      <w:r>
        <w:t>.</w:t>
      </w:r>
    </w:p>
    <w:p w14:paraId="56B441BC" w14:textId="52CDCBA0" w:rsidR="00124E55" w:rsidRDefault="00124E55" w:rsidP="00124E55">
      <w:r>
        <w:t xml:space="preserve">We consider all GTAP </w:t>
      </w:r>
      <w:r w:rsidR="0049500D">
        <w:t>countries</w:t>
      </w:r>
      <w:r>
        <w:t xml:space="preserve"> to lie within one of four climate zones: </w:t>
      </w:r>
      <w:r>
        <w:rPr>
          <w:i/>
          <w:iCs/>
        </w:rPr>
        <w:t>t</w:t>
      </w:r>
      <w:r w:rsidRPr="00881D1C">
        <w:rPr>
          <w:i/>
          <w:iCs/>
        </w:rPr>
        <w:t>ropical</w:t>
      </w:r>
      <w:r>
        <w:t xml:space="preserve">, </w:t>
      </w:r>
      <w:r>
        <w:rPr>
          <w:i/>
          <w:iCs/>
        </w:rPr>
        <w:t>s</w:t>
      </w:r>
      <w:r w:rsidRPr="00881D1C">
        <w:rPr>
          <w:i/>
          <w:iCs/>
        </w:rPr>
        <w:t>ubtropical</w:t>
      </w:r>
      <w:r>
        <w:t xml:space="preserve">, </w:t>
      </w:r>
      <w:r>
        <w:rPr>
          <w:i/>
          <w:iCs/>
        </w:rPr>
        <w:t>t</w:t>
      </w:r>
      <w:r w:rsidRPr="00881D1C">
        <w:rPr>
          <w:i/>
          <w:iCs/>
        </w:rPr>
        <w:t>emperate</w:t>
      </w:r>
      <w:r>
        <w:t xml:space="preserve">, or </w:t>
      </w:r>
      <w:r>
        <w:rPr>
          <w:i/>
          <w:iCs/>
        </w:rPr>
        <w:t>c</w:t>
      </w:r>
      <w:r w:rsidRPr="00881D1C">
        <w:rPr>
          <w:i/>
          <w:iCs/>
        </w:rPr>
        <w:t>old</w:t>
      </w:r>
      <w:r>
        <w:t xml:space="preserve">. For comparison, </w:t>
      </w:r>
      <w:r w:rsidR="0049500D">
        <w:t>other authors</w:t>
      </w:r>
      <w:r w:rsidR="006A2825" w:rsidRPr="006A2825">
        <w:rPr>
          <w:noProof/>
          <w:vertAlign w:val="superscript"/>
        </w:rPr>
        <w:t>6</w:t>
      </w:r>
      <w:r>
        <w:t xml:space="preserve"> </w:t>
      </w:r>
      <w:r w:rsidR="0049500D">
        <w:t xml:space="preserve">have </w:t>
      </w:r>
      <w:r>
        <w:t>use</w:t>
      </w:r>
      <w:r w:rsidR="0049500D">
        <w:t>d</w:t>
      </w:r>
      <w:r>
        <w:t xml:space="preserve"> </w:t>
      </w:r>
      <w:r w:rsidRPr="008F7B99">
        <w:rPr>
          <w:i/>
        </w:rPr>
        <w:t>tropical</w:t>
      </w:r>
      <w:r>
        <w:t xml:space="preserve">, </w:t>
      </w:r>
      <w:r w:rsidRPr="008F7B99">
        <w:rPr>
          <w:i/>
        </w:rPr>
        <w:t>desert</w:t>
      </w:r>
      <w:r>
        <w:t xml:space="preserve">, </w:t>
      </w:r>
      <w:r w:rsidRPr="008F7B99">
        <w:rPr>
          <w:i/>
        </w:rPr>
        <w:t>temperate</w:t>
      </w:r>
      <w:r>
        <w:t xml:space="preserve"> and </w:t>
      </w:r>
      <w:r w:rsidRPr="008F7B99">
        <w:rPr>
          <w:i/>
        </w:rPr>
        <w:t>cold</w:t>
      </w:r>
      <w:r>
        <w:t>. For each climate zone, we assume linear yearly changes in HDDs and CDDs o</w:t>
      </w:r>
      <w:r w:rsidR="0062112F">
        <w:t xml:space="preserve">ut to </w:t>
      </w:r>
      <w:r w:rsidR="00713B39">
        <w:t>2050</w:t>
      </w:r>
      <w:r>
        <w:t xml:space="preserve">. Simple linear trends in CDDs and HDDs are reported by </w:t>
      </w:r>
      <w:proofErr w:type="spellStart"/>
      <w:r w:rsidR="0049500D" w:rsidRPr="0049500D">
        <w:t>Spinoni</w:t>
      </w:r>
      <w:proofErr w:type="spellEnd"/>
      <w:r w:rsidR="0049500D" w:rsidRPr="0049500D">
        <w:t xml:space="preserve"> et al.</w:t>
      </w:r>
      <w:r w:rsidR="006A2825" w:rsidRPr="006A2825">
        <w:rPr>
          <w:noProof/>
          <w:vertAlign w:val="superscript"/>
        </w:rPr>
        <w:t>5</w:t>
      </w:r>
      <w:r>
        <w:t xml:space="preserve"> across Europe, and we take European analogues to represent the four climate zones</w:t>
      </w:r>
      <w:r w:rsidR="0049500D">
        <w:t xml:space="preserve"> before m</w:t>
      </w:r>
      <w:r>
        <w:t xml:space="preserve">atching GTAP regions to </w:t>
      </w:r>
      <w:r w:rsidR="0049500D">
        <w:t xml:space="preserve">these </w:t>
      </w:r>
      <w:r>
        <w:t xml:space="preserve">climate zones </w:t>
      </w:r>
      <w:r w:rsidR="0049500D">
        <w:t>(</w:t>
      </w:r>
      <w:r w:rsidR="00471003">
        <w:t>Table S3</w:t>
      </w:r>
      <w:r w:rsidR="0049500D">
        <w:t>)</w:t>
      </w:r>
      <w:r>
        <w:t xml:space="preserve">. </w:t>
      </w:r>
      <w:r w:rsidR="00895E72">
        <w:t xml:space="preserve">Note that </w:t>
      </w:r>
      <w:r w:rsidR="00115105">
        <w:t xml:space="preserve">for tropical areas </w:t>
      </w:r>
      <w:r w:rsidR="00895E72">
        <w:t xml:space="preserve">our matching is far from ideal </w:t>
      </w:r>
      <w:r w:rsidR="00115105">
        <w:t>–</w:t>
      </w:r>
      <w:r w:rsidR="00895E72">
        <w:t xml:space="preserve"> there are no areas in Europe suitable to use as proxies</w:t>
      </w:r>
      <w:r w:rsidR="00115105">
        <w:t xml:space="preserve"> – </w:t>
      </w:r>
      <w:r w:rsidR="0049500D">
        <w:t>thus</w:t>
      </w:r>
      <w:r w:rsidR="00115105">
        <w:t xml:space="preserve"> we </w:t>
      </w:r>
      <w:r w:rsidR="00895E72">
        <w:t xml:space="preserve">take the areas </w:t>
      </w:r>
      <w:r w:rsidR="00115105">
        <w:t>furthest south</w:t>
      </w:r>
      <w:r w:rsidR="00895E72">
        <w:t>.</w:t>
      </w:r>
    </w:p>
    <w:p w14:paraId="3016BD61" w14:textId="37D9DBD5" w:rsidR="00B4161C" w:rsidRDefault="004B0A36" w:rsidP="00B4161C">
      <w:r>
        <w:t xml:space="preserve">Once HDDs and CDDs are calculated for </w:t>
      </w:r>
      <w:r w:rsidR="00713B39">
        <w:t>2050</w:t>
      </w:r>
      <w:r>
        <w:t xml:space="preserve">, we calculate heating and cooling energy demands. </w:t>
      </w:r>
      <w:r w:rsidR="00AA087F">
        <w:t>W</w:t>
      </w:r>
      <w:r>
        <w:t xml:space="preserve">e use data from the </w:t>
      </w:r>
      <w:r w:rsidRPr="00EE07DD">
        <w:rPr>
          <w:i/>
          <w:iCs/>
        </w:rPr>
        <w:t>Global Building Performance Network</w:t>
      </w:r>
      <w:r>
        <w:t xml:space="preserve"> scenario</w:t>
      </w:r>
      <w:r w:rsidR="00EE07DD">
        <w:t>s</w:t>
      </w:r>
      <w:r w:rsidR="006A2825" w:rsidRPr="006A2825">
        <w:rPr>
          <w:noProof/>
          <w:vertAlign w:val="superscript"/>
        </w:rPr>
        <w:t>7</w:t>
      </w:r>
      <w:r w:rsidR="009B261E">
        <w:t xml:space="preserve"> for final energy for</w:t>
      </w:r>
      <w:r w:rsidR="00F46EAE">
        <w:t xml:space="preserve"> both</w:t>
      </w:r>
      <w:r w:rsidR="009B261E">
        <w:t xml:space="preserve"> space heating and cooling. This is</w:t>
      </w:r>
      <w:r w:rsidR="00EE07DD">
        <w:t xml:space="preserve"> give</w:t>
      </w:r>
      <w:r w:rsidR="009B261E">
        <w:t>n in</w:t>
      </w:r>
      <w:r>
        <w:t xml:space="preserve"> KWh/m</w:t>
      </w:r>
      <w:r w:rsidRPr="004B0A36">
        <w:rPr>
          <w:vertAlign w:val="superscript"/>
        </w:rPr>
        <w:t>2</w:t>
      </w:r>
      <w:r>
        <w:t xml:space="preserve"> </w:t>
      </w:r>
      <w:r w:rsidR="009B261E">
        <w:t xml:space="preserve">for geographical </w:t>
      </w:r>
      <w:r>
        <w:t>regions</w:t>
      </w:r>
      <w:r w:rsidR="00D20205">
        <w:t xml:space="preserve"> (</w:t>
      </w:r>
      <w:r w:rsidR="00D20205" w:rsidRPr="00D20205">
        <w:rPr>
          <w:i/>
          <w:iCs/>
        </w:rPr>
        <w:t>Africa</w:t>
      </w:r>
      <w:r w:rsidR="00D20205">
        <w:t xml:space="preserve">, </w:t>
      </w:r>
      <w:r w:rsidR="00D20205" w:rsidRPr="00D20205">
        <w:rPr>
          <w:i/>
          <w:iCs/>
        </w:rPr>
        <w:t>Eastern Europe</w:t>
      </w:r>
      <w:r w:rsidR="00D20205">
        <w:t xml:space="preserve">, </w:t>
      </w:r>
      <w:r w:rsidR="00D20205" w:rsidRPr="00D20205">
        <w:rPr>
          <w:i/>
          <w:iCs/>
        </w:rPr>
        <w:t>South Asia</w:t>
      </w:r>
      <w:r w:rsidR="00D20205">
        <w:t>, etc.)</w:t>
      </w:r>
      <w:r>
        <w:t xml:space="preserve">, </w:t>
      </w:r>
      <w:r w:rsidR="003E0555">
        <w:t xml:space="preserve">urban and rural buildings, various </w:t>
      </w:r>
      <w:r>
        <w:t>building types</w:t>
      </w:r>
      <w:r w:rsidR="00D20205">
        <w:t xml:space="preserve"> (</w:t>
      </w:r>
      <w:r w:rsidR="00D20205">
        <w:rPr>
          <w:i/>
          <w:iCs/>
        </w:rPr>
        <w:t>single-</w:t>
      </w:r>
      <w:r w:rsidR="00D20205" w:rsidRPr="00D20205">
        <w:rPr>
          <w:i/>
          <w:iCs/>
        </w:rPr>
        <w:t>family</w:t>
      </w:r>
      <w:r w:rsidR="00D20205">
        <w:t xml:space="preserve">, </w:t>
      </w:r>
      <w:r w:rsidR="00D20205" w:rsidRPr="00D20205">
        <w:rPr>
          <w:i/>
          <w:iCs/>
        </w:rPr>
        <w:t>multi-family</w:t>
      </w:r>
      <w:r w:rsidR="00D20205">
        <w:t xml:space="preserve">, </w:t>
      </w:r>
      <w:r w:rsidR="00D20205" w:rsidRPr="00D20205">
        <w:rPr>
          <w:i/>
          <w:iCs/>
        </w:rPr>
        <w:t>hotels</w:t>
      </w:r>
      <w:r w:rsidR="00D20205">
        <w:t xml:space="preserve">, </w:t>
      </w:r>
      <w:r w:rsidR="00D20205" w:rsidRPr="00D20205">
        <w:rPr>
          <w:i/>
          <w:iCs/>
        </w:rPr>
        <w:t>educational</w:t>
      </w:r>
      <w:r w:rsidR="00D20205">
        <w:t>, etc.)</w:t>
      </w:r>
      <w:r>
        <w:t>,</w:t>
      </w:r>
      <w:r w:rsidR="00D20205">
        <w:t xml:space="preserve"> technology standards (</w:t>
      </w:r>
      <w:r w:rsidR="00D20205">
        <w:rPr>
          <w:i/>
          <w:iCs/>
        </w:rPr>
        <w:t>s</w:t>
      </w:r>
      <w:r w:rsidR="00D20205" w:rsidRPr="00D20205">
        <w:rPr>
          <w:i/>
          <w:iCs/>
        </w:rPr>
        <w:t>tandard</w:t>
      </w:r>
      <w:r w:rsidR="00D20205">
        <w:t xml:space="preserve">, </w:t>
      </w:r>
      <w:r w:rsidR="00D20205" w:rsidRPr="00D20205">
        <w:rPr>
          <w:i/>
          <w:iCs/>
        </w:rPr>
        <w:t>advanced new</w:t>
      </w:r>
      <w:r w:rsidR="00D20205">
        <w:t xml:space="preserve">, </w:t>
      </w:r>
      <w:r w:rsidR="00D20205" w:rsidRPr="00D20205">
        <w:rPr>
          <w:i/>
          <w:iCs/>
        </w:rPr>
        <w:t>advanced retrofit</w:t>
      </w:r>
      <w:r w:rsidR="00D20205">
        <w:t>, etc.),</w:t>
      </w:r>
      <w:r>
        <w:t xml:space="preserve"> and </w:t>
      </w:r>
      <w:r w:rsidR="003E0555">
        <w:t xml:space="preserve">discrete </w:t>
      </w:r>
      <w:r w:rsidR="009B261E">
        <w:t>HDD/</w:t>
      </w:r>
      <w:r>
        <w:t>CDD bands</w:t>
      </w:r>
      <w:r w:rsidR="00D20205">
        <w:t xml:space="preserve"> (</w:t>
      </w:r>
      <w:r w:rsidR="00471003">
        <w:t>Table S4</w:t>
      </w:r>
      <w:r w:rsidR="00D20205">
        <w:t>)</w:t>
      </w:r>
      <w:r>
        <w:t>.</w:t>
      </w:r>
      <w:r w:rsidR="00D45202">
        <w:t xml:space="preserve"> These can readily be combined with the floor space per capita values </w:t>
      </w:r>
      <w:r w:rsidR="00F46EAE">
        <w:t xml:space="preserve">described </w:t>
      </w:r>
      <w:r w:rsidR="00D45202">
        <w:t>above.</w:t>
      </w:r>
      <w:r w:rsidR="00B4161C" w:rsidRPr="00B4161C">
        <w:t xml:space="preserve"> </w:t>
      </w:r>
    </w:p>
    <w:p w14:paraId="160EC718" w14:textId="3538EC89" w:rsidR="00B4161C" w:rsidRDefault="00B4161C" w:rsidP="00B4161C">
      <w:r>
        <w:t xml:space="preserve">We’re interested only in the residential buildings with the greatest possible energy-performance. Accordingly, we focus upon </w:t>
      </w:r>
      <w:r>
        <w:rPr>
          <w:i/>
          <w:iCs/>
        </w:rPr>
        <w:t>advanced new</w:t>
      </w:r>
      <w:r>
        <w:t xml:space="preserve"> buildings and use only the data for </w:t>
      </w:r>
      <w:r w:rsidRPr="00B10FFE">
        <w:rPr>
          <w:i/>
          <w:iCs/>
        </w:rPr>
        <w:t>single-family</w:t>
      </w:r>
      <w:r>
        <w:t xml:space="preserve"> buildings for rural areas, and </w:t>
      </w:r>
      <w:r w:rsidRPr="00B10FFE">
        <w:rPr>
          <w:i/>
          <w:iCs/>
        </w:rPr>
        <w:t>multi-family</w:t>
      </w:r>
      <w:r>
        <w:t xml:space="preserve"> for urban areas; urban </w:t>
      </w:r>
      <w:r>
        <w:rPr>
          <w:i/>
          <w:iCs/>
        </w:rPr>
        <w:t>m</w:t>
      </w:r>
      <w:r w:rsidRPr="00B10FFE">
        <w:rPr>
          <w:i/>
          <w:iCs/>
        </w:rPr>
        <w:t>ulti-family</w:t>
      </w:r>
      <w:r>
        <w:t xml:space="preserve"> buildings have lower energy requirements than urban </w:t>
      </w:r>
      <w:r w:rsidRPr="00B10FFE">
        <w:rPr>
          <w:i/>
          <w:iCs/>
        </w:rPr>
        <w:t>single-family</w:t>
      </w:r>
      <w:r>
        <w:t xml:space="preserve"> buildings (by ≈8%), but no data is provided for the former for rural areas.</w:t>
      </w:r>
      <w:r w:rsidR="00D221BA" w:rsidRPr="00D221BA">
        <w:t xml:space="preserve"> </w:t>
      </w:r>
      <w:r w:rsidR="00D221BA">
        <w:t xml:space="preserve">GBPN suggest that </w:t>
      </w:r>
      <w:r w:rsidR="00D221BA">
        <w:rPr>
          <w:i/>
          <w:iCs/>
        </w:rPr>
        <w:t>advanced retrofit</w:t>
      </w:r>
      <w:r w:rsidR="00D221BA">
        <w:t xml:space="preserve"> buildings consume ~20-50% more energy than </w:t>
      </w:r>
      <w:r w:rsidR="00D221BA">
        <w:rPr>
          <w:i/>
          <w:iCs/>
        </w:rPr>
        <w:t>advanced new</w:t>
      </w:r>
      <w:r w:rsidR="00D221BA">
        <w:t xml:space="preserve"> buildings; we use these data in the sensitivity analysis but not our DLE scenario</w:t>
      </w:r>
      <w:r>
        <w:t>.</w:t>
      </w:r>
    </w:p>
    <w:p w14:paraId="06335D6F" w14:textId="6D1EE077" w:rsidR="000B7E8C" w:rsidRPr="00EE07DD" w:rsidRDefault="00471003" w:rsidP="000A5765">
      <w:pPr>
        <w:spacing w:before="400" w:after="60"/>
        <w:rPr>
          <w:i/>
          <w:iCs/>
        </w:rPr>
      </w:pPr>
      <w:r>
        <w:rPr>
          <w:b/>
          <w:bCs/>
          <w:iCs/>
        </w:rPr>
        <w:t>Table S4</w:t>
      </w:r>
      <w:r w:rsidR="000B7E8C" w:rsidRPr="00F8499F">
        <w:rPr>
          <w:b/>
          <w:bCs/>
          <w:iCs/>
        </w:rPr>
        <w:t>:</w:t>
      </w:r>
      <w:r w:rsidR="000B7E8C" w:rsidRPr="00EE07DD">
        <w:rPr>
          <w:i/>
          <w:iCs/>
        </w:rPr>
        <w:t xml:space="preserve"> </w:t>
      </w:r>
      <w:r w:rsidR="000B7E8C">
        <w:rPr>
          <w:i/>
          <w:iCs/>
        </w:rPr>
        <w:t xml:space="preserve"> Input building energy requirement data, calculated from GBPN (2012)</w:t>
      </w:r>
    </w:p>
    <w:tbl>
      <w:tblPr>
        <w:tblW w:w="9011" w:type="dxa"/>
        <w:tblCellMar>
          <w:left w:w="57" w:type="dxa"/>
          <w:right w:w="57" w:type="dxa"/>
        </w:tblCellMar>
        <w:tblLook w:val="04A0" w:firstRow="1" w:lastRow="0" w:firstColumn="1" w:lastColumn="0" w:noHBand="0" w:noVBand="1"/>
      </w:tblPr>
      <w:tblGrid>
        <w:gridCol w:w="4536"/>
        <w:gridCol w:w="1134"/>
        <w:gridCol w:w="851"/>
        <w:gridCol w:w="567"/>
        <w:gridCol w:w="709"/>
        <w:gridCol w:w="567"/>
        <w:gridCol w:w="647"/>
      </w:tblGrid>
      <w:tr w:rsidR="00300D05" w:rsidRPr="00684B51" w14:paraId="352458FC" w14:textId="77777777" w:rsidTr="00B4161C">
        <w:trPr>
          <w:trHeight w:val="255"/>
        </w:trPr>
        <w:tc>
          <w:tcPr>
            <w:tcW w:w="4536" w:type="dxa"/>
            <w:vMerge w:val="restart"/>
            <w:shd w:val="clear" w:color="auto" w:fill="262626" w:themeFill="text1" w:themeFillTint="D9"/>
            <w:noWrap/>
            <w:vAlign w:val="center"/>
          </w:tcPr>
          <w:p w14:paraId="7B941821" w14:textId="77777777" w:rsidR="00300D05" w:rsidRPr="00684B51" w:rsidRDefault="00300D05" w:rsidP="00684B51">
            <w:pPr>
              <w:spacing w:after="0" w:line="240" w:lineRule="auto"/>
              <w:rPr>
                <w:rFonts w:asciiTheme="majorHAnsi" w:eastAsia="Times New Roman" w:hAnsiTheme="majorHAnsi" w:cs="Times New Roman"/>
                <w:sz w:val="21"/>
                <w:szCs w:val="21"/>
              </w:rPr>
            </w:pPr>
            <w:r w:rsidRPr="00300D05">
              <w:rPr>
                <w:rFonts w:asciiTheme="majorHAnsi" w:eastAsia="Times New Roman" w:hAnsiTheme="majorHAnsi" w:cs="Times New Roman"/>
                <w:b/>
                <w:bCs/>
                <w:sz w:val="21"/>
                <w:szCs w:val="21"/>
              </w:rPr>
              <w:t>Heating and cooling description</w:t>
            </w:r>
          </w:p>
        </w:tc>
        <w:tc>
          <w:tcPr>
            <w:tcW w:w="1985" w:type="dxa"/>
            <w:gridSpan w:val="2"/>
            <w:shd w:val="clear" w:color="auto" w:fill="595959" w:themeFill="text1" w:themeFillTint="A6"/>
            <w:noWrap/>
            <w:vAlign w:val="center"/>
          </w:tcPr>
          <w:p w14:paraId="7B6E9BA7" w14:textId="77777777" w:rsidR="00300D05" w:rsidRPr="00300D05" w:rsidRDefault="00300D05" w:rsidP="00300D05">
            <w:pPr>
              <w:spacing w:after="0" w:line="240" w:lineRule="auto"/>
              <w:jc w:val="center"/>
              <w:rPr>
                <w:rFonts w:asciiTheme="majorHAnsi" w:eastAsia="Times New Roman" w:hAnsiTheme="majorHAnsi" w:cs="Arial"/>
                <w:b/>
                <w:bCs/>
                <w:color w:val="FFFFFF" w:themeColor="background1"/>
                <w:sz w:val="21"/>
                <w:szCs w:val="21"/>
              </w:rPr>
            </w:pPr>
            <w:r w:rsidRPr="00300D05">
              <w:rPr>
                <w:rFonts w:asciiTheme="majorHAnsi" w:eastAsia="Times New Roman" w:hAnsiTheme="majorHAnsi" w:cs="Times New Roman"/>
                <w:b/>
                <w:bCs/>
                <w:color w:val="FFFFFF" w:themeColor="background1"/>
                <w:sz w:val="21"/>
                <w:szCs w:val="21"/>
              </w:rPr>
              <w:t xml:space="preserve">Energy use </w:t>
            </w:r>
            <w:r w:rsidRPr="00AA087F">
              <w:rPr>
                <w:rFonts w:asciiTheme="majorHAnsi" w:eastAsia="Times New Roman" w:hAnsiTheme="majorHAnsi" w:cs="Times New Roman"/>
                <w:bCs/>
                <w:color w:val="FFFFFF" w:themeColor="background1"/>
                <w:sz w:val="20"/>
                <w:szCs w:val="21"/>
              </w:rPr>
              <w:t>(KWh/m</w:t>
            </w:r>
            <w:r w:rsidRPr="00AA087F">
              <w:rPr>
                <w:rFonts w:asciiTheme="majorHAnsi" w:eastAsia="Times New Roman" w:hAnsiTheme="majorHAnsi" w:cs="Times New Roman"/>
                <w:bCs/>
                <w:color w:val="FFFFFF" w:themeColor="background1"/>
                <w:sz w:val="20"/>
                <w:szCs w:val="21"/>
                <w:vertAlign w:val="superscript"/>
              </w:rPr>
              <w:t>2</w:t>
            </w:r>
            <w:r w:rsidRPr="00AA087F">
              <w:rPr>
                <w:rFonts w:asciiTheme="majorHAnsi" w:eastAsia="Times New Roman" w:hAnsiTheme="majorHAnsi" w:cs="Times New Roman"/>
                <w:bCs/>
                <w:color w:val="FFFFFF" w:themeColor="background1"/>
                <w:sz w:val="20"/>
                <w:szCs w:val="21"/>
              </w:rPr>
              <w:t>)</w:t>
            </w:r>
          </w:p>
        </w:tc>
        <w:tc>
          <w:tcPr>
            <w:tcW w:w="1276" w:type="dxa"/>
            <w:gridSpan w:val="2"/>
            <w:shd w:val="clear" w:color="auto" w:fill="7F7F7F" w:themeFill="text1" w:themeFillTint="80"/>
            <w:noWrap/>
            <w:vAlign w:val="center"/>
          </w:tcPr>
          <w:p w14:paraId="5D5644A3" w14:textId="77777777" w:rsidR="00300D05" w:rsidRPr="00300D05" w:rsidRDefault="00300D05" w:rsidP="00300D05">
            <w:pPr>
              <w:spacing w:after="0" w:line="240" w:lineRule="auto"/>
              <w:jc w:val="center"/>
              <w:rPr>
                <w:rFonts w:asciiTheme="majorHAnsi" w:eastAsia="Times New Roman" w:hAnsiTheme="majorHAnsi" w:cs="Arial"/>
                <w:b/>
                <w:bCs/>
                <w:color w:val="FFFFFF" w:themeColor="background1"/>
                <w:sz w:val="21"/>
                <w:szCs w:val="21"/>
              </w:rPr>
            </w:pPr>
            <w:r w:rsidRPr="00300D05">
              <w:rPr>
                <w:rFonts w:asciiTheme="majorHAnsi" w:eastAsia="Times New Roman" w:hAnsiTheme="majorHAnsi" w:cs="Arial"/>
                <w:b/>
                <w:bCs/>
                <w:color w:val="FFFFFF" w:themeColor="background1"/>
                <w:sz w:val="21"/>
                <w:szCs w:val="21"/>
              </w:rPr>
              <w:t>CDD</w:t>
            </w:r>
          </w:p>
        </w:tc>
        <w:tc>
          <w:tcPr>
            <w:tcW w:w="1214" w:type="dxa"/>
            <w:gridSpan w:val="2"/>
            <w:shd w:val="clear" w:color="auto" w:fill="595959" w:themeFill="text1" w:themeFillTint="A6"/>
            <w:noWrap/>
            <w:vAlign w:val="center"/>
          </w:tcPr>
          <w:p w14:paraId="5193FB81" w14:textId="77777777" w:rsidR="00300D05" w:rsidRPr="00300D05" w:rsidRDefault="00300D05" w:rsidP="00300D05">
            <w:pPr>
              <w:spacing w:after="0" w:line="240" w:lineRule="auto"/>
              <w:jc w:val="center"/>
              <w:rPr>
                <w:rFonts w:asciiTheme="majorHAnsi" w:eastAsia="Times New Roman" w:hAnsiTheme="majorHAnsi" w:cs="Arial"/>
                <w:b/>
                <w:bCs/>
                <w:color w:val="FFFFFF" w:themeColor="background1"/>
                <w:sz w:val="21"/>
                <w:szCs w:val="21"/>
              </w:rPr>
            </w:pPr>
            <w:r w:rsidRPr="00300D05">
              <w:rPr>
                <w:rFonts w:asciiTheme="majorHAnsi" w:eastAsia="Times New Roman" w:hAnsiTheme="majorHAnsi" w:cs="Arial"/>
                <w:b/>
                <w:bCs/>
                <w:color w:val="FFFFFF" w:themeColor="background1"/>
                <w:sz w:val="21"/>
                <w:szCs w:val="21"/>
              </w:rPr>
              <w:t>HDD</w:t>
            </w:r>
          </w:p>
        </w:tc>
      </w:tr>
      <w:tr w:rsidR="00300D05" w:rsidRPr="00684B51" w14:paraId="57F76F41" w14:textId="77777777" w:rsidTr="00B4161C">
        <w:trPr>
          <w:trHeight w:val="255"/>
        </w:trPr>
        <w:tc>
          <w:tcPr>
            <w:tcW w:w="4536" w:type="dxa"/>
            <w:vMerge/>
            <w:shd w:val="clear" w:color="auto" w:fill="262626" w:themeFill="text1" w:themeFillTint="D9"/>
            <w:noWrap/>
            <w:vAlign w:val="bottom"/>
            <w:hideMark/>
          </w:tcPr>
          <w:p w14:paraId="4E767C36" w14:textId="77777777" w:rsidR="00300D05" w:rsidRPr="00684B51" w:rsidRDefault="00300D05" w:rsidP="00684B51">
            <w:pPr>
              <w:spacing w:after="0" w:line="240" w:lineRule="auto"/>
              <w:rPr>
                <w:rFonts w:asciiTheme="majorHAnsi" w:eastAsia="Times New Roman" w:hAnsiTheme="majorHAnsi" w:cs="Times New Roman"/>
                <w:b/>
                <w:bCs/>
                <w:sz w:val="21"/>
                <w:szCs w:val="21"/>
              </w:rPr>
            </w:pPr>
          </w:p>
        </w:tc>
        <w:tc>
          <w:tcPr>
            <w:tcW w:w="1134" w:type="dxa"/>
            <w:shd w:val="clear" w:color="auto" w:fill="595959" w:themeFill="text1" w:themeFillTint="A6"/>
            <w:noWrap/>
            <w:vAlign w:val="bottom"/>
            <w:hideMark/>
          </w:tcPr>
          <w:p w14:paraId="3287F417" w14:textId="77777777" w:rsidR="00300D05" w:rsidRPr="00684B51" w:rsidRDefault="00300D05" w:rsidP="00300D05">
            <w:pPr>
              <w:spacing w:after="0" w:line="240" w:lineRule="auto"/>
              <w:jc w:val="center"/>
              <w:rPr>
                <w:rFonts w:asciiTheme="majorHAnsi" w:eastAsia="Times New Roman" w:hAnsiTheme="majorHAnsi" w:cs="Arial"/>
                <w:b/>
                <w:bCs/>
                <w:color w:val="FFFFFF" w:themeColor="background1"/>
                <w:sz w:val="21"/>
                <w:szCs w:val="21"/>
              </w:rPr>
            </w:pPr>
            <w:r w:rsidRPr="00684B51">
              <w:rPr>
                <w:rFonts w:asciiTheme="majorHAnsi" w:eastAsia="Times New Roman" w:hAnsiTheme="majorHAnsi" w:cs="Arial"/>
                <w:b/>
                <w:bCs/>
                <w:color w:val="FFFFFF" w:themeColor="background1"/>
                <w:sz w:val="21"/>
                <w:szCs w:val="21"/>
              </w:rPr>
              <w:t>Urban</w:t>
            </w:r>
          </w:p>
        </w:tc>
        <w:tc>
          <w:tcPr>
            <w:tcW w:w="851" w:type="dxa"/>
            <w:shd w:val="clear" w:color="auto" w:fill="595959" w:themeFill="text1" w:themeFillTint="A6"/>
            <w:noWrap/>
            <w:vAlign w:val="bottom"/>
            <w:hideMark/>
          </w:tcPr>
          <w:p w14:paraId="24ABF358" w14:textId="77777777" w:rsidR="00300D05" w:rsidRPr="00684B51" w:rsidRDefault="00300D05" w:rsidP="00300D05">
            <w:pPr>
              <w:spacing w:after="0" w:line="240" w:lineRule="auto"/>
              <w:jc w:val="center"/>
              <w:rPr>
                <w:rFonts w:asciiTheme="majorHAnsi" w:eastAsia="Times New Roman" w:hAnsiTheme="majorHAnsi" w:cs="Arial"/>
                <w:b/>
                <w:bCs/>
                <w:color w:val="FFFFFF" w:themeColor="background1"/>
                <w:sz w:val="21"/>
                <w:szCs w:val="21"/>
              </w:rPr>
            </w:pPr>
            <w:r w:rsidRPr="00684B51">
              <w:rPr>
                <w:rFonts w:asciiTheme="majorHAnsi" w:eastAsia="Times New Roman" w:hAnsiTheme="majorHAnsi" w:cs="Arial"/>
                <w:b/>
                <w:bCs/>
                <w:color w:val="FFFFFF" w:themeColor="background1"/>
                <w:sz w:val="21"/>
                <w:szCs w:val="21"/>
              </w:rPr>
              <w:t>Rural</w:t>
            </w:r>
          </w:p>
        </w:tc>
        <w:tc>
          <w:tcPr>
            <w:tcW w:w="567" w:type="dxa"/>
            <w:shd w:val="clear" w:color="auto" w:fill="7F7F7F" w:themeFill="text1" w:themeFillTint="80"/>
            <w:noWrap/>
            <w:vAlign w:val="bottom"/>
            <w:hideMark/>
          </w:tcPr>
          <w:p w14:paraId="73A33A67" w14:textId="77777777" w:rsidR="00300D05" w:rsidRPr="00684B51" w:rsidRDefault="00300D05" w:rsidP="00300D05">
            <w:pPr>
              <w:spacing w:after="0" w:line="240" w:lineRule="auto"/>
              <w:jc w:val="center"/>
              <w:rPr>
                <w:rFonts w:asciiTheme="majorHAnsi" w:eastAsia="Times New Roman" w:hAnsiTheme="majorHAnsi" w:cs="Arial"/>
                <w:b/>
                <w:bCs/>
                <w:color w:val="000000"/>
                <w:sz w:val="21"/>
                <w:szCs w:val="21"/>
              </w:rPr>
            </w:pPr>
            <w:r w:rsidRPr="00684B51">
              <w:rPr>
                <w:rFonts w:asciiTheme="majorHAnsi" w:eastAsia="Times New Roman" w:hAnsiTheme="majorHAnsi" w:cs="Arial"/>
                <w:b/>
                <w:bCs/>
                <w:color w:val="FFFFFF" w:themeColor="background1"/>
                <w:sz w:val="21"/>
                <w:szCs w:val="21"/>
              </w:rPr>
              <w:t>min</w:t>
            </w:r>
          </w:p>
        </w:tc>
        <w:tc>
          <w:tcPr>
            <w:tcW w:w="709" w:type="dxa"/>
            <w:shd w:val="clear" w:color="auto" w:fill="7F7F7F" w:themeFill="text1" w:themeFillTint="80"/>
            <w:noWrap/>
            <w:vAlign w:val="bottom"/>
            <w:hideMark/>
          </w:tcPr>
          <w:p w14:paraId="58046D8A" w14:textId="77777777" w:rsidR="00300D05" w:rsidRPr="00684B51" w:rsidRDefault="00300D05" w:rsidP="00300D05">
            <w:pPr>
              <w:spacing w:after="0" w:line="240" w:lineRule="auto"/>
              <w:jc w:val="center"/>
              <w:rPr>
                <w:rFonts w:asciiTheme="majorHAnsi" w:eastAsia="Times New Roman" w:hAnsiTheme="majorHAnsi" w:cs="Arial"/>
                <w:b/>
                <w:bCs/>
                <w:color w:val="FFFFFF" w:themeColor="background1"/>
                <w:sz w:val="21"/>
                <w:szCs w:val="21"/>
              </w:rPr>
            </w:pPr>
            <w:r w:rsidRPr="00684B51">
              <w:rPr>
                <w:rFonts w:asciiTheme="majorHAnsi" w:eastAsia="Times New Roman" w:hAnsiTheme="majorHAnsi" w:cs="Arial"/>
                <w:b/>
                <w:bCs/>
                <w:color w:val="FFFFFF" w:themeColor="background1"/>
                <w:sz w:val="21"/>
                <w:szCs w:val="21"/>
              </w:rPr>
              <w:t>max</w:t>
            </w:r>
          </w:p>
        </w:tc>
        <w:tc>
          <w:tcPr>
            <w:tcW w:w="567" w:type="dxa"/>
            <w:shd w:val="clear" w:color="auto" w:fill="595959" w:themeFill="text1" w:themeFillTint="A6"/>
            <w:noWrap/>
            <w:vAlign w:val="bottom"/>
            <w:hideMark/>
          </w:tcPr>
          <w:p w14:paraId="3CEB252B" w14:textId="77777777" w:rsidR="00300D05" w:rsidRPr="00684B51" w:rsidRDefault="00300D05" w:rsidP="00300D05">
            <w:pPr>
              <w:spacing w:after="0" w:line="240" w:lineRule="auto"/>
              <w:jc w:val="center"/>
              <w:rPr>
                <w:rFonts w:asciiTheme="majorHAnsi" w:eastAsia="Times New Roman" w:hAnsiTheme="majorHAnsi" w:cs="Arial"/>
                <w:b/>
                <w:bCs/>
                <w:color w:val="FFFFFF" w:themeColor="background1"/>
                <w:sz w:val="21"/>
                <w:szCs w:val="21"/>
              </w:rPr>
            </w:pPr>
            <w:r w:rsidRPr="00684B51">
              <w:rPr>
                <w:rFonts w:asciiTheme="majorHAnsi" w:eastAsia="Times New Roman" w:hAnsiTheme="majorHAnsi" w:cs="Arial"/>
                <w:b/>
                <w:bCs/>
                <w:color w:val="FFFFFF" w:themeColor="background1"/>
                <w:sz w:val="21"/>
                <w:szCs w:val="21"/>
              </w:rPr>
              <w:t>min</w:t>
            </w:r>
          </w:p>
        </w:tc>
        <w:tc>
          <w:tcPr>
            <w:tcW w:w="647" w:type="dxa"/>
            <w:shd w:val="clear" w:color="auto" w:fill="595959" w:themeFill="text1" w:themeFillTint="A6"/>
            <w:noWrap/>
            <w:vAlign w:val="bottom"/>
            <w:hideMark/>
          </w:tcPr>
          <w:p w14:paraId="23FDBAE3" w14:textId="77777777" w:rsidR="00300D05" w:rsidRPr="00684B51" w:rsidRDefault="00300D05" w:rsidP="00300D05">
            <w:pPr>
              <w:spacing w:after="0" w:line="240" w:lineRule="auto"/>
              <w:jc w:val="center"/>
              <w:rPr>
                <w:rFonts w:asciiTheme="majorHAnsi" w:eastAsia="Times New Roman" w:hAnsiTheme="majorHAnsi" w:cs="Arial"/>
                <w:b/>
                <w:bCs/>
                <w:color w:val="FFFFFF" w:themeColor="background1"/>
                <w:sz w:val="21"/>
                <w:szCs w:val="21"/>
              </w:rPr>
            </w:pPr>
            <w:r w:rsidRPr="00684B51">
              <w:rPr>
                <w:rFonts w:asciiTheme="majorHAnsi" w:eastAsia="Times New Roman" w:hAnsiTheme="majorHAnsi" w:cs="Arial"/>
                <w:b/>
                <w:bCs/>
                <w:color w:val="FFFFFF" w:themeColor="background1"/>
                <w:sz w:val="21"/>
                <w:szCs w:val="21"/>
              </w:rPr>
              <w:t>max</w:t>
            </w:r>
          </w:p>
        </w:tc>
      </w:tr>
      <w:tr w:rsidR="00300D05" w:rsidRPr="00684B51" w14:paraId="2F73A450" w14:textId="77777777" w:rsidTr="00B4161C">
        <w:trPr>
          <w:trHeight w:val="255"/>
        </w:trPr>
        <w:tc>
          <w:tcPr>
            <w:tcW w:w="4536" w:type="dxa"/>
            <w:tcBorders>
              <w:bottom w:val="single" w:sz="4" w:space="0" w:color="A6A6A6" w:themeColor="background1" w:themeShade="A6"/>
            </w:tcBorders>
            <w:shd w:val="clear" w:color="auto" w:fill="BFBFBF" w:themeFill="background1" w:themeFillShade="BF"/>
            <w:noWrap/>
            <w:vAlign w:val="bottom"/>
            <w:hideMark/>
          </w:tcPr>
          <w:p w14:paraId="4A73F3D1" w14:textId="5BBB67D3" w:rsidR="00684B51" w:rsidRPr="00684B51" w:rsidRDefault="00684B51" w:rsidP="00FE7323">
            <w:pPr>
              <w:spacing w:after="0" w:line="240" w:lineRule="auto"/>
              <w:rPr>
                <w:rFonts w:asciiTheme="majorHAnsi" w:eastAsia="Times New Roman" w:hAnsiTheme="majorHAnsi" w:cs="Arial"/>
                <w:color w:val="000000"/>
                <w:sz w:val="21"/>
                <w:szCs w:val="21"/>
              </w:rPr>
            </w:pPr>
            <w:r w:rsidRPr="00103466">
              <w:rPr>
                <w:rFonts w:asciiTheme="majorHAnsi" w:eastAsia="Times New Roman" w:hAnsiTheme="majorHAnsi" w:cs="Arial"/>
                <w:b/>
                <w:bCs/>
                <w:color w:val="000000"/>
                <w:sz w:val="21"/>
                <w:szCs w:val="21"/>
              </w:rPr>
              <w:t>O</w:t>
            </w:r>
            <w:r w:rsidRPr="00684B51">
              <w:rPr>
                <w:rFonts w:asciiTheme="majorHAnsi" w:eastAsia="Times New Roman" w:hAnsiTheme="majorHAnsi" w:cs="Arial"/>
                <w:b/>
                <w:bCs/>
                <w:color w:val="000000"/>
                <w:sz w:val="21"/>
                <w:szCs w:val="21"/>
              </w:rPr>
              <w:t>nly Heating</w:t>
            </w:r>
            <w:r w:rsidRPr="00684B51">
              <w:rPr>
                <w:rFonts w:asciiTheme="majorHAnsi" w:eastAsia="Times New Roman" w:hAnsiTheme="majorHAnsi" w:cs="Arial"/>
                <w:color w:val="000000"/>
                <w:sz w:val="21"/>
                <w:szCs w:val="21"/>
              </w:rPr>
              <w:t xml:space="preserve"> (Very high demand)</w:t>
            </w:r>
          </w:p>
        </w:tc>
        <w:tc>
          <w:tcPr>
            <w:tcW w:w="1134" w:type="dxa"/>
            <w:tcBorders>
              <w:bottom w:val="single" w:sz="4" w:space="0" w:color="BFBFBF" w:themeColor="background1" w:themeShade="BF"/>
            </w:tcBorders>
            <w:shd w:val="clear" w:color="auto" w:fill="D9D9D9" w:themeFill="background1" w:themeFillShade="D9"/>
            <w:noWrap/>
            <w:vAlign w:val="center"/>
            <w:hideMark/>
          </w:tcPr>
          <w:p w14:paraId="5D5D85A5"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15.1</w:t>
            </w:r>
          </w:p>
        </w:tc>
        <w:tc>
          <w:tcPr>
            <w:tcW w:w="851" w:type="dxa"/>
            <w:tcBorders>
              <w:bottom w:val="single" w:sz="4" w:space="0" w:color="BFBFBF" w:themeColor="background1" w:themeShade="BF"/>
            </w:tcBorders>
            <w:shd w:val="clear" w:color="auto" w:fill="D9D9D9" w:themeFill="background1" w:themeFillShade="D9"/>
            <w:noWrap/>
            <w:vAlign w:val="center"/>
            <w:hideMark/>
          </w:tcPr>
          <w:p w14:paraId="67DCFA48"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13.1</w:t>
            </w:r>
          </w:p>
        </w:tc>
        <w:tc>
          <w:tcPr>
            <w:tcW w:w="567" w:type="dxa"/>
            <w:tcBorders>
              <w:bottom w:val="single" w:sz="4" w:space="0" w:color="A6A6A6" w:themeColor="background1" w:themeShade="A6"/>
            </w:tcBorders>
            <w:shd w:val="clear" w:color="auto" w:fill="BFBFBF" w:themeFill="background1" w:themeFillShade="BF"/>
            <w:noWrap/>
            <w:vAlign w:val="center"/>
            <w:hideMark/>
          </w:tcPr>
          <w:p w14:paraId="237A9937"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0</w:t>
            </w:r>
          </w:p>
        </w:tc>
        <w:tc>
          <w:tcPr>
            <w:tcW w:w="709" w:type="dxa"/>
            <w:tcBorders>
              <w:bottom w:val="single" w:sz="4" w:space="0" w:color="A6A6A6" w:themeColor="background1" w:themeShade="A6"/>
            </w:tcBorders>
            <w:shd w:val="clear" w:color="auto" w:fill="BFBFBF" w:themeFill="background1" w:themeFillShade="BF"/>
            <w:noWrap/>
            <w:vAlign w:val="center"/>
            <w:hideMark/>
          </w:tcPr>
          <w:p w14:paraId="31548C87"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567" w:type="dxa"/>
            <w:tcBorders>
              <w:bottom w:val="single" w:sz="4" w:space="0" w:color="BFBFBF" w:themeColor="background1" w:themeShade="BF"/>
            </w:tcBorders>
            <w:shd w:val="clear" w:color="auto" w:fill="D9D9D9" w:themeFill="background1" w:themeFillShade="D9"/>
            <w:noWrap/>
            <w:vAlign w:val="center"/>
            <w:hideMark/>
          </w:tcPr>
          <w:p w14:paraId="139FDDB4"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5000</w:t>
            </w:r>
          </w:p>
        </w:tc>
        <w:tc>
          <w:tcPr>
            <w:tcW w:w="647" w:type="dxa"/>
            <w:tcBorders>
              <w:bottom w:val="single" w:sz="4" w:space="0" w:color="BFBFBF" w:themeColor="background1" w:themeShade="BF"/>
            </w:tcBorders>
            <w:shd w:val="clear" w:color="auto" w:fill="D9D9D9" w:themeFill="background1" w:themeFillShade="D9"/>
            <w:noWrap/>
            <w:vAlign w:val="center"/>
            <w:hideMark/>
          </w:tcPr>
          <w:p w14:paraId="770900E1"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10000</w:t>
            </w:r>
          </w:p>
        </w:tc>
      </w:tr>
      <w:tr w:rsidR="00300D05" w:rsidRPr="00684B51" w14:paraId="59AF6F1C" w14:textId="77777777" w:rsidTr="00B4161C">
        <w:trPr>
          <w:trHeight w:val="255"/>
        </w:trPr>
        <w:tc>
          <w:tcPr>
            <w:tcW w:w="4536" w:type="dxa"/>
            <w:tcBorders>
              <w:top w:val="single" w:sz="4" w:space="0" w:color="A6A6A6" w:themeColor="background1" w:themeShade="A6"/>
              <w:bottom w:val="single" w:sz="4" w:space="0" w:color="A6A6A6" w:themeColor="background1" w:themeShade="A6"/>
            </w:tcBorders>
            <w:shd w:val="clear" w:color="auto" w:fill="BFBFBF" w:themeFill="background1" w:themeFillShade="BF"/>
            <w:noWrap/>
            <w:vAlign w:val="bottom"/>
            <w:hideMark/>
          </w:tcPr>
          <w:p w14:paraId="02734C2F" w14:textId="3F8AEFC8" w:rsidR="00684B51" w:rsidRPr="00684B51" w:rsidRDefault="00684B51" w:rsidP="00FE7323">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Only heating</w:t>
            </w:r>
            <w:r w:rsidRPr="00684B51">
              <w:rPr>
                <w:rFonts w:asciiTheme="majorHAnsi" w:eastAsia="Times New Roman" w:hAnsiTheme="majorHAnsi" w:cs="Arial"/>
                <w:color w:val="000000"/>
                <w:sz w:val="21"/>
                <w:szCs w:val="21"/>
              </w:rPr>
              <w:t xml:space="preserve"> (High demand)</w:t>
            </w:r>
          </w:p>
        </w:tc>
        <w:tc>
          <w:tcPr>
            <w:tcW w:w="1134"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1C3E669E"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14.7</w:t>
            </w:r>
          </w:p>
        </w:tc>
        <w:tc>
          <w:tcPr>
            <w:tcW w:w="851"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20F37014"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12.9</w:t>
            </w:r>
          </w:p>
        </w:tc>
        <w:tc>
          <w:tcPr>
            <w:tcW w:w="567" w:type="dxa"/>
            <w:tcBorders>
              <w:top w:val="single" w:sz="4" w:space="0" w:color="A6A6A6" w:themeColor="background1" w:themeShade="A6"/>
              <w:bottom w:val="single" w:sz="4" w:space="0" w:color="A6A6A6" w:themeColor="background1" w:themeShade="A6"/>
            </w:tcBorders>
            <w:shd w:val="clear" w:color="auto" w:fill="BFBFBF" w:themeFill="background1" w:themeFillShade="BF"/>
            <w:noWrap/>
            <w:vAlign w:val="center"/>
            <w:hideMark/>
          </w:tcPr>
          <w:p w14:paraId="361F6DFB"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0</w:t>
            </w:r>
          </w:p>
        </w:tc>
        <w:tc>
          <w:tcPr>
            <w:tcW w:w="709" w:type="dxa"/>
            <w:tcBorders>
              <w:top w:val="single" w:sz="4" w:space="0" w:color="A6A6A6" w:themeColor="background1" w:themeShade="A6"/>
              <w:bottom w:val="single" w:sz="4" w:space="0" w:color="A6A6A6" w:themeColor="background1" w:themeShade="A6"/>
            </w:tcBorders>
            <w:shd w:val="clear" w:color="auto" w:fill="BFBFBF" w:themeFill="background1" w:themeFillShade="BF"/>
            <w:noWrap/>
            <w:vAlign w:val="center"/>
            <w:hideMark/>
          </w:tcPr>
          <w:p w14:paraId="6ECB114B"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567"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7F6365A6"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3000</w:t>
            </w:r>
          </w:p>
        </w:tc>
        <w:tc>
          <w:tcPr>
            <w:tcW w:w="647"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233F97CE"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5000</w:t>
            </w:r>
          </w:p>
        </w:tc>
      </w:tr>
      <w:tr w:rsidR="00300D05" w:rsidRPr="00684B51" w14:paraId="531F8EE2" w14:textId="77777777" w:rsidTr="00B4161C">
        <w:trPr>
          <w:trHeight w:val="255"/>
        </w:trPr>
        <w:tc>
          <w:tcPr>
            <w:tcW w:w="4536" w:type="dxa"/>
            <w:tcBorders>
              <w:top w:val="single" w:sz="4" w:space="0" w:color="A6A6A6" w:themeColor="background1" w:themeShade="A6"/>
            </w:tcBorders>
            <w:shd w:val="clear" w:color="auto" w:fill="BFBFBF" w:themeFill="background1" w:themeFillShade="BF"/>
            <w:noWrap/>
            <w:vAlign w:val="bottom"/>
            <w:hideMark/>
          </w:tcPr>
          <w:p w14:paraId="3A4664A2" w14:textId="501D953C" w:rsidR="00684B51" w:rsidRPr="00684B51" w:rsidRDefault="00684B51" w:rsidP="00FE7323">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Only Heating</w:t>
            </w:r>
            <w:r w:rsidRPr="00684B51">
              <w:rPr>
                <w:rFonts w:asciiTheme="majorHAnsi" w:eastAsia="Times New Roman" w:hAnsiTheme="majorHAnsi" w:cs="Arial"/>
                <w:color w:val="000000"/>
                <w:sz w:val="21"/>
                <w:szCs w:val="21"/>
              </w:rPr>
              <w:t xml:space="preserve"> (Low </w:t>
            </w:r>
            <w:r w:rsidR="00FE7323">
              <w:rPr>
                <w:rFonts w:asciiTheme="majorHAnsi" w:eastAsia="Times New Roman" w:hAnsiTheme="majorHAnsi" w:cs="Arial"/>
                <w:color w:val="000000"/>
                <w:sz w:val="21"/>
                <w:szCs w:val="21"/>
              </w:rPr>
              <w:t>&amp;</w:t>
            </w:r>
            <w:r w:rsidRPr="00684B51">
              <w:rPr>
                <w:rFonts w:asciiTheme="majorHAnsi" w:eastAsia="Times New Roman" w:hAnsiTheme="majorHAnsi" w:cs="Arial"/>
                <w:color w:val="000000"/>
                <w:sz w:val="21"/>
                <w:szCs w:val="21"/>
              </w:rPr>
              <w:t xml:space="preserve"> moderate demand)</w:t>
            </w:r>
          </w:p>
        </w:tc>
        <w:tc>
          <w:tcPr>
            <w:tcW w:w="1134" w:type="dxa"/>
            <w:tcBorders>
              <w:top w:val="single" w:sz="4" w:space="0" w:color="BFBFBF" w:themeColor="background1" w:themeShade="BF"/>
            </w:tcBorders>
            <w:shd w:val="clear" w:color="auto" w:fill="D9D9D9" w:themeFill="background1" w:themeFillShade="D9"/>
            <w:noWrap/>
            <w:vAlign w:val="center"/>
            <w:hideMark/>
          </w:tcPr>
          <w:p w14:paraId="398F5E10"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12.9</w:t>
            </w:r>
          </w:p>
        </w:tc>
        <w:tc>
          <w:tcPr>
            <w:tcW w:w="851" w:type="dxa"/>
            <w:tcBorders>
              <w:top w:val="single" w:sz="4" w:space="0" w:color="BFBFBF" w:themeColor="background1" w:themeShade="BF"/>
            </w:tcBorders>
            <w:shd w:val="clear" w:color="auto" w:fill="D9D9D9" w:themeFill="background1" w:themeFillShade="D9"/>
            <w:noWrap/>
            <w:vAlign w:val="center"/>
            <w:hideMark/>
          </w:tcPr>
          <w:p w14:paraId="4C186307"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10.4</w:t>
            </w:r>
          </w:p>
        </w:tc>
        <w:tc>
          <w:tcPr>
            <w:tcW w:w="567" w:type="dxa"/>
            <w:tcBorders>
              <w:top w:val="single" w:sz="4" w:space="0" w:color="A6A6A6" w:themeColor="background1" w:themeShade="A6"/>
            </w:tcBorders>
            <w:shd w:val="clear" w:color="auto" w:fill="BFBFBF" w:themeFill="background1" w:themeFillShade="BF"/>
            <w:noWrap/>
            <w:vAlign w:val="center"/>
            <w:hideMark/>
          </w:tcPr>
          <w:p w14:paraId="5E9BEDDD"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0</w:t>
            </w:r>
          </w:p>
        </w:tc>
        <w:tc>
          <w:tcPr>
            <w:tcW w:w="709" w:type="dxa"/>
            <w:tcBorders>
              <w:top w:val="single" w:sz="4" w:space="0" w:color="A6A6A6" w:themeColor="background1" w:themeShade="A6"/>
            </w:tcBorders>
            <w:shd w:val="clear" w:color="auto" w:fill="BFBFBF" w:themeFill="background1" w:themeFillShade="BF"/>
            <w:noWrap/>
            <w:vAlign w:val="center"/>
            <w:hideMark/>
          </w:tcPr>
          <w:p w14:paraId="1F012DD3"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567" w:type="dxa"/>
            <w:tcBorders>
              <w:top w:val="single" w:sz="4" w:space="0" w:color="BFBFBF" w:themeColor="background1" w:themeShade="BF"/>
            </w:tcBorders>
            <w:shd w:val="clear" w:color="auto" w:fill="D9D9D9" w:themeFill="background1" w:themeFillShade="D9"/>
            <w:noWrap/>
            <w:vAlign w:val="center"/>
            <w:hideMark/>
          </w:tcPr>
          <w:p w14:paraId="0B47B8C5"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647" w:type="dxa"/>
            <w:tcBorders>
              <w:top w:val="single" w:sz="4" w:space="0" w:color="BFBFBF" w:themeColor="background1" w:themeShade="BF"/>
            </w:tcBorders>
            <w:shd w:val="clear" w:color="auto" w:fill="D9D9D9" w:themeFill="background1" w:themeFillShade="D9"/>
            <w:noWrap/>
            <w:vAlign w:val="center"/>
            <w:hideMark/>
          </w:tcPr>
          <w:p w14:paraId="59880B1F"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3000</w:t>
            </w:r>
          </w:p>
        </w:tc>
      </w:tr>
      <w:tr w:rsidR="00300D05" w:rsidRPr="00684B51" w14:paraId="64992FC3" w14:textId="77777777" w:rsidTr="00B4161C">
        <w:trPr>
          <w:trHeight w:val="255"/>
        </w:trPr>
        <w:tc>
          <w:tcPr>
            <w:tcW w:w="4536" w:type="dxa"/>
            <w:tcBorders>
              <w:bottom w:val="single" w:sz="4" w:space="0" w:color="A6A6A6" w:themeColor="background1" w:themeShade="A6"/>
            </w:tcBorders>
            <w:shd w:val="clear" w:color="auto" w:fill="D9D9D9" w:themeFill="background1" w:themeFillShade="D9"/>
            <w:noWrap/>
            <w:vAlign w:val="bottom"/>
            <w:hideMark/>
          </w:tcPr>
          <w:p w14:paraId="7CB96025" w14:textId="3034C8E0" w:rsidR="00684B51" w:rsidRPr="00684B51" w:rsidRDefault="00684B51" w:rsidP="00AA087F">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 xml:space="preserve">Heating </w:t>
            </w:r>
            <w:r w:rsidR="00FE7323">
              <w:rPr>
                <w:rFonts w:asciiTheme="majorHAnsi" w:eastAsia="Times New Roman" w:hAnsiTheme="majorHAnsi" w:cs="Arial"/>
                <w:b/>
                <w:bCs/>
                <w:color w:val="000000"/>
                <w:sz w:val="21"/>
                <w:szCs w:val="21"/>
              </w:rPr>
              <w:t>&amp;</w:t>
            </w:r>
            <w:r w:rsidRPr="00684B51">
              <w:rPr>
                <w:rFonts w:asciiTheme="majorHAnsi" w:eastAsia="Times New Roman" w:hAnsiTheme="majorHAnsi" w:cs="Arial"/>
                <w:b/>
                <w:bCs/>
                <w:color w:val="000000"/>
                <w:sz w:val="21"/>
                <w:szCs w:val="21"/>
              </w:rPr>
              <w:t xml:space="preserve"> Cooling</w:t>
            </w:r>
            <w:r w:rsidR="00AA087F">
              <w:rPr>
                <w:rFonts w:asciiTheme="majorHAnsi" w:eastAsia="Times New Roman" w:hAnsiTheme="majorHAnsi" w:cs="Arial"/>
                <w:color w:val="000000"/>
                <w:sz w:val="21"/>
                <w:szCs w:val="21"/>
              </w:rPr>
              <w:t xml:space="preserve"> (</w:t>
            </w:r>
            <w:proofErr w:type="spellStart"/>
            <w:r w:rsidR="00AA087F">
              <w:rPr>
                <w:rFonts w:asciiTheme="majorHAnsi" w:eastAsia="Times New Roman" w:hAnsiTheme="majorHAnsi" w:cs="Arial"/>
                <w:color w:val="000000"/>
                <w:sz w:val="21"/>
                <w:szCs w:val="21"/>
              </w:rPr>
              <w:t>V.</w:t>
            </w:r>
            <w:r w:rsidRPr="00684B51">
              <w:rPr>
                <w:rFonts w:asciiTheme="majorHAnsi" w:eastAsia="Times New Roman" w:hAnsiTheme="majorHAnsi" w:cs="Arial"/>
                <w:color w:val="000000"/>
                <w:sz w:val="21"/>
                <w:szCs w:val="21"/>
              </w:rPr>
              <w:t>high</w:t>
            </w:r>
            <w:proofErr w:type="spellEnd"/>
            <w:r w:rsidRPr="00684B51">
              <w:rPr>
                <w:rFonts w:asciiTheme="majorHAnsi" w:eastAsia="Times New Roman" w:hAnsiTheme="majorHAnsi" w:cs="Arial"/>
                <w:color w:val="000000"/>
                <w:sz w:val="21"/>
                <w:szCs w:val="21"/>
              </w:rPr>
              <w:t xml:space="preserve"> heating demand </w:t>
            </w:r>
            <w:r w:rsidR="00FE7323">
              <w:rPr>
                <w:rFonts w:asciiTheme="majorHAnsi" w:eastAsia="Times New Roman" w:hAnsiTheme="majorHAnsi" w:cs="Arial"/>
                <w:color w:val="000000"/>
                <w:sz w:val="21"/>
                <w:szCs w:val="21"/>
              </w:rPr>
              <w:t>&amp;</w:t>
            </w:r>
            <w:r w:rsidRPr="00684B51">
              <w:rPr>
                <w:rFonts w:asciiTheme="majorHAnsi" w:eastAsia="Times New Roman" w:hAnsiTheme="majorHAnsi" w:cs="Arial"/>
                <w:color w:val="000000"/>
                <w:sz w:val="21"/>
                <w:szCs w:val="21"/>
              </w:rPr>
              <w:t xml:space="preserve"> mostly Low cooling demand)</w:t>
            </w:r>
          </w:p>
        </w:tc>
        <w:tc>
          <w:tcPr>
            <w:tcW w:w="1134" w:type="dxa"/>
            <w:tcBorders>
              <w:bottom w:val="single" w:sz="4" w:space="0" w:color="BFBFBF" w:themeColor="background1" w:themeShade="BF"/>
            </w:tcBorders>
            <w:shd w:val="clear" w:color="auto" w:fill="F2F2F2" w:themeFill="background1" w:themeFillShade="F2"/>
            <w:noWrap/>
            <w:vAlign w:val="center"/>
            <w:hideMark/>
          </w:tcPr>
          <w:p w14:paraId="6EAA68CB"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19.4</w:t>
            </w:r>
          </w:p>
        </w:tc>
        <w:tc>
          <w:tcPr>
            <w:tcW w:w="851" w:type="dxa"/>
            <w:tcBorders>
              <w:bottom w:val="single" w:sz="4" w:space="0" w:color="BFBFBF" w:themeColor="background1" w:themeShade="BF"/>
            </w:tcBorders>
            <w:shd w:val="clear" w:color="auto" w:fill="F2F2F2" w:themeFill="background1" w:themeFillShade="F2"/>
            <w:noWrap/>
            <w:vAlign w:val="center"/>
            <w:hideMark/>
          </w:tcPr>
          <w:p w14:paraId="1A832F9B"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17.0</w:t>
            </w:r>
          </w:p>
        </w:tc>
        <w:tc>
          <w:tcPr>
            <w:tcW w:w="567" w:type="dxa"/>
            <w:tcBorders>
              <w:bottom w:val="single" w:sz="4" w:space="0" w:color="BFBFBF" w:themeColor="background1" w:themeShade="BF"/>
            </w:tcBorders>
            <w:shd w:val="clear" w:color="auto" w:fill="D9D9D9" w:themeFill="background1" w:themeFillShade="D9"/>
            <w:noWrap/>
            <w:vAlign w:val="center"/>
            <w:hideMark/>
          </w:tcPr>
          <w:p w14:paraId="35C60A87"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709" w:type="dxa"/>
            <w:tcBorders>
              <w:bottom w:val="single" w:sz="4" w:space="0" w:color="BFBFBF" w:themeColor="background1" w:themeShade="BF"/>
            </w:tcBorders>
            <w:shd w:val="clear" w:color="auto" w:fill="D9D9D9" w:themeFill="background1" w:themeFillShade="D9"/>
            <w:noWrap/>
            <w:vAlign w:val="center"/>
            <w:hideMark/>
          </w:tcPr>
          <w:p w14:paraId="098E9FE2"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2000</w:t>
            </w:r>
          </w:p>
        </w:tc>
        <w:tc>
          <w:tcPr>
            <w:tcW w:w="567" w:type="dxa"/>
            <w:tcBorders>
              <w:bottom w:val="single" w:sz="4" w:space="0" w:color="BFBFBF" w:themeColor="background1" w:themeShade="BF"/>
            </w:tcBorders>
            <w:shd w:val="clear" w:color="auto" w:fill="F2F2F2" w:themeFill="background1" w:themeFillShade="F2"/>
            <w:noWrap/>
            <w:vAlign w:val="center"/>
            <w:hideMark/>
          </w:tcPr>
          <w:p w14:paraId="3F98557A"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5000</w:t>
            </w:r>
          </w:p>
        </w:tc>
        <w:tc>
          <w:tcPr>
            <w:tcW w:w="647" w:type="dxa"/>
            <w:tcBorders>
              <w:bottom w:val="single" w:sz="4" w:space="0" w:color="BFBFBF" w:themeColor="background1" w:themeShade="BF"/>
            </w:tcBorders>
            <w:shd w:val="clear" w:color="auto" w:fill="F2F2F2" w:themeFill="background1" w:themeFillShade="F2"/>
            <w:noWrap/>
            <w:vAlign w:val="center"/>
            <w:hideMark/>
          </w:tcPr>
          <w:p w14:paraId="521401E3"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10000</w:t>
            </w:r>
          </w:p>
        </w:tc>
      </w:tr>
      <w:tr w:rsidR="00300D05" w:rsidRPr="00684B51" w14:paraId="64AEA3C3" w14:textId="77777777" w:rsidTr="00B4161C">
        <w:trPr>
          <w:trHeight w:val="255"/>
        </w:trPr>
        <w:tc>
          <w:tcPr>
            <w:tcW w:w="453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14:paraId="63CA44EC" w14:textId="6AAA1D28" w:rsidR="00684B51" w:rsidRPr="00684B51" w:rsidRDefault="00684B51" w:rsidP="00300D05">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 xml:space="preserve">Heating </w:t>
            </w:r>
            <w:r w:rsidR="00FE7323">
              <w:rPr>
                <w:rFonts w:asciiTheme="majorHAnsi" w:eastAsia="Times New Roman" w:hAnsiTheme="majorHAnsi" w:cs="Arial"/>
                <w:b/>
                <w:bCs/>
                <w:color w:val="000000"/>
                <w:sz w:val="21"/>
                <w:szCs w:val="21"/>
              </w:rPr>
              <w:t>&amp;</w:t>
            </w:r>
            <w:r w:rsidRPr="00684B51">
              <w:rPr>
                <w:rFonts w:asciiTheme="majorHAnsi" w:eastAsia="Times New Roman" w:hAnsiTheme="majorHAnsi" w:cs="Arial"/>
                <w:b/>
                <w:bCs/>
                <w:color w:val="000000"/>
                <w:sz w:val="21"/>
                <w:szCs w:val="21"/>
              </w:rPr>
              <w:t xml:space="preserve"> Cooling</w:t>
            </w:r>
            <w:r w:rsidRPr="00684B51">
              <w:rPr>
                <w:rFonts w:asciiTheme="majorHAnsi" w:eastAsia="Times New Roman" w:hAnsiTheme="majorHAnsi" w:cs="Arial"/>
                <w:color w:val="000000"/>
                <w:sz w:val="21"/>
                <w:szCs w:val="21"/>
              </w:rPr>
              <w:t xml:space="preserve"> (High heating demand </w:t>
            </w:r>
            <w:r w:rsidR="00FE7323">
              <w:rPr>
                <w:rFonts w:asciiTheme="majorHAnsi" w:eastAsia="Times New Roman" w:hAnsiTheme="majorHAnsi" w:cs="Arial"/>
                <w:color w:val="000000"/>
                <w:sz w:val="21"/>
                <w:szCs w:val="21"/>
              </w:rPr>
              <w:t>&amp;</w:t>
            </w:r>
            <w:r w:rsidRPr="00684B51">
              <w:rPr>
                <w:rFonts w:asciiTheme="majorHAnsi" w:eastAsia="Times New Roman" w:hAnsiTheme="majorHAnsi" w:cs="Arial"/>
                <w:color w:val="000000"/>
                <w:sz w:val="21"/>
                <w:szCs w:val="21"/>
              </w:rPr>
              <w:t xml:space="preserve"> mostly Moderate cooling demand)</w:t>
            </w:r>
          </w:p>
        </w:tc>
        <w:tc>
          <w:tcPr>
            <w:tcW w:w="1134"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61C2FFF4"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17.6</w:t>
            </w:r>
          </w:p>
        </w:tc>
        <w:tc>
          <w:tcPr>
            <w:tcW w:w="851"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10E214E7"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14.1</w:t>
            </w:r>
          </w:p>
        </w:tc>
        <w:tc>
          <w:tcPr>
            <w:tcW w:w="567"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4C488C8D"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2000</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1644E4A0"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3000</w:t>
            </w:r>
          </w:p>
        </w:tc>
        <w:tc>
          <w:tcPr>
            <w:tcW w:w="567"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6C039B13"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3000</w:t>
            </w:r>
          </w:p>
        </w:tc>
        <w:tc>
          <w:tcPr>
            <w:tcW w:w="647"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616116A5"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5000</w:t>
            </w:r>
          </w:p>
        </w:tc>
      </w:tr>
      <w:tr w:rsidR="00300D05" w:rsidRPr="00684B51" w14:paraId="4874A2AF" w14:textId="77777777" w:rsidTr="00B4161C">
        <w:trPr>
          <w:trHeight w:val="255"/>
        </w:trPr>
        <w:tc>
          <w:tcPr>
            <w:tcW w:w="453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14:paraId="1ACD584B" w14:textId="0C9C5263" w:rsidR="00684B51" w:rsidRPr="00684B51" w:rsidRDefault="00684B51" w:rsidP="00300D05">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 xml:space="preserve">Heating </w:t>
            </w:r>
            <w:r w:rsidR="00FE7323">
              <w:rPr>
                <w:rFonts w:asciiTheme="majorHAnsi" w:eastAsia="Times New Roman" w:hAnsiTheme="majorHAnsi" w:cs="Arial"/>
                <w:b/>
                <w:bCs/>
                <w:color w:val="000000"/>
                <w:sz w:val="21"/>
                <w:szCs w:val="21"/>
              </w:rPr>
              <w:t>&amp;</w:t>
            </w:r>
            <w:r w:rsidRPr="00684B51">
              <w:rPr>
                <w:rFonts w:asciiTheme="majorHAnsi" w:eastAsia="Times New Roman" w:hAnsiTheme="majorHAnsi" w:cs="Arial"/>
                <w:b/>
                <w:bCs/>
                <w:color w:val="000000"/>
                <w:sz w:val="21"/>
                <w:szCs w:val="21"/>
              </w:rPr>
              <w:t xml:space="preserve"> Cooling</w:t>
            </w:r>
            <w:r w:rsidRPr="00684B51">
              <w:rPr>
                <w:rFonts w:asciiTheme="majorHAnsi" w:eastAsia="Times New Roman" w:hAnsiTheme="majorHAnsi" w:cs="Arial"/>
                <w:color w:val="000000"/>
                <w:sz w:val="21"/>
                <w:szCs w:val="21"/>
              </w:rPr>
              <w:t xml:space="preserve"> (High heating demand </w:t>
            </w:r>
            <w:r w:rsidR="00FE7323">
              <w:rPr>
                <w:rFonts w:asciiTheme="majorHAnsi" w:eastAsia="Times New Roman" w:hAnsiTheme="majorHAnsi" w:cs="Arial"/>
                <w:color w:val="000000"/>
                <w:sz w:val="21"/>
                <w:szCs w:val="21"/>
              </w:rPr>
              <w:t>&amp;</w:t>
            </w:r>
            <w:r w:rsidRPr="00684B51">
              <w:rPr>
                <w:rFonts w:asciiTheme="majorHAnsi" w:eastAsia="Times New Roman" w:hAnsiTheme="majorHAnsi" w:cs="Arial"/>
                <w:color w:val="000000"/>
                <w:sz w:val="21"/>
                <w:szCs w:val="21"/>
              </w:rPr>
              <w:t xml:space="preserve"> Low cooling demand)</w:t>
            </w:r>
          </w:p>
        </w:tc>
        <w:tc>
          <w:tcPr>
            <w:tcW w:w="1134"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52C0F0AA"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15.1</w:t>
            </w:r>
          </w:p>
        </w:tc>
        <w:tc>
          <w:tcPr>
            <w:tcW w:w="851"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4EDD852B"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13.3</w:t>
            </w:r>
          </w:p>
        </w:tc>
        <w:tc>
          <w:tcPr>
            <w:tcW w:w="567"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234AB38A"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03D684B6"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2000</w:t>
            </w:r>
          </w:p>
        </w:tc>
        <w:tc>
          <w:tcPr>
            <w:tcW w:w="567"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57ADE9D8"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3000</w:t>
            </w:r>
          </w:p>
        </w:tc>
        <w:tc>
          <w:tcPr>
            <w:tcW w:w="647"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45F0F85B"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5000</w:t>
            </w:r>
          </w:p>
        </w:tc>
      </w:tr>
      <w:tr w:rsidR="00300D05" w:rsidRPr="00684B51" w14:paraId="7DB9A3DF" w14:textId="77777777" w:rsidTr="00B4161C">
        <w:trPr>
          <w:trHeight w:val="255"/>
        </w:trPr>
        <w:tc>
          <w:tcPr>
            <w:tcW w:w="453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14:paraId="3D91F56E" w14:textId="37F91A0E" w:rsidR="00684B51" w:rsidRPr="00684B51" w:rsidRDefault="00684B51" w:rsidP="00AA087F">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 xml:space="preserve">Heating </w:t>
            </w:r>
            <w:r w:rsidR="00FE7323">
              <w:rPr>
                <w:rFonts w:asciiTheme="majorHAnsi" w:eastAsia="Times New Roman" w:hAnsiTheme="majorHAnsi" w:cs="Arial"/>
                <w:b/>
                <w:bCs/>
                <w:color w:val="000000"/>
                <w:sz w:val="21"/>
                <w:szCs w:val="21"/>
              </w:rPr>
              <w:t>&amp;</w:t>
            </w:r>
            <w:r w:rsidRPr="00684B51">
              <w:rPr>
                <w:rFonts w:asciiTheme="majorHAnsi" w:eastAsia="Times New Roman" w:hAnsiTheme="majorHAnsi" w:cs="Arial"/>
                <w:b/>
                <w:bCs/>
                <w:color w:val="000000"/>
                <w:sz w:val="21"/>
                <w:szCs w:val="21"/>
              </w:rPr>
              <w:t xml:space="preserve"> Cooling</w:t>
            </w:r>
            <w:r w:rsidRPr="00684B51">
              <w:rPr>
                <w:rFonts w:asciiTheme="majorHAnsi" w:eastAsia="Times New Roman" w:hAnsiTheme="majorHAnsi" w:cs="Arial"/>
                <w:color w:val="000000"/>
                <w:sz w:val="21"/>
                <w:szCs w:val="21"/>
              </w:rPr>
              <w:t xml:space="preserve"> (Moderate heating </w:t>
            </w:r>
            <w:r w:rsidR="00AA087F">
              <w:rPr>
                <w:rFonts w:asciiTheme="majorHAnsi" w:eastAsia="Times New Roman" w:hAnsiTheme="majorHAnsi" w:cs="Arial"/>
                <w:color w:val="000000"/>
                <w:sz w:val="21"/>
                <w:szCs w:val="21"/>
              </w:rPr>
              <w:t xml:space="preserve">&amp; </w:t>
            </w:r>
            <w:r w:rsidRPr="00684B51">
              <w:rPr>
                <w:rFonts w:asciiTheme="majorHAnsi" w:eastAsia="Times New Roman" w:hAnsiTheme="majorHAnsi" w:cs="Arial"/>
                <w:color w:val="000000"/>
                <w:sz w:val="21"/>
                <w:szCs w:val="21"/>
              </w:rPr>
              <w:t>cooling demand)</w:t>
            </w:r>
          </w:p>
        </w:tc>
        <w:tc>
          <w:tcPr>
            <w:tcW w:w="1134"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23815F58"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12.2</w:t>
            </w:r>
          </w:p>
        </w:tc>
        <w:tc>
          <w:tcPr>
            <w:tcW w:w="851"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35337967"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10.6</w:t>
            </w:r>
          </w:p>
        </w:tc>
        <w:tc>
          <w:tcPr>
            <w:tcW w:w="567"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12C5345F"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2000</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3276CCB8"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3000</w:t>
            </w:r>
          </w:p>
        </w:tc>
        <w:tc>
          <w:tcPr>
            <w:tcW w:w="567"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12988F21"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2000</w:t>
            </w:r>
          </w:p>
        </w:tc>
        <w:tc>
          <w:tcPr>
            <w:tcW w:w="647"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01B7A821"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3000</w:t>
            </w:r>
          </w:p>
        </w:tc>
      </w:tr>
      <w:tr w:rsidR="00300D05" w:rsidRPr="00684B51" w14:paraId="48109C1A" w14:textId="77777777" w:rsidTr="00B4161C">
        <w:trPr>
          <w:trHeight w:val="255"/>
        </w:trPr>
        <w:tc>
          <w:tcPr>
            <w:tcW w:w="453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14:paraId="55D09075" w14:textId="20B67CD5" w:rsidR="00684B51" w:rsidRPr="00684B51" w:rsidRDefault="00684B51" w:rsidP="00300D05">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 xml:space="preserve">Heating </w:t>
            </w:r>
            <w:r w:rsidR="00FE7323">
              <w:rPr>
                <w:rFonts w:asciiTheme="majorHAnsi" w:eastAsia="Times New Roman" w:hAnsiTheme="majorHAnsi" w:cs="Arial"/>
                <w:b/>
                <w:bCs/>
                <w:color w:val="000000"/>
                <w:sz w:val="21"/>
                <w:szCs w:val="21"/>
              </w:rPr>
              <w:t>&amp;</w:t>
            </w:r>
            <w:r w:rsidRPr="00684B51">
              <w:rPr>
                <w:rFonts w:asciiTheme="majorHAnsi" w:eastAsia="Times New Roman" w:hAnsiTheme="majorHAnsi" w:cs="Arial"/>
                <w:b/>
                <w:bCs/>
                <w:color w:val="000000"/>
                <w:sz w:val="21"/>
                <w:szCs w:val="21"/>
              </w:rPr>
              <w:t xml:space="preserve"> Cooling</w:t>
            </w:r>
            <w:r w:rsidRPr="00684B51">
              <w:rPr>
                <w:rFonts w:asciiTheme="majorHAnsi" w:eastAsia="Times New Roman" w:hAnsiTheme="majorHAnsi" w:cs="Arial"/>
                <w:color w:val="000000"/>
                <w:sz w:val="21"/>
                <w:szCs w:val="21"/>
              </w:rPr>
              <w:t xml:space="preserve"> (Moderate heating demand </w:t>
            </w:r>
            <w:r w:rsidR="00FE7323">
              <w:rPr>
                <w:rFonts w:asciiTheme="majorHAnsi" w:eastAsia="Times New Roman" w:hAnsiTheme="majorHAnsi" w:cs="Arial"/>
                <w:color w:val="000000"/>
                <w:sz w:val="21"/>
                <w:szCs w:val="21"/>
              </w:rPr>
              <w:t>&amp;</w:t>
            </w:r>
            <w:r w:rsidRPr="00684B51">
              <w:rPr>
                <w:rFonts w:asciiTheme="majorHAnsi" w:eastAsia="Times New Roman" w:hAnsiTheme="majorHAnsi" w:cs="Arial"/>
                <w:color w:val="000000"/>
                <w:sz w:val="21"/>
                <w:szCs w:val="21"/>
              </w:rPr>
              <w:t xml:space="preserve"> Low cooling demand)</w:t>
            </w:r>
          </w:p>
        </w:tc>
        <w:tc>
          <w:tcPr>
            <w:tcW w:w="1134"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3D42BF62"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14.0</w:t>
            </w:r>
          </w:p>
        </w:tc>
        <w:tc>
          <w:tcPr>
            <w:tcW w:w="851"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44B4D523"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12.0</w:t>
            </w:r>
          </w:p>
        </w:tc>
        <w:tc>
          <w:tcPr>
            <w:tcW w:w="567"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686184F1"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0035FA9B"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2000</w:t>
            </w:r>
          </w:p>
        </w:tc>
        <w:tc>
          <w:tcPr>
            <w:tcW w:w="567"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31DBB2BF"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2000</w:t>
            </w:r>
          </w:p>
        </w:tc>
        <w:tc>
          <w:tcPr>
            <w:tcW w:w="647"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54652A32"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3000</w:t>
            </w:r>
          </w:p>
        </w:tc>
      </w:tr>
      <w:tr w:rsidR="00300D05" w:rsidRPr="00684B51" w14:paraId="15EE9965" w14:textId="77777777" w:rsidTr="00B4161C">
        <w:trPr>
          <w:trHeight w:val="255"/>
        </w:trPr>
        <w:tc>
          <w:tcPr>
            <w:tcW w:w="453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14:paraId="4041666A" w14:textId="347B3467" w:rsidR="00684B51" w:rsidRPr="00684B51" w:rsidRDefault="00684B51" w:rsidP="00300D05">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 xml:space="preserve">Heating </w:t>
            </w:r>
            <w:r w:rsidR="00FE7323">
              <w:rPr>
                <w:rFonts w:asciiTheme="majorHAnsi" w:eastAsia="Times New Roman" w:hAnsiTheme="majorHAnsi" w:cs="Arial"/>
                <w:b/>
                <w:bCs/>
                <w:color w:val="000000"/>
                <w:sz w:val="21"/>
                <w:szCs w:val="21"/>
              </w:rPr>
              <w:t>&amp;</w:t>
            </w:r>
            <w:r w:rsidRPr="00684B51">
              <w:rPr>
                <w:rFonts w:asciiTheme="majorHAnsi" w:eastAsia="Times New Roman" w:hAnsiTheme="majorHAnsi" w:cs="Arial"/>
                <w:b/>
                <w:bCs/>
                <w:color w:val="000000"/>
                <w:sz w:val="21"/>
                <w:szCs w:val="21"/>
              </w:rPr>
              <w:t xml:space="preserve"> Cooling</w:t>
            </w:r>
            <w:r w:rsidRPr="00684B51">
              <w:rPr>
                <w:rFonts w:asciiTheme="majorHAnsi" w:eastAsia="Times New Roman" w:hAnsiTheme="majorHAnsi" w:cs="Arial"/>
                <w:color w:val="000000"/>
                <w:sz w:val="21"/>
                <w:szCs w:val="21"/>
              </w:rPr>
              <w:t xml:space="preserve"> (Low heating demand </w:t>
            </w:r>
            <w:r w:rsidR="00FE7323">
              <w:rPr>
                <w:rFonts w:asciiTheme="majorHAnsi" w:eastAsia="Times New Roman" w:hAnsiTheme="majorHAnsi" w:cs="Arial"/>
                <w:color w:val="000000"/>
                <w:sz w:val="21"/>
                <w:szCs w:val="21"/>
              </w:rPr>
              <w:t>&amp;</w:t>
            </w:r>
            <w:r w:rsidRPr="00684B51">
              <w:rPr>
                <w:rFonts w:asciiTheme="majorHAnsi" w:eastAsia="Times New Roman" w:hAnsiTheme="majorHAnsi" w:cs="Arial"/>
                <w:color w:val="000000"/>
                <w:sz w:val="21"/>
                <w:szCs w:val="21"/>
              </w:rPr>
              <w:t xml:space="preserve"> Moderate cooling demand)</w:t>
            </w:r>
          </w:p>
        </w:tc>
        <w:tc>
          <w:tcPr>
            <w:tcW w:w="1134"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2802C999"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12.8</w:t>
            </w:r>
          </w:p>
        </w:tc>
        <w:tc>
          <w:tcPr>
            <w:tcW w:w="851"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0DFCCB4D"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10.7</w:t>
            </w:r>
          </w:p>
        </w:tc>
        <w:tc>
          <w:tcPr>
            <w:tcW w:w="567"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360FFED9"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2000</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1EB09550"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3000</w:t>
            </w:r>
          </w:p>
        </w:tc>
        <w:tc>
          <w:tcPr>
            <w:tcW w:w="567"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775CE6AA"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647"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420A0856"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2000</w:t>
            </w:r>
          </w:p>
        </w:tc>
      </w:tr>
      <w:tr w:rsidR="00300D05" w:rsidRPr="00684B51" w14:paraId="73818913" w14:textId="77777777" w:rsidTr="00B4161C">
        <w:trPr>
          <w:trHeight w:val="255"/>
        </w:trPr>
        <w:tc>
          <w:tcPr>
            <w:tcW w:w="4536" w:type="dxa"/>
            <w:tcBorders>
              <w:top w:val="single" w:sz="4" w:space="0" w:color="A6A6A6" w:themeColor="background1" w:themeShade="A6"/>
            </w:tcBorders>
            <w:shd w:val="clear" w:color="auto" w:fill="D9D9D9" w:themeFill="background1" w:themeFillShade="D9"/>
            <w:noWrap/>
            <w:vAlign w:val="bottom"/>
            <w:hideMark/>
          </w:tcPr>
          <w:p w14:paraId="7D7F7C79" w14:textId="5AEC387C" w:rsidR="00684B51" w:rsidRPr="00684B51" w:rsidRDefault="00684B51" w:rsidP="00AA087F">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 xml:space="preserve">Heating </w:t>
            </w:r>
            <w:r w:rsidR="00FE7323">
              <w:rPr>
                <w:rFonts w:asciiTheme="majorHAnsi" w:eastAsia="Times New Roman" w:hAnsiTheme="majorHAnsi" w:cs="Arial"/>
                <w:b/>
                <w:bCs/>
                <w:color w:val="000000"/>
                <w:sz w:val="21"/>
                <w:szCs w:val="21"/>
              </w:rPr>
              <w:t>&amp;</w:t>
            </w:r>
            <w:r w:rsidRPr="00684B51">
              <w:rPr>
                <w:rFonts w:asciiTheme="majorHAnsi" w:eastAsia="Times New Roman" w:hAnsiTheme="majorHAnsi" w:cs="Arial"/>
                <w:b/>
                <w:bCs/>
                <w:color w:val="000000"/>
                <w:sz w:val="21"/>
                <w:szCs w:val="21"/>
              </w:rPr>
              <w:t xml:space="preserve"> Cooling</w:t>
            </w:r>
            <w:r w:rsidR="00AA087F">
              <w:rPr>
                <w:rFonts w:asciiTheme="majorHAnsi" w:eastAsia="Times New Roman" w:hAnsiTheme="majorHAnsi" w:cs="Arial"/>
                <w:color w:val="000000"/>
                <w:sz w:val="21"/>
                <w:szCs w:val="21"/>
              </w:rPr>
              <w:t xml:space="preserve"> (Low </w:t>
            </w:r>
            <w:r w:rsidRPr="00684B51">
              <w:rPr>
                <w:rFonts w:asciiTheme="majorHAnsi" w:eastAsia="Times New Roman" w:hAnsiTheme="majorHAnsi" w:cs="Arial"/>
                <w:color w:val="000000"/>
                <w:sz w:val="21"/>
                <w:szCs w:val="21"/>
              </w:rPr>
              <w:t xml:space="preserve">heating </w:t>
            </w:r>
            <w:r w:rsidR="00FE7323">
              <w:rPr>
                <w:rFonts w:asciiTheme="majorHAnsi" w:eastAsia="Times New Roman" w:hAnsiTheme="majorHAnsi" w:cs="Arial"/>
                <w:color w:val="000000"/>
                <w:sz w:val="21"/>
                <w:szCs w:val="21"/>
              </w:rPr>
              <w:t>&amp;</w:t>
            </w:r>
            <w:r w:rsidRPr="00684B51">
              <w:rPr>
                <w:rFonts w:asciiTheme="majorHAnsi" w:eastAsia="Times New Roman" w:hAnsiTheme="majorHAnsi" w:cs="Arial"/>
                <w:color w:val="000000"/>
                <w:sz w:val="21"/>
                <w:szCs w:val="21"/>
              </w:rPr>
              <w:t xml:space="preserve"> cooling demand)</w:t>
            </w:r>
          </w:p>
        </w:tc>
        <w:tc>
          <w:tcPr>
            <w:tcW w:w="1134" w:type="dxa"/>
            <w:tcBorders>
              <w:top w:val="single" w:sz="4" w:space="0" w:color="BFBFBF" w:themeColor="background1" w:themeShade="BF"/>
            </w:tcBorders>
            <w:shd w:val="clear" w:color="auto" w:fill="F2F2F2" w:themeFill="background1" w:themeFillShade="F2"/>
            <w:noWrap/>
            <w:vAlign w:val="center"/>
            <w:hideMark/>
          </w:tcPr>
          <w:p w14:paraId="1ED7246C"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11.8</w:t>
            </w:r>
          </w:p>
        </w:tc>
        <w:tc>
          <w:tcPr>
            <w:tcW w:w="851" w:type="dxa"/>
            <w:tcBorders>
              <w:top w:val="single" w:sz="4" w:space="0" w:color="BFBFBF" w:themeColor="background1" w:themeShade="BF"/>
            </w:tcBorders>
            <w:shd w:val="clear" w:color="auto" w:fill="F2F2F2" w:themeFill="background1" w:themeFillShade="F2"/>
            <w:noWrap/>
            <w:vAlign w:val="center"/>
            <w:hideMark/>
          </w:tcPr>
          <w:p w14:paraId="3E9CFD74"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10.5</w:t>
            </w:r>
          </w:p>
        </w:tc>
        <w:tc>
          <w:tcPr>
            <w:tcW w:w="567" w:type="dxa"/>
            <w:tcBorders>
              <w:top w:val="single" w:sz="4" w:space="0" w:color="BFBFBF" w:themeColor="background1" w:themeShade="BF"/>
            </w:tcBorders>
            <w:shd w:val="clear" w:color="auto" w:fill="D9D9D9" w:themeFill="background1" w:themeFillShade="D9"/>
            <w:noWrap/>
            <w:vAlign w:val="center"/>
            <w:hideMark/>
          </w:tcPr>
          <w:p w14:paraId="27B42A27"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709" w:type="dxa"/>
            <w:tcBorders>
              <w:top w:val="single" w:sz="4" w:space="0" w:color="BFBFBF" w:themeColor="background1" w:themeShade="BF"/>
            </w:tcBorders>
            <w:shd w:val="clear" w:color="auto" w:fill="D9D9D9" w:themeFill="background1" w:themeFillShade="D9"/>
            <w:noWrap/>
            <w:vAlign w:val="center"/>
            <w:hideMark/>
          </w:tcPr>
          <w:p w14:paraId="45C1D9EF"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2000</w:t>
            </w:r>
          </w:p>
        </w:tc>
        <w:tc>
          <w:tcPr>
            <w:tcW w:w="567" w:type="dxa"/>
            <w:tcBorders>
              <w:top w:val="single" w:sz="4" w:space="0" w:color="BFBFBF" w:themeColor="background1" w:themeShade="BF"/>
            </w:tcBorders>
            <w:shd w:val="clear" w:color="auto" w:fill="F2F2F2" w:themeFill="background1" w:themeFillShade="F2"/>
            <w:noWrap/>
            <w:vAlign w:val="center"/>
            <w:hideMark/>
          </w:tcPr>
          <w:p w14:paraId="38D26F68"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647" w:type="dxa"/>
            <w:tcBorders>
              <w:top w:val="single" w:sz="4" w:space="0" w:color="BFBFBF" w:themeColor="background1" w:themeShade="BF"/>
            </w:tcBorders>
            <w:shd w:val="clear" w:color="auto" w:fill="F2F2F2" w:themeFill="background1" w:themeFillShade="F2"/>
            <w:noWrap/>
            <w:vAlign w:val="center"/>
            <w:hideMark/>
          </w:tcPr>
          <w:p w14:paraId="7C08AA7D"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2000</w:t>
            </w:r>
          </w:p>
        </w:tc>
      </w:tr>
      <w:tr w:rsidR="00300D05" w:rsidRPr="00684B51" w14:paraId="0DA65363" w14:textId="77777777" w:rsidTr="00B4161C">
        <w:trPr>
          <w:trHeight w:val="255"/>
        </w:trPr>
        <w:tc>
          <w:tcPr>
            <w:tcW w:w="4536" w:type="dxa"/>
            <w:tcBorders>
              <w:bottom w:val="single" w:sz="4" w:space="0" w:color="A6A6A6" w:themeColor="background1" w:themeShade="A6"/>
            </w:tcBorders>
            <w:shd w:val="clear" w:color="auto" w:fill="BFBFBF" w:themeFill="background1" w:themeFillShade="BF"/>
            <w:noWrap/>
            <w:vAlign w:val="bottom"/>
            <w:hideMark/>
          </w:tcPr>
          <w:p w14:paraId="4B748DEB" w14:textId="19F306E0" w:rsidR="00684B51" w:rsidRPr="00684B51" w:rsidRDefault="00684B51" w:rsidP="00FE7323">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Only Cooling</w:t>
            </w:r>
            <w:r w:rsidRPr="00684B51">
              <w:rPr>
                <w:rFonts w:asciiTheme="majorHAnsi" w:eastAsia="Times New Roman" w:hAnsiTheme="majorHAnsi" w:cs="Arial"/>
                <w:color w:val="000000"/>
                <w:sz w:val="21"/>
                <w:szCs w:val="21"/>
              </w:rPr>
              <w:t xml:space="preserve"> (Very high demand)  </w:t>
            </w:r>
          </w:p>
        </w:tc>
        <w:tc>
          <w:tcPr>
            <w:tcW w:w="1134" w:type="dxa"/>
            <w:tcBorders>
              <w:bottom w:val="single" w:sz="4" w:space="0" w:color="BFBFBF" w:themeColor="background1" w:themeShade="BF"/>
            </w:tcBorders>
            <w:shd w:val="clear" w:color="auto" w:fill="D9D9D9" w:themeFill="background1" w:themeFillShade="D9"/>
            <w:noWrap/>
            <w:vAlign w:val="center"/>
            <w:hideMark/>
          </w:tcPr>
          <w:p w14:paraId="51755F7D"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15.3</w:t>
            </w:r>
          </w:p>
        </w:tc>
        <w:tc>
          <w:tcPr>
            <w:tcW w:w="851" w:type="dxa"/>
            <w:tcBorders>
              <w:bottom w:val="single" w:sz="4" w:space="0" w:color="BFBFBF" w:themeColor="background1" w:themeShade="BF"/>
            </w:tcBorders>
            <w:shd w:val="clear" w:color="auto" w:fill="D9D9D9" w:themeFill="background1" w:themeFillShade="D9"/>
            <w:noWrap/>
            <w:vAlign w:val="center"/>
            <w:hideMark/>
          </w:tcPr>
          <w:p w14:paraId="1EDD2690"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11.4</w:t>
            </w:r>
          </w:p>
        </w:tc>
        <w:tc>
          <w:tcPr>
            <w:tcW w:w="567" w:type="dxa"/>
            <w:tcBorders>
              <w:bottom w:val="single" w:sz="4" w:space="0" w:color="A6A6A6" w:themeColor="background1" w:themeShade="A6"/>
            </w:tcBorders>
            <w:shd w:val="clear" w:color="auto" w:fill="BFBFBF" w:themeFill="background1" w:themeFillShade="BF"/>
            <w:noWrap/>
            <w:vAlign w:val="center"/>
            <w:hideMark/>
          </w:tcPr>
          <w:p w14:paraId="251D2839"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5000</w:t>
            </w:r>
          </w:p>
        </w:tc>
        <w:tc>
          <w:tcPr>
            <w:tcW w:w="709" w:type="dxa"/>
            <w:tcBorders>
              <w:bottom w:val="single" w:sz="4" w:space="0" w:color="A6A6A6" w:themeColor="background1" w:themeShade="A6"/>
            </w:tcBorders>
            <w:shd w:val="clear" w:color="auto" w:fill="BFBFBF" w:themeFill="background1" w:themeFillShade="BF"/>
            <w:noWrap/>
            <w:vAlign w:val="center"/>
            <w:hideMark/>
          </w:tcPr>
          <w:p w14:paraId="6A9CD83D"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10000</w:t>
            </w:r>
          </w:p>
        </w:tc>
        <w:tc>
          <w:tcPr>
            <w:tcW w:w="567" w:type="dxa"/>
            <w:tcBorders>
              <w:bottom w:val="single" w:sz="4" w:space="0" w:color="BFBFBF" w:themeColor="background1" w:themeShade="BF"/>
            </w:tcBorders>
            <w:shd w:val="clear" w:color="auto" w:fill="D9D9D9" w:themeFill="background1" w:themeFillShade="D9"/>
            <w:noWrap/>
            <w:vAlign w:val="center"/>
            <w:hideMark/>
          </w:tcPr>
          <w:p w14:paraId="1E208B95"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0</w:t>
            </w:r>
          </w:p>
        </w:tc>
        <w:tc>
          <w:tcPr>
            <w:tcW w:w="647" w:type="dxa"/>
            <w:tcBorders>
              <w:bottom w:val="single" w:sz="4" w:space="0" w:color="BFBFBF" w:themeColor="background1" w:themeShade="BF"/>
            </w:tcBorders>
            <w:shd w:val="clear" w:color="auto" w:fill="D9D9D9" w:themeFill="background1" w:themeFillShade="D9"/>
            <w:noWrap/>
            <w:vAlign w:val="center"/>
            <w:hideMark/>
          </w:tcPr>
          <w:p w14:paraId="61978A6D"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r>
      <w:tr w:rsidR="00300D05" w:rsidRPr="00684B51" w14:paraId="3EFB8158" w14:textId="77777777" w:rsidTr="00B4161C">
        <w:trPr>
          <w:trHeight w:val="255"/>
        </w:trPr>
        <w:tc>
          <w:tcPr>
            <w:tcW w:w="4536" w:type="dxa"/>
            <w:tcBorders>
              <w:top w:val="single" w:sz="4" w:space="0" w:color="A6A6A6" w:themeColor="background1" w:themeShade="A6"/>
              <w:bottom w:val="single" w:sz="4" w:space="0" w:color="A6A6A6" w:themeColor="background1" w:themeShade="A6"/>
            </w:tcBorders>
            <w:shd w:val="clear" w:color="auto" w:fill="BFBFBF" w:themeFill="background1" w:themeFillShade="BF"/>
            <w:noWrap/>
            <w:vAlign w:val="bottom"/>
            <w:hideMark/>
          </w:tcPr>
          <w:p w14:paraId="40D9C3FF" w14:textId="1B5B7E51" w:rsidR="00684B51" w:rsidRPr="00684B51" w:rsidRDefault="00684B51" w:rsidP="00FE7323">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Only Cooling</w:t>
            </w:r>
            <w:r w:rsidRPr="00684B51">
              <w:rPr>
                <w:rFonts w:asciiTheme="majorHAnsi" w:eastAsia="Times New Roman" w:hAnsiTheme="majorHAnsi" w:cs="Arial"/>
                <w:color w:val="000000"/>
                <w:sz w:val="21"/>
                <w:szCs w:val="21"/>
              </w:rPr>
              <w:t xml:space="preserve"> (High demand)</w:t>
            </w:r>
          </w:p>
        </w:tc>
        <w:tc>
          <w:tcPr>
            <w:tcW w:w="1134"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7D40EEF7"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14.3</w:t>
            </w:r>
          </w:p>
        </w:tc>
        <w:tc>
          <w:tcPr>
            <w:tcW w:w="851"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3F1C780F"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10.9</w:t>
            </w:r>
          </w:p>
        </w:tc>
        <w:tc>
          <w:tcPr>
            <w:tcW w:w="567" w:type="dxa"/>
            <w:tcBorders>
              <w:top w:val="single" w:sz="4" w:space="0" w:color="A6A6A6" w:themeColor="background1" w:themeShade="A6"/>
              <w:bottom w:val="single" w:sz="4" w:space="0" w:color="A6A6A6" w:themeColor="background1" w:themeShade="A6"/>
            </w:tcBorders>
            <w:shd w:val="clear" w:color="auto" w:fill="BFBFBF" w:themeFill="background1" w:themeFillShade="BF"/>
            <w:noWrap/>
            <w:vAlign w:val="center"/>
            <w:hideMark/>
          </w:tcPr>
          <w:p w14:paraId="4236BAE1"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3000</w:t>
            </w:r>
          </w:p>
        </w:tc>
        <w:tc>
          <w:tcPr>
            <w:tcW w:w="709" w:type="dxa"/>
            <w:tcBorders>
              <w:top w:val="single" w:sz="4" w:space="0" w:color="A6A6A6" w:themeColor="background1" w:themeShade="A6"/>
              <w:bottom w:val="single" w:sz="4" w:space="0" w:color="A6A6A6" w:themeColor="background1" w:themeShade="A6"/>
            </w:tcBorders>
            <w:shd w:val="clear" w:color="auto" w:fill="BFBFBF" w:themeFill="background1" w:themeFillShade="BF"/>
            <w:noWrap/>
            <w:vAlign w:val="center"/>
            <w:hideMark/>
          </w:tcPr>
          <w:p w14:paraId="48AC2500"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5000</w:t>
            </w:r>
          </w:p>
        </w:tc>
        <w:tc>
          <w:tcPr>
            <w:tcW w:w="567"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0F1453FC"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0</w:t>
            </w:r>
          </w:p>
        </w:tc>
        <w:tc>
          <w:tcPr>
            <w:tcW w:w="647"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19E69C01"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r>
      <w:tr w:rsidR="00300D05" w:rsidRPr="00684B51" w14:paraId="7AB0306B" w14:textId="77777777" w:rsidTr="00B4161C">
        <w:trPr>
          <w:trHeight w:val="255"/>
        </w:trPr>
        <w:tc>
          <w:tcPr>
            <w:tcW w:w="4536" w:type="dxa"/>
            <w:tcBorders>
              <w:top w:val="single" w:sz="4" w:space="0" w:color="A6A6A6" w:themeColor="background1" w:themeShade="A6"/>
            </w:tcBorders>
            <w:shd w:val="clear" w:color="auto" w:fill="BFBFBF" w:themeFill="background1" w:themeFillShade="BF"/>
            <w:noWrap/>
            <w:vAlign w:val="bottom"/>
            <w:hideMark/>
          </w:tcPr>
          <w:p w14:paraId="519DE289" w14:textId="67BF304F" w:rsidR="00684B51" w:rsidRPr="00684B51" w:rsidRDefault="00684B51" w:rsidP="00FE7323">
            <w:pPr>
              <w:spacing w:after="0" w:line="240" w:lineRule="auto"/>
              <w:rPr>
                <w:rFonts w:asciiTheme="majorHAnsi" w:eastAsia="Times New Roman" w:hAnsiTheme="majorHAnsi" w:cs="Arial"/>
                <w:color w:val="000000"/>
                <w:sz w:val="21"/>
                <w:szCs w:val="21"/>
              </w:rPr>
            </w:pPr>
            <w:r w:rsidRPr="00103466">
              <w:rPr>
                <w:rFonts w:asciiTheme="majorHAnsi" w:eastAsia="Times New Roman" w:hAnsiTheme="majorHAnsi" w:cs="Arial"/>
                <w:b/>
                <w:bCs/>
                <w:color w:val="000000"/>
                <w:sz w:val="21"/>
                <w:szCs w:val="21"/>
              </w:rPr>
              <w:t>Only Cooling</w:t>
            </w:r>
            <w:r w:rsidRPr="00300D05">
              <w:rPr>
                <w:rFonts w:asciiTheme="majorHAnsi" w:eastAsia="Times New Roman" w:hAnsiTheme="majorHAnsi" w:cs="Arial"/>
                <w:color w:val="000000"/>
                <w:sz w:val="21"/>
                <w:szCs w:val="21"/>
              </w:rPr>
              <w:t xml:space="preserve"> </w:t>
            </w:r>
            <w:r w:rsidR="00103466">
              <w:rPr>
                <w:rFonts w:asciiTheme="majorHAnsi" w:eastAsia="Times New Roman" w:hAnsiTheme="majorHAnsi" w:cs="Arial"/>
                <w:color w:val="000000"/>
                <w:sz w:val="21"/>
                <w:szCs w:val="21"/>
              </w:rPr>
              <w:t>(</w:t>
            </w:r>
            <w:r w:rsidRPr="00684B51">
              <w:rPr>
                <w:rFonts w:asciiTheme="majorHAnsi" w:eastAsia="Times New Roman" w:hAnsiTheme="majorHAnsi" w:cs="Arial"/>
                <w:color w:val="000000"/>
                <w:sz w:val="21"/>
                <w:szCs w:val="21"/>
              </w:rPr>
              <w:t xml:space="preserve">Low </w:t>
            </w:r>
            <w:r w:rsidR="00FE7323">
              <w:rPr>
                <w:rFonts w:asciiTheme="majorHAnsi" w:eastAsia="Times New Roman" w:hAnsiTheme="majorHAnsi" w:cs="Arial"/>
                <w:color w:val="000000"/>
                <w:sz w:val="21"/>
                <w:szCs w:val="21"/>
              </w:rPr>
              <w:t>&amp;</w:t>
            </w:r>
            <w:r w:rsidRPr="00684B51">
              <w:rPr>
                <w:rFonts w:asciiTheme="majorHAnsi" w:eastAsia="Times New Roman" w:hAnsiTheme="majorHAnsi" w:cs="Arial"/>
                <w:color w:val="000000"/>
                <w:sz w:val="21"/>
                <w:szCs w:val="21"/>
              </w:rPr>
              <w:t xml:space="preserve"> moderate demand)</w:t>
            </w:r>
          </w:p>
        </w:tc>
        <w:tc>
          <w:tcPr>
            <w:tcW w:w="1134" w:type="dxa"/>
            <w:tcBorders>
              <w:top w:val="single" w:sz="4" w:space="0" w:color="BFBFBF" w:themeColor="background1" w:themeShade="BF"/>
            </w:tcBorders>
            <w:shd w:val="clear" w:color="auto" w:fill="D9D9D9" w:themeFill="background1" w:themeFillShade="D9"/>
            <w:noWrap/>
            <w:vAlign w:val="center"/>
            <w:hideMark/>
          </w:tcPr>
          <w:p w14:paraId="31088C3E"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14.1</w:t>
            </w:r>
          </w:p>
        </w:tc>
        <w:tc>
          <w:tcPr>
            <w:tcW w:w="851" w:type="dxa"/>
            <w:tcBorders>
              <w:top w:val="single" w:sz="4" w:space="0" w:color="BFBFBF" w:themeColor="background1" w:themeShade="BF"/>
            </w:tcBorders>
            <w:shd w:val="clear" w:color="auto" w:fill="D9D9D9" w:themeFill="background1" w:themeFillShade="D9"/>
            <w:noWrap/>
            <w:vAlign w:val="center"/>
            <w:hideMark/>
          </w:tcPr>
          <w:p w14:paraId="2FF904A2"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10.4</w:t>
            </w:r>
          </w:p>
        </w:tc>
        <w:tc>
          <w:tcPr>
            <w:tcW w:w="567" w:type="dxa"/>
            <w:tcBorders>
              <w:top w:val="single" w:sz="4" w:space="0" w:color="A6A6A6" w:themeColor="background1" w:themeShade="A6"/>
            </w:tcBorders>
            <w:shd w:val="clear" w:color="auto" w:fill="BFBFBF" w:themeFill="background1" w:themeFillShade="BF"/>
            <w:noWrap/>
            <w:vAlign w:val="center"/>
            <w:hideMark/>
          </w:tcPr>
          <w:p w14:paraId="7F339A15"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709" w:type="dxa"/>
            <w:tcBorders>
              <w:top w:val="single" w:sz="4" w:space="0" w:color="A6A6A6" w:themeColor="background1" w:themeShade="A6"/>
            </w:tcBorders>
            <w:shd w:val="clear" w:color="auto" w:fill="BFBFBF" w:themeFill="background1" w:themeFillShade="BF"/>
            <w:noWrap/>
            <w:vAlign w:val="center"/>
            <w:hideMark/>
          </w:tcPr>
          <w:p w14:paraId="79AB12A8"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3000</w:t>
            </w:r>
          </w:p>
        </w:tc>
        <w:tc>
          <w:tcPr>
            <w:tcW w:w="567" w:type="dxa"/>
            <w:tcBorders>
              <w:top w:val="single" w:sz="4" w:space="0" w:color="BFBFBF" w:themeColor="background1" w:themeShade="BF"/>
            </w:tcBorders>
            <w:shd w:val="clear" w:color="auto" w:fill="D9D9D9" w:themeFill="background1" w:themeFillShade="D9"/>
            <w:noWrap/>
            <w:vAlign w:val="center"/>
            <w:hideMark/>
          </w:tcPr>
          <w:p w14:paraId="32F7C120"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0</w:t>
            </w:r>
          </w:p>
        </w:tc>
        <w:tc>
          <w:tcPr>
            <w:tcW w:w="647" w:type="dxa"/>
            <w:tcBorders>
              <w:top w:val="single" w:sz="4" w:space="0" w:color="BFBFBF" w:themeColor="background1" w:themeShade="BF"/>
            </w:tcBorders>
            <w:shd w:val="clear" w:color="auto" w:fill="D9D9D9" w:themeFill="background1" w:themeFillShade="D9"/>
            <w:noWrap/>
            <w:vAlign w:val="center"/>
            <w:hideMark/>
          </w:tcPr>
          <w:p w14:paraId="65B8B978"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r>
      <w:tr w:rsidR="00300D05" w:rsidRPr="00684B51" w14:paraId="6C35D7E2" w14:textId="77777777" w:rsidTr="00B4161C">
        <w:trPr>
          <w:trHeight w:val="255"/>
        </w:trPr>
        <w:tc>
          <w:tcPr>
            <w:tcW w:w="4536" w:type="dxa"/>
            <w:tcBorders>
              <w:bottom w:val="single" w:sz="4" w:space="0" w:color="A6A6A6" w:themeColor="background1" w:themeShade="A6"/>
            </w:tcBorders>
            <w:shd w:val="clear" w:color="auto" w:fill="D9D9D9" w:themeFill="background1" w:themeFillShade="D9"/>
            <w:noWrap/>
            <w:vAlign w:val="bottom"/>
            <w:hideMark/>
          </w:tcPr>
          <w:p w14:paraId="543E746D" w14:textId="5ED6E413" w:rsidR="00684B51" w:rsidRPr="00684B51" w:rsidRDefault="00684B51" w:rsidP="00AA087F">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 xml:space="preserve">Cooling </w:t>
            </w:r>
            <w:r w:rsidR="00FE7323">
              <w:rPr>
                <w:rFonts w:asciiTheme="majorHAnsi" w:eastAsia="Times New Roman" w:hAnsiTheme="majorHAnsi" w:cs="Arial"/>
                <w:b/>
                <w:bCs/>
                <w:color w:val="000000"/>
                <w:sz w:val="21"/>
                <w:szCs w:val="21"/>
              </w:rPr>
              <w:t>&amp;</w:t>
            </w:r>
            <w:r w:rsidRPr="00684B51">
              <w:rPr>
                <w:rFonts w:asciiTheme="majorHAnsi" w:eastAsia="Times New Roman" w:hAnsiTheme="majorHAnsi" w:cs="Arial"/>
                <w:b/>
                <w:bCs/>
                <w:color w:val="000000"/>
                <w:sz w:val="21"/>
                <w:szCs w:val="21"/>
              </w:rPr>
              <w:t xml:space="preserve"> Dehumidification</w:t>
            </w:r>
            <w:r w:rsidRPr="00684B51">
              <w:rPr>
                <w:rFonts w:asciiTheme="majorHAnsi" w:eastAsia="Times New Roman" w:hAnsiTheme="majorHAnsi" w:cs="Arial"/>
                <w:color w:val="000000"/>
                <w:sz w:val="21"/>
                <w:szCs w:val="21"/>
              </w:rPr>
              <w:t xml:space="preserve"> (</w:t>
            </w:r>
            <w:proofErr w:type="spellStart"/>
            <w:r w:rsidRPr="00684B51">
              <w:rPr>
                <w:rFonts w:asciiTheme="majorHAnsi" w:eastAsia="Times New Roman" w:hAnsiTheme="majorHAnsi" w:cs="Arial"/>
                <w:color w:val="000000"/>
                <w:sz w:val="21"/>
                <w:szCs w:val="21"/>
              </w:rPr>
              <w:t>V</w:t>
            </w:r>
            <w:r w:rsidR="00AA087F">
              <w:rPr>
                <w:rFonts w:asciiTheme="majorHAnsi" w:eastAsia="Times New Roman" w:hAnsiTheme="majorHAnsi" w:cs="Arial"/>
                <w:color w:val="000000"/>
                <w:sz w:val="21"/>
                <w:szCs w:val="21"/>
              </w:rPr>
              <w:t>.</w:t>
            </w:r>
            <w:r w:rsidRPr="00684B51">
              <w:rPr>
                <w:rFonts w:asciiTheme="majorHAnsi" w:eastAsia="Times New Roman" w:hAnsiTheme="majorHAnsi" w:cs="Arial"/>
                <w:color w:val="000000"/>
                <w:sz w:val="21"/>
                <w:szCs w:val="21"/>
              </w:rPr>
              <w:t>high</w:t>
            </w:r>
            <w:proofErr w:type="spellEnd"/>
            <w:r w:rsidRPr="00684B51">
              <w:rPr>
                <w:rFonts w:asciiTheme="majorHAnsi" w:eastAsia="Times New Roman" w:hAnsiTheme="majorHAnsi" w:cs="Arial"/>
                <w:color w:val="000000"/>
                <w:sz w:val="21"/>
                <w:szCs w:val="21"/>
              </w:rPr>
              <w:t xml:space="preserve"> demand)</w:t>
            </w:r>
          </w:p>
        </w:tc>
        <w:tc>
          <w:tcPr>
            <w:tcW w:w="1134" w:type="dxa"/>
            <w:tcBorders>
              <w:bottom w:val="single" w:sz="4" w:space="0" w:color="BFBFBF" w:themeColor="background1" w:themeShade="BF"/>
            </w:tcBorders>
            <w:shd w:val="clear" w:color="auto" w:fill="F2F2F2" w:themeFill="background1" w:themeFillShade="F2"/>
            <w:noWrap/>
            <w:vAlign w:val="center"/>
            <w:hideMark/>
          </w:tcPr>
          <w:p w14:paraId="7B0567AA"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13.9</w:t>
            </w:r>
          </w:p>
        </w:tc>
        <w:tc>
          <w:tcPr>
            <w:tcW w:w="851" w:type="dxa"/>
            <w:tcBorders>
              <w:bottom w:val="single" w:sz="4" w:space="0" w:color="BFBFBF" w:themeColor="background1" w:themeShade="BF"/>
            </w:tcBorders>
            <w:shd w:val="clear" w:color="auto" w:fill="F2F2F2" w:themeFill="background1" w:themeFillShade="F2"/>
            <w:noWrap/>
            <w:vAlign w:val="center"/>
            <w:hideMark/>
          </w:tcPr>
          <w:p w14:paraId="1966DE72"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10.8</w:t>
            </w:r>
          </w:p>
        </w:tc>
        <w:tc>
          <w:tcPr>
            <w:tcW w:w="567" w:type="dxa"/>
            <w:tcBorders>
              <w:bottom w:val="single" w:sz="4" w:space="0" w:color="BFBFBF" w:themeColor="background1" w:themeShade="BF"/>
            </w:tcBorders>
            <w:shd w:val="clear" w:color="auto" w:fill="D9D9D9" w:themeFill="background1" w:themeFillShade="D9"/>
            <w:noWrap/>
            <w:vAlign w:val="center"/>
            <w:hideMark/>
          </w:tcPr>
          <w:p w14:paraId="1A706E4B"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5000</w:t>
            </w:r>
          </w:p>
        </w:tc>
        <w:tc>
          <w:tcPr>
            <w:tcW w:w="709" w:type="dxa"/>
            <w:tcBorders>
              <w:bottom w:val="single" w:sz="4" w:space="0" w:color="BFBFBF" w:themeColor="background1" w:themeShade="BF"/>
            </w:tcBorders>
            <w:shd w:val="clear" w:color="auto" w:fill="D9D9D9" w:themeFill="background1" w:themeFillShade="D9"/>
            <w:noWrap/>
            <w:vAlign w:val="center"/>
            <w:hideMark/>
          </w:tcPr>
          <w:p w14:paraId="6643F388"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10000</w:t>
            </w:r>
          </w:p>
        </w:tc>
        <w:tc>
          <w:tcPr>
            <w:tcW w:w="567" w:type="dxa"/>
            <w:tcBorders>
              <w:bottom w:val="single" w:sz="4" w:space="0" w:color="BFBFBF" w:themeColor="background1" w:themeShade="BF"/>
            </w:tcBorders>
            <w:shd w:val="clear" w:color="auto" w:fill="F2F2F2" w:themeFill="background1" w:themeFillShade="F2"/>
            <w:noWrap/>
            <w:vAlign w:val="center"/>
            <w:hideMark/>
          </w:tcPr>
          <w:p w14:paraId="57E2A2C3"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0</w:t>
            </w:r>
          </w:p>
        </w:tc>
        <w:tc>
          <w:tcPr>
            <w:tcW w:w="647" w:type="dxa"/>
            <w:tcBorders>
              <w:bottom w:val="single" w:sz="4" w:space="0" w:color="BFBFBF" w:themeColor="background1" w:themeShade="BF"/>
            </w:tcBorders>
            <w:shd w:val="clear" w:color="auto" w:fill="F2F2F2" w:themeFill="background1" w:themeFillShade="F2"/>
            <w:noWrap/>
            <w:vAlign w:val="center"/>
            <w:hideMark/>
          </w:tcPr>
          <w:p w14:paraId="2C8B046F"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r>
      <w:tr w:rsidR="00300D05" w:rsidRPr="00684B51" w14:paraId="33CDC886" w14:textId="77777777" w:rsidTr="00B4161C">
        <w:trPr>
          <w:trHeight w:val="255"/>
        </w:trPr>
        <w:tc>
          <w:tcPr>
            <w:tcW w:w="4536"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bottom"/>
            <w:hideMark/>
          </w:tcPr>
          <w:p w14:paraId="68A7F6D4" w14:textId="094D39BB" w:rsidR="00684B51" w:rsidRPr="00684B51" w:rsidRDefault="00684B51" w:rsidP="00FE7323">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 xml:space="preserve">Cooling </w:t>
            </w:r>
            <w:r w:rsidR="00FE7323">
              <w:rPr>
                <w:rFonts w:asciiTheme="majorHAnsi" w:eastAsia="Times New Roman" w:hAnsiTheme="majorHAnsi" w:cs="Arial"/>
                <w:b/>
                <w:bCs/>
                <w:color w:val="000000"/>
                <w:sz w:val="21"/>
                <w:szCs w:val="21"/>
              </w:rPr>
              <w:t>&amp;</w:t>
            </w:r>
            <w:r w:rsidRPr="00684B51">
              <w:rPr>
                <w:rFonts w:asciiTheme="majorHAnsi" w:eastAsia="Times New Roman" w:hAnsiTheme="majorHAnsi" w:cs="Arial"/>
                <w:b/>
                <w:bCs/>
                <w:color w:val="000000"/>
                <w:sz w:val="21"/>
                <w:szCs w:val="21"/>
              </w:rPr>
              <w:t xml:space="preserve"> Dehumidification</w:t>
            </w:r>
            <w:r w:rsidRPr="00684B51">
              <w:rPr>
                <w:rFonts w:asciiTheme="majorHAnsi" w:eastAsia="Times New Roman" w:hAnsiTheme="majorHAnsi" w:cs="Arial"/>
                <w:color w:val="000000"/>
                <w:sz w:val="21"/>
                <w:szCs w:val="21"/>
              </w:rPr>
              <w:t xml:space="preserve"> (High demand)</w:t>
            </w:r>
          </w:p>
        </w:tc>
        <w:tc>
          <w:tcPr>
            <w:tcW w:w="1134"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0EB51B6E"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13.8</w:t>
            </w:r>
          </w:p>
        </w:tc>
        <w:tc>
          <w:tcPr>
            <w:tcW w:w="851"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54E9FA77"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10.7</w:t>
            </w:r>
          </w:p>
        </w:tc>
        <w:tc>
          <w:tcPr>
            <w:tcW w:w="567"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2F3A8737"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3000</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14:paraId="7362169A"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5000</w:t>
            </w:r>
          </w:p>
        </w:tc>
        <w:tc>
          <w:tcPr>
            <w:tcW w:w="567"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150A190B"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0</w:t>
            </w:r>
          </w:p>
        </w:tc>
        <w:tc>
          <w:tcPr>
            <w:tcW w:w="647" w:type="dxa"/>
            <w:tcBorders>
              <w:top w:val="single" w:sz="4" w:space="0" w:color="BFBFBF" w:themeColor="background1" w:themeShade="BF"/>
              <w:bottom w:val="single" w:sz="4" w:space="0" w:color="BFBFBF" w:themeColor="background1" w:themeShade="BF"/>
            </w:tcBorders>
            <w:shd w:val="clear" w:color="auto" w:fill="F2F2F2" w:themeFill="background1" w:themeFillShade="F2"/>
            <w:noWrap/>
            <w:vAlign w:val="center"/>
            <w:hideMark/>
          </w:tcPr>
          <w:p w14:paraId="3F6F81A7"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r>
      <w:tr w:rsidR="00300D05" w:rsidRPr="00684B51" w14:paraId="37DE9777" w14:textId="77777777" w:rsidTr="00B4161C">
        <w:trPr>
          <w:trHeight w:val="255"/>
        </w:trPr>
        <w:tc>
          <w:tcPr>
            <w:tcW w:w="4536" w:type="dxa"/>
            <w:tcBorders>
              <w:top w:val="single" w:sz="4" w:space="0" w:color="A6A6A6" w:themeColor="background1" w:themeShade="A6"/>
            </w:tcBorders>
            <w:shd w:val="clear" w:color="auto" w:fill="D9D9D9" w:themeFill="background1" w:themeFillShade="D9"/>
            <w:noWrap/>
            <w:vAlign w:val="bottom"/>
            <w:hideMark/>
          </w:tcPr>
          <w:p w14:paraId="789282E2" w14:textId="590EA18F" w:rsidR="00684B51" w:rsidRPr="00684B51" w:rsidRDefault="00684B51" w:rsidP="00B4161C">
            <w:pPr>
              <w:spacing w:after="0" w:line="240" w:lineRule="auto"/>
              <w:rPr>
                <w:rFonts w:asciiTheme="majorHAnsi" w:eastAsia="Times New Roman" w:hAnsiTheme="majorHAnsi" w:cs="Arial"/>
                <w:color w:val="000000"/>
                <w:sz w:val="21"/>
                <w:szCs w:val="21"/>
              </w:rPr>
            </w:pPr>
            <w:r w:rsidRPr="00684B51">
              <w:rPr>
                <w:rFonts w:asciiTheme="majorHAnsi" w:eastAsia="Times New Roman" w:hAnsiTheme="majorHAnsi" w:cs="Arial"/>
                <w:b/>
                <w:bCs/>
                <w:color w:val="000000"/>
                <w:sz w:val="21"/>
                <w:szCs w:val="21"/>
              </w:rPr>
              <w:t xml:space="preserve">Cooling </w:t>
            </w:r>
            <w:r w:rsidR="00FE7323">
              <w:rPr>
                <w:rFonts w:asciiTheme="majorHAnsi" w:eastAsia="Times New Roman" w:hAnsiTheme="majorHAnsi" w:cs="Arial"/>
                <w:b/>
                <w:bCs/>
                <w:color w:val="000000"/>
                <w:sz w:val="21"/>
                <w:szCs w:val="21"/>
              </w:rPr>
              <w:t>&amp;</w:t>
            </w:r>
            <w:r w:rsidRPr="00684B51">
              <w:rPr>
                <w:rFonts w:asciiTheme="majorHAnsi" w:eastAsia="Times New Roman" w:hAnsiTheme="majorHAnsi" w:cs="Arial"/>
                <w:b/>
                <w:bCs/>
                <w:color w:val="000000"/>
                <w:sz w:val="21"/>
                <w:szCs w:val="21"/>
              </w:rPr>
              <w:t xml:space="preserve"> Dehumidification</w:t>
            </w:r>
            <w:r w:rsidRPr="00684B51">
              <w:rPr>
                <w:rFonts w:asciiTheme="majorHAnsi" w:eastAsia="Times New Roman" w:hAnsiTheme="majorHAnsi" w:cs="Arial"/>
                <w:color w:val="000000"/>
                <w:sz w:val="21"/>
                <w:szCs w:val="21"/>
              </w:rPr>
              <w:t xml:space="preserve"> (Low </w:t>
            </w:r>
            <w:r w:rsidR="00FE7323">
              <w:rPr>
                <w:rFonts w:asciiTheme="majorHAnsi" w:eastAsia="Times New Roman" w:hAnsiTheme="majorHAnsi" w:cs="Arial"/>
                <w:color w:val="000000"/>
                <w:sz w:val="21"/>
                <w:szCs w:val="21"/>
              </w:rPr>
              <w:t>&amp;</w:t>
            </w:r>
            <w:r w:rsidRPr="00684B51">
              <w:rPr>
                <w:rFonts w:asciiTheme="majorHAnsi" w:eastAsia="Times New Roman" w:hAnsiTheme="majorHAnsi" w:cs="Arial"/>
                <w:color w:val="000000"/>
                <w:sz w:val="21"/>
                <w:szCs w:val="21"/>
              </w:rPr>
              <w:t xml:space="preserve"> mod</w:t>
            </w:r>
            <w:r w:rsidR="00B4161C">
              <w:rPr>
                <w:rFonts w:asciiTheme="majorHAnsi" w:eastAsia="Times New Roman" w:hAnsiTheme="majorHAnsi" w:cs="Arial"/>
                <w:color w:val="000000"/>
                <w:sz w:val="21"/>
                <w:szCs w:val="21"/>
              </w:rPr>
              <w:t>’</w:t>
            </w:r>
            <w:r w:rsidRPr="00684B51">
              <w:rPr>
                <w:rFonts w:asciiTheme="majorHAnsi" w:eastAsia="Times New Roman" w:hAnsiTheme="majorHAnsi" w:cs="Arial"/>
                <w:color w:val="000000"/>
                <w:sz w:val="21"/>
                <w:szCs w:val="21"/>
              </w:rPr>
              <w:t xml:space="preserve"> demand) </w:t>
            </w:r>
          </w:p>
        </w:tc>
        <w:tc>
          <w:tcPr>
            <w:tcW w:w="1134" w:type="dxa"/>
            <w:tcBorders>
              <w:top w:val="single" w:sz="4" w:space="0" w:color="BFBFBF" w:themeColor="background1" w:themeShade="BF"/>
            </w:tcBorders>
            <w:shd w:val="clear" w:color="auto" w:fill="F2F2F2" w:themeFill="background1" w:themeFillShade="F2"/>
            <w:noWrap/>
            <w:vAlign w:val="center"/>
            <w:hideMark/>
          </w:tcPr>
          <w:p w14:paraId="27B41FE0"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13.8</w:t>
            </w:r>
          </w:p>
        </w:tc>
        <w:tc>
          <w:tcPr>
            <w:tcW w:w="851" w:type="dxa"/>
            <w:tcBorders>
              <w:top w:val="single" w:sz="4" w:space="0" w:color="BFBFBF" w:themeColor="background1" w:themeShade="BF"/>
            </w:tcBorders>
            <w:shd w:val="clear" w:color="auto" w:fill="F2F2F2" w:themeFill="background1" w:themeFillShade="F2"/>
            <w:noWrap/>
            <w:vAlign w:val="center"/>
            <w:hideMark/>
          </w:tcPr>
          <w:p w14:paraId="44378CF2"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11.4</w:t>
            </w:r>
          </w:p>
        </w:tc>
        <w:tc>
          <w:tcPr>
            <w:tcW w:w="567" w:type="dxa"/>
            <w:tcBorders>
              <w:top w:val="single" w:sz="4" w:space="0" w:color="BFBFBF" w:themeColor="background1" w:themeShade="BF"/>
            </w:tcBorders>
            <w:shd w:val="clear" w:color="auto" w:fill="D9D9D9" w:themeFill="background1" w:themeFillShade="D9"/>
            <w:noWrap/>
            <w:vAlign w:val="center"/>
            <w:hideMark/>
          </w:tcPr>
          <w:p w14:paraId="2226FF13"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709" w:type="dxa"/>
            <w:tcBorders>
              <w:top w:val="single" w:sz="4" w:space="0" w:color="BFBFBF" w:themeColor="background1" w:themeShade="BF"/>
            </w:tcBorders>
            <w:shd w:val="clear" w:color="auto" w:fill="D9D9D9" w:themeFill="background1" w:themeFillShade="D9"/>
            <w:noWrap/>
            <w:vAlign w:val="center"/>
            <w:hideMark/>
          </w:tcPr>
          <w:p w14:paraId="4D14499A"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3000</w:t>
            </w:r>
          </w:p>
        </w:tc>
        <w:tc>
          <w:tcPr>
            <w:tcW w:w="567" w:type="dxa"/>
            <w:tcBorders>
              <w:top w:val="single" w:sz="4" w:space="0" w:color="BFBFBF" w:themeColor="background1" w:themeShade="BF"/>
            </w:tcBorders>
            <w:shd w:val="clear" w:color="auto" w:fill="F2F2F2" w:themeFill="background1" w:themeFillShade="F2"/>
            <w:noWrap/>
            <w:vAlign w:val="center"/>
            <w:hideMark/>
          </w:tcPr>
          <w:p w14:paraId="1E5880A6"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0</w:t>
            </w:r>
          </w:p>
        </w:tc>
        <w:tc>
          <w:tcPr>
            <w:tcW w:w="647" w:type="dxa"/>
            <w:tcBorders>
              <w:top w:val="single" w:sz="4" w:space="0" w:color="BFBFBF" w:themeColor="background1" w:themeShade="BF"/>
            </w:tcBorders>
            <w:shd w:val="clear" w:color="auto" w:fill="F2F2F2" w:themeFill="background1" w:themeFillShade="F2"/>
            <w:noWrap/>
            <w:vAlign w:val="center"/>
            <w:hideMark/>
          </w:tcPr>
          <w:p w14:paraId="444C22C4"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r>
      <w:tr w:rsidR="00300D05" w:rsidRPr="00684B51" w14:paraId="6E527C7D" w14:textId="77777777" w:rsidTr="00B4161C">
        <w:trPr>
          <w:trHeight w:val="255"/>
        </w:trPr>
        <w:tc>
          <w:tcPr>
            <w:tcW w:w="4536" w:type="dxa"/>
            <w:shd w:val="clear" w:color="auto" w:fill="BFBFBF" w:themeFill="background1" w:themeFillShade="BF"/>
            <w:noWrap/>
            <w:vAlign w:val="bottom"/>
            <w:hideMark/>
          </w:tcPr>
          <w:p w14:paraId="71657709" w14:textId="30592A79" w:rsidR="00684B51" w:rsidRPr="00684B51" w:rsidRDefault="00684B51" w:rsidP="00300D05">
            <w:pPr>
              <w:spacing w:after="0" w:line="240" w:lineRule="auto"/>
              <w:rPr>
                <w:rFonts w:asciiTheme="majorHAnsi" w:eastAsia="Times New Roman" w:hAnsiTheme="majorHAnsi" w:cs="Arial"/>
                <w:b/>
                <w:bCs/>
                <w:color w:val="000000"/>
                <w:sz w:val="21"/>
                <w:szCs w:val="21"/>
              </w:rPr>
            </w:pPr>
            <w:r w:rsidRPr="00684B51">
              <w:rPr>
                <w:rFonts w:asciiTheme="majorHAnsi" w:eastAsia="Times New Roman" w:hAnsiTheme="majorHAnsi" w:cs="Arial"/>
                <w:b/>
                <w:bCs/>
                <w:color w:val="000000"/>
                <w:sz w:val="21"/>
                <w:szCs w:val="21"/>
              </w:rPr>
              <w:t xml:space="preserve">Heating </w:t>
            </w:r>
            <w:r w:rsidR="00FE7323">
              <w:rPr>
                <w:rFonts w:asciiTheme="majorHAnsi" w:eastAsia="Times New Roman" w:hAnsiTheme="majorHAnsi" w:cs="Arial"/>
                <w:b/>
                <w:bCs/>
                <w:color w:val="000000"/>
                <w:sz w:val="21"/>
                <w:szCs w:val="21"/>
              </w:rPr>
              <w:t>&amp;</w:t>
            </w:r>
            <w:r w:rsidRPr="00684B51">
              <w:rPr>
                <w:rFonts w:asciiTheme="majorHAnsi" w:eastAsia="Times New Roman" w:hAnsiTheme="majorHAnsi" w:cs="Arial"/>
                <w:b/>
                <w:bCs/>
                <w:color w:val="000000"/>
                <w:sz w:val="21"/>
                <w:szCs w:val="21"/>
              </w:rPr>
              <w:t xml:space="preserve"> Cooling </w:t>
            </w:r>
            <w:r w:rsidR="00FE7323">
              <w:rPr>
                <w:rFonts w:asciiTheme="majorHAnsi" w:eastAsia="Times New Roman" w:hAnsiTheme="majorHAnsi" w:cs="Arial"/>
                <w:b/>
                <w:bCs/>
                <w:color w:val="000000"/>
                <w:sz w:val="21"/>
                <w:szCs w:val="21"/>
              </w:rPr>
              <w:t>&amp;</w:t>
            </w:r>
            <w:r w:rsidRPr="00684B51">
              <w:rPr>
                <w:rFonts w:asciiTheme="majorHAnsi" w:eastAsia="Times New Roman" w:hAnsiTheme="majorHAnsi" w:cs="Arial"/>
                <w:b/>
                <w:bCs/>
                <w:color w:val="000000"/>
                <w:sz w:val="21"/>
                <w:szCs w:val="21"/>
              </w:rPr>
              <w:t xml:space="preserve"> Dehumidification</w:t>
            </w:r>
          </w:p>
        </w:tc>
        <w:tc>
          <w:tcPr>
            <w:tcW w:w="1134" w:type="dxa"/>
            <w:shd w:val="clear" w:color="auto" w:fill="D9D9D9" w:themeFill="background1" w:themeFillShade="D9"/>
            <w:noWrap/>
            <w:vAlign w:val="center"/>
            <w:hideMark/>
          </w:tcPr>
          <w:p w14:paraId="5C94870F"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13.7</w:t>
            </w:r>
          </w:p>
        </w:tc>
        <w:tc>
          <w:tcPr>
            <w:tcW w:w="851" w:type="dxa"/>
            <w:shd w:val="clear" w:color="auto" w:fill="D9D9D9" w:themeFill="background1" w:themeFillShade="D9"/>
            <w:noWrap/>
            <w:vAlign w:val="center"/>
            <w:hideMark/>
          </w:tcPr>
          <w:p w14:paraId="490E2EC7"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12.7</w:t>
            </w:r>
          </w:p>
        </w:tc>
        <w:tc>
          <w:tcPr>
            <w:tcW w:w="567" w:type="dxa"/>
            <w:shd w:val="clear" w:color="auto" w:fill="BFBFBF" w:themeFill="background1" w:themeFillShade="BF"/>
            <w:noWrap/>
            <w:vAlign w:val="center"/>
            <w:hideMark/>
          </w:tcPr>
          <w:p w14:paraId="40256A73"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709" w:type="dxa"/>
            <w:shd w:val="clear" w:color="auto" w:fill="BFBFBF" w:themeFill="background1" w:themeFillShade="BF"/>
            <w:noWrap/>
            <w:vAlign w:val="center"/>
            <w:hideMark/>
          </w:tcPr>
          <w:p w14:paraId="767195AA"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10000</w:t>
            </w:r>
          </w:p>
        </w:tc>
        <w:tc>
          <w:tcPr>
            <w:tcW w:w="567" w:type="dxa"/>
            <w:shd w:val="clear" w:color="auto" w:fill="D9D9D9" w:themeFill="background1" w:themeFillShade="D9"/>
            <w:noWrap/>
            <w:vAlign w:val="center"/>
            <w:hideMark/>
          </w:tcPr>
          <w:p w14:paraId="7E879D6E"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w:t>
            </w:r>
          </w:p>
        </w:tc>
        <w:tc>
          <w:tcPr>
            <w:tcW w:w="647" w:type="dxa"/>
            <w:shd w:val="clear" w:color="auto" w:fill="D9D9D9" w:themeFill="background1" w:themeFillShade="D9"/>
            <w:noWrap/>
            <w:vAlign w:val="center"/>
            <w:hideMark/>
          </w:tcPr>
          <w:p w14:paraId="33AF7CC6" w14:textId="77777777" w:rsidR="00684B51" w:rsidRPr="00684B51" w:rsidRDefault="00684B51" w:rsidP="00B4161C">
            <w:pPr>
              <w:spacing w:after="0" w:line="240" w:lineRule="auto"/>
              <w:jc w:val="center"/>
              <w:rPr>
                <w:rFonts w:asciiTheme="majorHAnsi" w:eastAsia="Times New Roman" w:hAnsiTheme="majorHAnsi" w:cs="Arial"/>
                <w:color w:val="000000"/>
                <w:sz w:val="21"/>
                <w:szCs w:val="21"/>
              </w:rPr>
            </w:pPr>
            <w:r w:rsidRPr="00684B51">
              <w:rPr>
                <w:rFonts w:asciiTheme="majorHAnsi" w:eastAsia="Times New Roman" w:hAnsiTheme="majorHAnsi" w:cs="Arial"/>
                <w:color w:val="000000"/>
                <w:sz w:val="21"/>
                <w:szCs w:val="21"/>
              </w:rPr>
              <w:t>10000</w:t>
            </w:r>
          </w:p>
        </w:tc>
      </w:tr>
    </w:tbl>
    <w:p w14:paraId="178BEEBA" w14:textId="728E0B1E" w:rsidR="005B432E" w:rsidRDefault="005B432E" w:rsidP="005B432E">
      <w:r>
        <w:lastRenderedPageBreak/>
        <w:t>Finally, we average across geographical regions for each HDD/CDD band, as we are interested primarily in how different energy requirements are determined by climate, and hence wish to assume technological deployment is independent of region.</w:t>
      </w:r>
    </w:p>
    <w:p w14:paraId="2E78CC55" w14:textId="1D88BBF6" w:rsidR="00D32EF3" w:rsidRDefault="005B432E" w:rsidP="005B432E">
      <w:r>
        <w:t xml:space="preserve">Overall, our calculations give maximum energy usage for thermal comfort of </w:t>
      </w:r>
      <w:r w:rsidR="00D65128">
        <w:t>~</w:t>
      </w:r>
      <w:r w:rsidR="00D65128" w:rsidRPr="00D65128">
        <w:rPr>
          <w:rFonts w:cstheme="minorHAnsi"/>
          <w:b/>
        </w:rPr>
        <w:t>0.9</w:t>
      </w:r>
      <w:r w:rsidRPr="004607DA">
        <w:rPr>
          <w:b/>
        </w:rPr>
        <w:t xml:space="preserve"> GJ</w:t>
      </w:r>
      <w:r w:rsidRPr="00D0147A">
        <w:rPr>
          <w:b/>
        </w:rPr>
        <w:t>/</w:t>
      </w:r>
      <w:proofErr w:type="spellStart"/>
      <w:r w:rsidRPr="00D0147A">
        <w:rPr>
          <w:b/>
        </w:rPr>
        <w:t>yr</w:t>
      </w:r>
      <w:proofErr w:type="spellEnd"/>
      <w:r w:rsidRPr="00D0147A">
        <w:rPr>
          <w:b/>
        </w:rPr>
        <w:t>/cap</w:t>
      </w:r>
      <w:r>
        <w:t xml:space="preserve"> (in rural areas of Canada, </w:t>
      </w:r>
      <w:r w:rsidRPr="001570B5">
        <w:t>Kazakhstan</w:t>
      </w:r>
      <w:r>
        <w:t xml:space="preserve"> and Scandinavia). In contrast, there are countries in warm (but not extreme) climates – e.g. South Africa and Portugal – where energy demand is &lt; </w:t>
      </w:r>
      <w:r>
        <w:rPr>
          <w:b/>
        </w:rPr>
        <w:t>0.3</w:t>
      </w:r>
      <w:r w:rsidRPr="004607DA">
        <w:rPr>
          <w:b/>
        </w:rPr>
        <w:t xml:space="preserve"> GJ</w:t>
      </w:r>
      <w:r w:rsidRPr="00D0147A">
        <w:rPr>
          <w:b/>
        </w:rPr>
        <w:t>/</w:t>
      </w:r>
      <w:proofErr w:type="spellStart"/>
      <w:r w:rsidRPr="00D0147A">
        <w:rPr>
          <w:b/>
        </w:rPr>
        <w:t>yr</w:t>
      </w:r>
      <w:proofErr w:type="spellEnd"/>
      <w:r w:rsidRPr="00D0147A">
        <w:rPr>
          <w:b/>
        </w:rPr>
        <w:t>/cap</w:t>
      </w:r>
      <w:r>
        <w:t>.</w:t>
      </w:r>
    </w:p>
    <w:p w14:paraId="1DBEA6C0" w14:textId="142B9B6E" w:rsidR="000F0AE9" w:rsidRDefault="004D77E7" w:rsidP="000F0AE9">
      <w:pPr>
        <w:pStyle w:val="Heading2"/>
      </w:pPr>
      <w:r>
        <w:t>Household i</w:t>
      </w:r>
      <w:r w:rsidR="000F0AE9">
        <w:t>llumination</w:t>
      </w:r>
    </w:p>
    <w:p w14:paraId="360FD77C" w14:textId="709212E8" w:rsidR="000F0AE9" w:rsidRDefault="000F0AE9" w:rsidP="000F0AE9">
      <w:r>
        <w:t xml:space="preserve">Estimates for household lighting require </w:t>
      </w:r>
      <w:r w:rsidR="008E0270">
        <w:t>various</w:t>
      </w:r>
      <w:r>
        <w:t xml:space="preserve"> assumptions: (</w:t>
      </w:r>
      <w:proofErr w:type="spellStart"/>
      <w:r>
        <w:t>i</w:t>
      </w:r>
      <w:proofErr w:type="spellEnd"/>
      <w:r>
        <w:t>) how much space is illuminated, (ii) for how long each day, (iii) how brightly, and (iv) how efficient the process of converting energy into illumination is</w:t>
      </w:r>
      <w:r w:rsidR="006A2825" w:rsidRPr="006A2825">
        <w:rPr>
          <w:noProof/>
          <w:vertAlign w:val="superscript"/>
        </w:rPr>
        <w:t>6</w:t>
      </w:r>
      <w:r>
        <w:t>. A simple energy use equation thus reads:</w:t>
      </w:r>
    </w:p>
    <w:p w14:paraId="18CA91AE" w14:textId="77777777" w:rsidR="000F0AE9" w:rsidRPr="00DA0824" w:rsidRDefault="000F0AE9" w:rsidP="000F0AE9">
      <w:pPr>
        <w:jc w:val="center"/>
      </w:pPr>
      <w:r w:rsidRPr="006E0364">
        <w:rPr>
          <w:i/>
        </w:rPr>
        <w:t>Energy use</w:t>
      </w:r>
      <w:r>
        <w:t xml:space="preserve"> = </w:t>
      </w:r>
      <w:proofErr w:type="spellStart"/>
      <w:r w:rsidRPr="00DA0824">
        <w:rPr>
          <w:i/>
        </w:rPr>
        <w:t>t</w:t>
      </w:r>
      <w:r w:rsidRPr="00DA0824">
        <w:rPr>
          <w:vertAlign w:val="subscript"/>
        </w:rPr>
        <w:t>ill</w:t>
      </w:r>
      <w:r w:rsidRPr="005702AD">
        <w:rPr>
          <w:i/>
        </w:rPr>
        <w:t>A</w:t>
      </w:r>
      <w:r>
        <w:rPr>
          <w:i/>
        </w:rPr>
        <w:t>E</w:t>
      </w:r>
      <w:proofErr w:type="spellEnd"/>
      <w:r>
        <w:t>/</w:t>
      </w:r>
      <w:r w:rsidRPr="00DA0824">
        <w:rPr>
          <w:i/>
        </w:rPr>
        <w:t>efficacy</w:t>
      </w:r>
      <w:r>
        <w:t>,</w:t>
      </w:r>
    </w:p>
    <w:p w14:paraId="2E438DB0" w14:textId="77777777" w:rsidR="000F0AE9" w:rsidRDefault="000F0AE9" w:rsidP="000F0AE9">
      <w:r>
        <w:t xml:space="preserve">where </w:t>
      </w:r>
      <w:r w:rsidRPr="00DA0824">
        <w:rPr>
          <w:i/>
        </w:rPr>
        <w:t>t</w:t>
      </w:r>
      <w:r w:rsidRPr="00DA0824">
        <w:rPr>
          <w:vertAlign w:val="subscript"/>
        </w:rPr>
        <w:t>ill</w:t>
      </w:r>
      <w:r w:rsidRPr="00DA0824">
        <w:rPr>
          <w:vertAlign w:val="superscript"/>
        </w:rPr>
        <w:t xml:space="preserve"> </w:t>
      </w:r>
      <w:r>
        <w:t>is the time period of illumination (seconds/</w:t>
      </w:r>
      <w:proofErr w:type="spellStart"/>
      <w:r>
        <w:t>yr</w:t>
      </w:r>
      <w:proofErr w:type="spellEnd"/>
      <w:r>
        <w:t>)</w:t>
      </w:r>
      <w:r>
        <w:rPr>
          <w:i/>
        </w:rPr>
        <w:t xml:space="preserve"> </w:t>
      </w:r>
      <w:r w:rsidRPr="005702AD">
        <w:rPr>
          <w:i/>
        </w:rPr>
        <w:t>A</w:t>
      </w:r>
      <w:r>
        <w:rPr>
          <w:i/>
        </w:rPr>
        <w:t xml:space="preserve"> </w:t>
      </w:r>
      <w:r>
        <w:t>is the average floor area illuminated during this time (m</w:t>
      </w:r>
      <w:r w:rsidRPr="00DA0824">
        <w:rPr>
          <w:vertAlign w:val="superscript"/>
        </w:rPr>
        <w:t>2</w:t>
      </w:r>
      <w:r>
        <w:t xml:space="preserve">), </w:t>
      </w:r>
      <w:r>
        <w:rPr>
          <w:i/>
        </w:rPr>
        <w:t>E</w:t>
      </w:r>
      <w:r>
        <w:t xml:space="preserve"> is the </w:t>
      </w:r>
      <w:r>
        <w:rPr>
          <w:i/>
        </w:rPr>
        <w:t>illuminance</w:t>
      </w:r>
      <w:r>
        <w:t xml:space="preserve"> (lm/m</w:t>
      </w:r>
      <w:r w:rsidRPr="00DA0824">
        <w:rPr>
          <w:vertAlign w:val="superscript"/>
        </w:rPr>
        <w:t>2</w:t>
      </w:r>
      <w:r>
        <w:t xml:space="preserve">) and </w:t>
      </w:r>
      <w:r w:rsidRPr="00DA0824">
        <w:rPr>
          <w:i/>
        </w:rPr>
        <w:t>efficacy</w:t>
      </w:r>
      <w:r>
        <w:t xml:space="preserve"> gives the efficiency in lm/W. Energy use here is thus in J/yr.</w:t>
      </w:r>
    </w:p>
    <w:p w14:paraId="709F6BBB" w14:textId="5818A94F" w:rsidR="000F0AE9" w:rsidRDefault="000F0AE9" w:rsidP="000F0AE9">
      <w:r>
        <w:t xml:space="preserve">For </w:t>
      </w:r>
      <w:r>
        <w:rPr>
          <w:i/>
        </w:rPr>
        <w:t>A</w:t>
      </w:r>
      <w:r>
        <w:t xml:space="preserve">, we take the total </w:t>
      </w:r>
      <w:r w:rsidR="007D5E4A">
        <w:t xml:space="preserve">residential </w:t>
      </w:r>
      <w:r>
        <w:t>floor space per person</w:t>
      </w:r>
      <w:r w:rsidR="007D5E4A">
        <w:t>,</w:t>
      </w:r>
      <w:r>
        <w:t xml:space="preserve"> and assume 33% </w:t>
      </w:r>
      <w:r w:rsidR="003C1E48">
        <w:t xml:space="preserve">is </w:t>
      </w:r>
      <w:r w:rsidR="008E0270">
        <w:t xml:space="preserve">normally illuminated, </w:t>
      </w:r>
      <w:r>
        <w:t xml:space="preserve">as all rooms of a house </w:t>
      </w:r>
      <w:r w:rsidR="003C1E48">
        <w:t>need</w:t>
      </w:r>
      <w:r>
        <w:t xml:space="preserve"> not always be lit. We assume this average illumination is </w:t>
      </w:r>
      <w:r w:rsidR="008E0270">
        <w:t>needed for 6 hours/</w:t>
      </w:r>
      <w:r>
        <w:t xml:space="preserve">day, while for the remaining 18 hours no lighting is used (irrespective of country). This means </w:t>
      </w:r>
      <w:r w:rsidRPr="00DA0824">
        <w:rPr>
          <w:i/>
        </w:rPr>
        <w:t>t</w:t>
      </w:r>
      <w:r w:rsidRPr="00DA0824">
        <w:rPr>
          <w:vertAlign w:val="subscript"/>
        </w:rPr>
        <w:t>ill</w:t>
      </w:r>
      <w:r>
        <w:rPr>
          <w:vertAlign w:val="superscript"/>
        </w:rPr>
        <w:t xml:space="preserve"> </w:t>
      </w:r>
      <w:r w:rsidRPr="00E3697B">
        <w:t xml:space="preserve">= </w:t>
      </w:r>
      <w:r>
        <w:t>7.9 million seconds (6 x 60</w:t>
      </w:r>
      <w:r w:rsidRPr="005F29EC">
        <w:rPr>
          <w:vertAlign w:val="superscript"/>
        </w:rPr>
        <w:t>2</w:t>
      </w:r>
      <w:r w:rsidRPr="005F29EC">
        <w:t xml:space="preserve"> </w:t>
      </w:r>
      <w:r>
        <w:t xml:space="preserve">x 365). </w:t>
      </w:r>
    </w:p>
    <w:p w14:paraId="2EF4DA1F" w14:textId="5E00ADFE" w:rsidR="000F0AE9" w:rsidRDefault="000F0AE9" w:rsidP="000F0AE9">
      <w:r>
        <w:t xml:space="preserve">For </w:t>
      </w:r>
      <w:r w:rsidRPr="005F29EC">
        <w:rPr>
          <w:i/>
        </w:rPr>
        <w:t>E</w:t>
      </w:r>
      <w:r>
        <w:rPr>
          <w:i/>
        </w:rPr>
        <w:t>,</w:t>
      </w:r>
      <w:r>
        <w:t xml:space="preserve"> </w:t>
      </w:r>
      <w:r w:rsidR="008E0270" w:rsidRPr="008E0270">
        <w:t>Cullen, Allwood and Borgstein</w:t>
      </w:r>
      <w:r w:rsidR="006A2825" w:rsidRPr="006A2825">
        <w:rPr>
          <w:noProof/>
          <w:vertAlign w:val="superscript"/>
        </w:rPr>
        <w:t>6</w:t>
      </w:r>
      <w:r>
        <w:t xml:space="preserve"> suggest that existing </w:t>
      </w:r>
      <w:r w:rsidRPr="006423DC">
        <w:t>illuminance</w:t>
      </w:r>
      <w:r>
        <w:t xml:space="preserve"> levels in buildings tend to be higher than </w:t>
      </w:r>
      <w:r w:rsidR="008E0270">
        <w:t>lighting code</w:t>
      </w:r>
      <w:r>
        <w:t xml:space="preserve"> recommend</w:t>
      </w:r>
      <w:r w:rsidR="008E0270">
        <w:t>ations</w:t>
      </w:r>
      <w:r>
        <w:t>, which vary from 54 lm/m</w:t>
      </w:r>
      <w:r w:rsidRPr="006423DC">
        <w:rPr>
          <w:vertAlign w:val="superscript"/>
        </w:rPr>
        <w:t>2</w:t>
      </w:r>
      <w:r>
        <w:t xml:space="preserve"> for hallways to 430 lm/m</w:t>
      </w:r>
      <w:r w:rsidRPr="006423DC">
        <w:rPr>
          <w:vertAlign w:val="superscript"/>
        </w:rPr>
        <w:t>2</w:t>
      </w:r>
      <w:r>
        <w:t xml:space="preserve"> for offices. </w:t>
      </w:r>
      <w:r w:rsidR="008E0270">
        <w:t>They also highlight that a room need not be uniformly lit</w:t>
      </w:r>
      <w:r>
        <w:t xml:space="preserve">; even </w:t>
      </w:r>
      <w:r w:rsidR="008E0270">
        <w:t xml:space="preserve">in </w:t>
      </w:r>
      <w:r>
        <w:t>office</w:t>
      </w:r>
      <w:r w:rsidR="008E0270">
        <w:t xml:space="preserve">s </w:t>
      </w:r>
      <w:r>
        <w:t>430 lm/m</w:t>
      </w:r>
      <w:r w:rsidRPr="006423DC">
        <w:rPr>
          <w:vertAlign w:val="superscript"/>
        </w:rPr>
        <w:t>2</w:t>
      </w:r>
      <w:r>
        <w:t xml:space="preserve"> need only be met in the task area. They thus suggest a value of 125 lm/m</w:t>
      </w:r>
      <w:r w:rsidRPr="006423DC">
        <w:rPr>
          <w:vertAlign w:val="superscript"/>
        </w:rPr>
        <w:t>2</w:t>
      </w:r>
      <w:r>
        <w:t xml:space="preserve"> as a low, practical limit. Finally, the </w:t>
      </w:r>
      <w:r w:rsidRPr="00DA0824">
        <w:rPr>
          <w:i/>
        </w:rPr>
        <w:t>efficacy</w:t>
      </w:r>
      <w:r>
        <w:t xml:space="preserve"> of exceptionally efficient LED lighting currently stands at 150 lm/W. We assume this value isn’t improved upon.</w:t>
      </w:r>
    </w:p>
    <w:p w14:paraId="788809A9" w14:textId="19EDC91E" w:rsidR="00D32EF3" w:rsidRDefault="000F0AE9" w:rsidP="00934AD3">
      <w:r>
        <w:t xml:space="preserve">Overall, this gives an energy requirement for lighting of </w:t>
      </w:r>
      <w:r w:rsidR="00152CA6">
        <w:t>≈</w:t>
      </w:r>
      <w:r w:rsidR="00CC662B">
        <w:t xml:space="preserve"> </w:t>
      </w:r>
      <w:r w:rsidR="00152CA6">
        <w:t>3</w:t>
      </w:r>
      <w:r w:rsidR="00CC662B">
        <w:t>3</w:t>
      </w:r>
      <w:r w:rsidRPr="00C41CFD">
        <w:t xml:space="preserve"> MJ/cap/</w:t>
      </w:r>
      <w:proofErr w:type="spellStart"/>
      <w:r w:rsidRPr="00C41CFD">
        <w:t>yr</w:t>
      </w:r>
      <w:proofErr w:type="spellEnd"/>
      <w:r w:rsidR="00CC662B">
        <w:t xml:space="preserve"> (≈ 7.9 x 15</w:t>
      </w:r>
      <w:r>
        <w:t xml:space="preserve"> x 33% x 125/150).</w:t>
      </w:r>
      <w:r w:rsidR="00C41CFD">
        <w:t xml:space="preserve"> We increase this to </w:t>
      </w:r>
      <w:r w:rsidR="00CC662B">
        <w:rPr>
          <w:b/>
        </w:rPr>
        <w:t>36</w:t>
      </w:r>
      <w:r w:rsidR="00C41CFD" w:rsidRPr="00C41CFD">
        <w:rPr>
          <w:b/>
        </w:rPr>
        <w:t xml:space="preserve"> MJ/cap/</w:t>
      </w:r>
      <w:proofErr w:type="spellStart"/>
      <w:r w:rsidR="00C41CFD" w:rsidRPr="00C41CFD">
        <w:rPr>
          <w:b/>
        </w:rPr>
        <w:t>yr</w:t>
      </w:r>
      <w:proofErr w:type="spellEnd"/>
      <w:r w:rsidR="00C41CFD">
        <w:t>, as lifecycle data suggests that direct energy use only accounts for 90% of the energy use of LED lighting</w:t>
      </w:r>
      <w:r w:rsidR="006A2825" w:rsidRPr="006A2825">
        <w:rPr>
          <w:noProof/>
          <w:vertAlign w:val="superscript"/>
        </w:rPr>
        <w:t>8</w:t>
      </w:r>
      <w:r w:rsidR="00C41CFD">
        <w:t xml:space="preserve">. </w:t>
      </w:r>
      <w:r w:rsidR="00B553A5">
        <w:t xml:space="preserve">We assume the value is independent of geography. </w:t>
      </w:r>
      <w:r w:rsidR="00C574FA">
        <w:t>Various</w:t>
      </w:r>
      <w:r>
        <w:t xml:space="preserve"> assumption</w:t>
      </w:r>
      <w:r w:rsidR="00C41CFD">
        <w:t>s</w:t>
      </w:r>
      <w:r>
        <w:t xml:space="preserve"> </w:t>
      </w:r>
      <w:r w:rsidR="00C574FA">
        <w:t xml:space="preserve">here </w:t>
      </w:r>
      <w:r>
        <w:t xml:space="preserve">could be approved upon, but </w:t>
      </w:r>
      <w:r w:rsidR="00C574FA">
        <w:t xml:space="preserve">given the </w:t>
      </w:r>
      <w:r w:rsidR="008E0270">
        <w:t xml:space="preserve">minor </w:t>
      </w:r>
      <w:r w:rsidR="00C574FA">
        <w:t xml:space="preserve">contribution of lighting to total energy use </w:t>
      </w:r>
      <w:r w:rsidR="008E0270">
        <w:t>any changes would be negligible</w:t>
      </w:r>
      <w:r>
        <w:t>.</w:t>
      </w:r>
    </w:p>
    <w:p w14:paraId="3FD5B362" w14:textId="4DC0A8D4" w:rsidR="000F0AE9" w:rsidRPr="004F7E34" w:rsidRDefault="000F0AE9" w:rsidP="000F0AE9">
      <w:pPr>
        <w:pStyle w:val="Heading2"/>
      </w:pPr>
      <w:r w:rsidRPr="004F7E34">
        <w:t>Household water use</w:t>
      </w:r>
    </w:p>
    <w:p w14:paraId="34B7D15F" w14:textId="5AAE58A9" w:rsidR="000F0AE9" w:rsidRDefault="00A5581F" w:rsidP="000F0AE9">
      <w:pPr>
        <w:pStyle w:val="Heading3"/>
      </w:pPr>
      <w:r w:rsidRPr="00AB4B9F">
        <w:t>Water supply</w:t>
      </w:r>
    </w:p>
    <w:p w14:paraId="0AE7F50B" w14:textId="5FD3026F" w:rsidR="000F0AE9" w:rsidRDefault="004A33BE" w:rsidP="000F0AE9">
      <w:r>
        <w:t>We calculate separately the energy used to supply water to households and for water heating in the home. For the former</w:t>
      </w:r>
      <w:r w:rsidR="000F0AE9">
        <w:t>, we nee</w:t>
      </w:r>
      <w:r w:rsidR="00F101C7">
        <w:t>d the total water use</w:t>
      </w:r>
      <w:r w:rsidR="000F0AE9">
        <w:t xml:space="preserve"> (L/cap/</w:t>
      </w:r>
      <w:proofErr w:type="spellStart"/>
      <w:r w:rsidR="000F0AE9">
        <w:t>yr</w:t>
      </w:r>
      <w:proofErr w:type="spellEnd"/>
      <w:r w:rsidR="000F0AE9">
        <w:t xml:space="preserve">) in each country, and the energy intensity of water supply infrastructure (MJ/L). From a basic needs perspective, the former </w:t>
      </w:r>
      <w:r w:rsidR="00F101C7">
        <w:t xml:space="preserve">is relatively easy to estimate as </w:t>
      </w:r>
      <w:r w:rsidR="000F0AE9">
        <w:t xml:space="preserve">widely cited recommendations are available. However, the latter is uncertain and dependent upon water </w:t>
      </w:r>
      <w:r w:rsidR="00F101C7">
        <w:t>scarcity relative to local population densities, and how this</w:t>
      </w:r>
      <w:r w:rsidR="000F0AE9">
        <w:t xml:space="preserve"> will vary under future climate change.</w:t>
      </w:r>
    </w:p>
    <w:p w14:paraId="7FB05E11" w14:textId="34D1E20A" w:rsidR="000F0AE9" w:rsidRDefault="000F0AE9" w:rsidP="000F0AE9">
      <w:r>
        <w:t xml:space="preserve">For direct water use, we use data from </w:t>
      </w:r>
      <w:r w:rsidR="007B7FEC" w:rsidRPr="007B7FEC">
        <w:t>Gleick</w:t>
      </w:r>
      <w:r w:rsidR="006A2825" w:rsidRPr="006A2825">
        <w:rPr>
          <w:noProof/>
          <w:vertAlign w:val="superscript"/>
        </w:rPr>
        <w:t>9</w:t>
      </w:r>
      <w:r>
        <w:t xml:space="preserve">. </w:t>
      </w:r>
      <w:r w:rsidR="007B7FEC">
        <w:t>They summarise</w:t>
      </w:r>
      <w:r w:rsidR="00B82769">
        <w:t xml:space="preserve"> </w:t>
      </w:r>
      <w:r>
        <w:t xml:space="preserve">four types of </w:t>
      </w:r>
      <w:r w:rsidR="007B7FEC">
        <w:t xml:space="preserve">home </w:t>
      </w:r>
      <w:r>
        <w:t>water use underpin</w:t>
      </w:r>
      <w:r w:rsidR="007B7FEC">
        <w:t>ning</w:t>
      </w:r>
      <w:r>
        <w:t xml:space="preserve"> basic human needs</w:t>
      </w:r>
      <w:r w:rsidR="001215B8">
        <w:t xml:space="preserve"> –</w:t>
      </w:r>
      <w:r>
        <w:t xml:space="preserve"> </w:t>
      </w:r>
      <w:r w:rsidRPr="00A41104">
        <w:rPr>
          <w:i/>
        </w:rPr>
        <w:t>drinking</w:t>
      </w:r>
      <w:r>
        <w:t xml:space="preserve">, </w:t>
      </w:r>
      <w:r w:rsidRPr="00A41104">
        <w:rPr>
          <w:i/>
        </w:rPr>
        <w:t>sanitation</w:t>
      </w:r>
      <w:r>
        <w:t xml:space="preserve">, </w:t>
      </w:r>
      <w:r w:rsidRPr="00A41104">
        <w:rPr>
          <w:i/>
        </w:rPr>
        <w:t>bathing</w:t>
      </w:r>
      <w:r>
        <w:t xml:space="preserve"> and </w:t>
      </w:r>
      <w:r w:rsidRPr="00A41104">
        <w:rPr>
          <w:i/>
        </w:rPr>
        <w:t>food prep</w:t>
      </w:r>
      <w:r>
        <w:rPr>
          <w:i/>
        </w:rPr>
        <w:t>a</w:t>
      </w:r>
      <w:r w:rsidRPr="00A41104">
        <w:rPr>
          <w:i/>
        </w:rPr>
        <w:t>ration</w:t>
      </w:r>
      <w:r w:rsidR="001215B8">
        <w:t xml:space="preserve"> – and </w:t>
      </w:r>
      <w:r w:rsidR="00B82769">
        <w:t xml:space="preserve">minimum values </w:t>
      </w:r>
      <w:r w:rsidR="007B7FEC">
        <w:t xml:space="preserve">per person </w:t>
      </w:r>
      <w:r w:rsidR="00B82769">
        <w:t>for each, respectively, of</w:t>
      </w:r>
      <w:r>
        <w:t xml:space="preserve"> 1-1.5mL/kcal of food, 20L/day, 15L/day and </w:t>
      </w:r>
      <w:r>
        <w:lastRenderedPageBreak/>
        <w:t>10L/day</w:t>
      </w:r>
      <w:r w:rsidR="00B82769">
        <w:t>. I</w:t>
      </w:r>
      <w:r>
        <w:t>n total</w:t>
      </w:r>
      <w:r w:rsidR="00B82769">
        <w:t xml:space="preserve"> this gives</w:t>
      </w:r>
      <w:r w:rsidR="001215B8">
        <w:t xml:space="preserve"> </w:t>
      </w:r>
      <w:r w:rsidR="007B7FEC">
        <w:t>~</w:t>
      </w:r>
      <w:r w:rsidR="001215B8">
        <w:t>50L/day/cap –</w:t>
      </w:r>
      <w:r>
        <w:t xml:space="preserve"> clos</w:t>
      </w:r>
      <w:r w:rsidR="00B82769">
        <w:t xml:space="preserve">e to the UN </w:t>
      </w:r>
      <w:r w:rsidR="007B7FEC">
        <w:t>range</w:t>
      </w:r>
      <w:r w:rsidR="00B82769">
        <w:t xml:space="preserve"> of 50-100L</w:t>
      </w:r>
      <w:r>
        <w:rPr>
          <w:rStyle w:val="FootnoteReference"/>
        </w:rPr>
        <w:footnoteReference w:id="1"/>
      </w:r>
      <w:r>
        <w:t xml:space="preserve">. This </w:t>
      </w:r>
      <w:r w:rsidR="007B7FEC">
        <w:t>totals</w:t>
      </w:r>
      <w:r>
        <w:t xml:space="preserve"> 7,350-7,406 L/cap/</w:t>
      </w:r>
      <w:proofErr w:type="spellStart"/>
      <w:r>
        <w:t>yr</w:t>
      </w:r>
      <w:proofErr w:type="spellEnd"/>
      <w:r>
        <w:t xml:space="preserve">, with the </w:t>
      </w:r>
      <w:r w:rsidR="007B7FEC">
        <w:t>small</w:t>
      </w:r>
      <w:r>
        <w:t xml:space="preserve"> </w:t>
      </w:r>
      <w:r w:rsidR="00B23CA1">
        <w:t>range</w:t>
      </w:r>
      <w:r>
        <w:t xml:space="preserve"> </w:t>
      </w:r>
      <w:r w:rsidR="007B7FEC">
        <w:t>due to</w:t>
      </w:r>
      <w:r>
        <w:t xml:space="preserve"> variations in average food intake across countries.</w:t>
      </w:r>
    </w:p>
    <w:p w14:paraId="6AD01DA0" w14:textId="2F7FE7B9" w:rsidR="004276DA" w:rsidRDefault="000F0AE9" w:rsidP="009E4ECE">
      <w:r w:rsidRPr="00AC6E96">
        <w:t xml:space="preserve">Before estimating the energy intensity of water supply, we classify each country on a scale of water stress, using data from the </w:t>
      </w:r>
      <w:r w:rsidRPr="00666E94">
        <w:rPr>
          <w:i/>
        </w:rPr>
        <w:t>World Resources Institute</w:t>
      </w:r>
      <w:r w:rsidRPr="00AC6E96">
        <w:t xml:space="preserve"> (WRI). WRI offer projections of water stress for 167 countries for 2020, 2030 and 2040. We </w:t>
      </w:r>
      <w:r w:rsidR="004276DA">
        <w:t xml:space="preserve">tried </w:t>
      </w:r>
      <w:r w:rsidRPr="00AC6E96">
        <w:t>their ‘optimis</w:t>
      </w:r>
      <w:r w:rsidR="004276DA">
        <w:t>tic’ and ‘pessimistic’ scenario data</w:t>
      </w:r>
      <w:r w:rsidRPr="00AC6E96">
        <w:t>, which they base upon the IPCC’s RCP4.5</w:t>
      </w:r>
      <w:r w:rsidR="001215B8">
        <w:t xml:space="preserve"> and</w:t>
      </w:r>
      <w:r w:rsidRPr="00AC6E96">
        <w:t xml:space="preserve"> </w:t>
      </w:r>
      <w:r w:rsidR="006E780A" w:rsidRPr="00AC6E96">
        <w:t>RCP8.5 pathways</w:t>
      </w:r>
      <w:r w:rsidRPr="00AC6E96">
        <w:t>, respectively</w:t>
      </w:r>
      <w:r w:rsidR="00345361">
        <w:t xml:space="preserve">, but to </w:t>
      </w:r>
      <w:r w:rsidR="004276DA">
        <w:t>negligible</w:t>
      </w:r>
      <w:r w:rsidR="00345361">
        <w:t xml:space="preserve"> affect</w:t>
      </w:r>
      <w:r w:rsidR="004276DA">
        <w:t xml:space="preserve"> (the </w:t>
      </w:r>
      <w:r w:rsidR="004276DA">
        <w:rPr>
          <w:i/>
        </w:rPr>
        <w:t>pessimistic</w:t>
      </w:r>
      <w:r w:rsidR="004276DA">
        <w:t xml:space="preserve"> scenario data increases</w:t>
      </w:r>
      <w:r w:rsidR="00B343A0">
        <w:t xml:space="preserve"> DLE</w:t>
      </w:r>
      <w:r w:rsidR="004276DA">
        <w:t xml:space="preserve"> global</w:t>
      </w:r>
      <w:r w:rsidR="00345361">
        <w:t xml:space="preserve"> energy use for 2050 by ~0.1%). W</w:t>
      </w:r>
      <w:r w:rsidR="004276DA">
        <w:t>e</w:t>
      </w:r>
      <w:r w:rsidR="00345361">
        <w:t xml:space="preserve"> thus</w:t>
      </w:r>
      <w:r w:rsidR="004276DA">
        <w:t xml:space="preserve"> use the </w:t>
      </w:r>
      <w:r w:rsidR="004276DA">
        <w:rPr>
          <w:i/>
        </w:rPr>
        <w:t>optimistic</w:t>
      </w:r>
      <w:r w:rsidR="004276DA">
        <w:t xml:space="preserve"> scenario in our DLE </w:t>
      </w:r>
      <w:r w:rsidR="00345361">
        <w:t>calculations</w:t>
      </w:r>
      <w:r w:rsidRPr="00AC6E96">
        <w:t>.</w:t>
      </w:r>
    </w:p>
    <w:p w14:paraId="2C159F6C" w14:textId="04F2D16C" w:rsidR="000F0AE9" w:rsidRDefault="009F2381" w:rsidP="009E4ECE">
      <w:r>
        <w:rPr>
          <w:i/>
        </w:rPr>
        <w:t>WRI</w:t>
      </w:r>
      <w:r w:rsidR="000F0AE9">
        <w:t xml:space="preserve"> measure water stress on a continuous scale from 0-5, where:</w:t>
      </w:r>
    </w:p>
    <w:p w14:paraId="5491C5C7" w14:textId="77777777" w:rsidR="000F0AE9" w:rsidRDefault="000F0AE9" w:rsidP="009F2381">
      <w:pPr>
        <w:spacing w:before="120" w:after="0"/>
        <w:ind w:left="425"/>
      </w:pPr>
      <w:r w:rsidRPr="001215B8">
        <w:rPr>
          <w:b/>
        </w:rPr>
        <w:t>0-1</w:t>
      </w:r>
      <w:r>
        <w:t xml:space="preserve"> is</w:t>
      </w:r>
      <w:r>
        <w:rPr>
          <w:i/>
        </w:rPr>
        <w:t xml:space="preserve"> l</w:t>
      </w:r>
      <w:r w:rsidRPr="000B562C">
        <w:rPr>
          <w:i/>
        </w:rPr>
        <w:t>ow stress</w:t>
      </w:r>
      <w:r>
        <w:t xml:space="preserve"> (&lt;10% of available water withdrawn),</w:t>
      </w:r>
    </w:p>
    <w:p w14:paraId="775D516F" w14:textId="470CFD71" w:rsidR="000F0AE9" w:rsidRDefault="000F0AE9" w:rsidP="000F0AE9">
      <w:pPr>
        <w:spacing w:after="0"/>
        <w:ind w:left="426"/>
      </w:pPr>
      <w:r w:rsidRPr="001215B8">
        <w:rPr>
          <w:b/>
        </w:rPr>
        <w:t>1-2</w:t>
      </w:r>
      <w:r>
        <w:t xml:space="preserve"> is </w:t>
      </w:r>
      <w:r w:rsidRPr="000B562C">
        <w:rPr>
          <w:i/>
        </w:rPr>
        <w:t>low to medium stress</w:t>
      </w:r>
      <w:r>
        <w:t xml:space="preserve"> (10-20%),</w:t>
      </w:r>
    </w:p>
    <w:p w14:paraId="520A0FFA" w14:textId="4645CAEA" w:rsidR="000F0AE9" w:rsidRDefault="000F0AE9" w:rsidP="000F0AE9">
      <w:pPr>
        <w:spacing w:after="0"/>
        <w:ind w:left="426"/>
      </w:pPr>
      <w:r w:rsidRPr="001215B8">
        <w:rPr>
          <w:b/>
        </w:rPr>
        <w:t>2-3</w:t>
      </w:r>
      <w:r>
        <w:t xml:space="preserve"> is </w:t>
      </w:r>
      <w:r w:rsidRPr="000B562C">
        <w:rPr>
          <w:i/>
        </w:rPr>
        <w:t>medium to high</w:t>
      </w:r>
      <w:r>
        <w:t xml:space="preserve"> stress (20-40%),</w:t>
      </w:r>
    </w:p>
    <w:p w14:paraId="6713BF03" w14:textId="559B6A56" w:rsidR="000F0AE9" w:rsidRDefault="000F0AE9" w:rsidP="000F0AE9">
      <w:pPr>
        <w:spacing w:after="0"/>
        <w:ind w:left="426"/>
      </w:pPr>
      <w:r w:rsidRPr="001215B8">
        <w:rPr>
          <w:b/>
        </w:rPr>
        <w:t>3-4</w:t>
      </w:r>
      <w:r>
        <w:t xml:space="preserve"> is </w:t>
      </w:r>
      <w:r>
        <w:rPr>
          <w:i/>
        </w:rPr>
        <w:t>h</w:t>
      </w:r>
      <w:r w:rsidRPr="000B562C">
        <w:rPr>
          <w:i/>
        </w:rPr>
        <w:t>igh stress</w:t>
      </w:r>
      <w:r w:rsidR="005A2B50">
        <w:t xml:space="preserve"> (40-80%</w:t>
      </w:r>
      <w:r>
        <w:t>),</w:t>
      </w:r>
    </w:p>
    <w:p w14:paraId="7B93C415" w14:textId="39F127A7" w:rsidR="000F0AE9" w:rsidRPr="00AC6E96" w:rsidRDefault="000F0AE9" w:rsidP="009F2381">
      <w:pPr>
        <w:ind w:left="425"/>
      </w:pPr>
      <w:r w:rsidRPr="001215B8">
        <w:rPr>
          <w:b/>
        </w:rPr>
        <w:t>4-5</w:t>
      </w:r>
      <w:r>
        <w:t xml:space="preserve"> is </w:t>
      </w:r>
      <w:r>
        <w:rPr>
          <w:i/>
        </w:rPr>
        <w:t>e</w:t>
      </w:r>
      <w:r w:rsidRPr="000B562C">
        <w:rPr>
          <w:i/>
        </w:rPr>
        <w:t>xtremely high</w:t>
      </w:r>
      <w:r>
        <w:rPr>
          <w:i/>
        </w:rPr>
        <w:t xml:space="preserve"> stress</w:t>
      </w:r>
      <w:r>
        <w:t xml:space="preserve"> (&gt;80%).</w:t>
      </w:r>
    </w:p>
    <w:p w14:paraId="483401C7" w14:textId="6AF46916" w:rsidR="000A5765" w:rsidRDefault="00345361" w:rsidP="000A5765">
      <w:r>
        <w:t>D</w:t>
      </w:r>
      <w:r w:rsidR="00F016D4">
        <w:t>ata shows</w:t>
      </w:r>
      <w:r w:rsidR="000F0AE9">
        <w:t xml:space="preserve"> 70 </w:t>
      </w:r>
      <w:r w:rsidR="000F0AE9">
        <w:rPr>
          <w:i/>
        </w:rPr>
        <w:t>low stress</w:t>
      </w:r>
      <w:r w:rsidR="000F0AE9">
        <w:t xml:space="preserve"> countries in 2020, </w:t>
      </w:r>
      <w:r w:rsidR="005A2B50">
        <w:t>in regions from</w:t>
      </w:r>
      <w:r w:rsidR="00F016D4">
        <w:t xml:space="preserve"> Central and W</w:t>
      </w:r>
      <w:r w:rsidR="000F0AE9">
        <w:t>estern Africa</w:t>
      </w:r>
      <w:r w:rsidR="005A2B50">
        <w:t xml:space="preserve"> through Scandinavia</w:t>
      </w:r>
      <w:r w:rsidR="000F0AE9">
        <w:t xml:space="preserve"> to South America. </w:t>
      </w:r>
      <w:r>
        <w:t>In contrast, o</w:t>
      </w:r>
      <w:r w:rsidR="000F0AE9">
        <w:t xml:space="preserve">nly 34 </w:t>
      </w:r>
      <w:r w:rsidR="005A2B50">
        <w:t xml:space="preserve">are </w:t>
      </w:r>
      <w:r w:rsidR="000F0AE9">
        <w:t xml:space="preserve">under </w:t>
      </w:r>
      <w:r w:rsidR="000F0AE9">
        <w:rPr>
          <w:i/>
        </w:rPr>
        <w:t>extremely high stress</w:t>
      </w:r>
      <w:r w:rsidR="000F0AE9">
        <w:t xml:space="preserve"> even by 2040 in the pessimistic </w:t>
      </w:r>
      <w:r>
        <w:t xml:space="preserve">scenario, </w:t>
      </w:r>
      <w:r w:rsidR="000F0AE9">
        <w:t>largely in Northern Africa, Central Asia and the Middle East.</w:t>
      </w:r>
      <w:r w:rsidR="000A5765" w:rsidRPr="000A5765">
        <w:t xml:space="preserve"> </w:t>
      </w:r>
    </w:p>
    <w:p w14:paraId="0BA936CC" w14:textId="15CFB5A3" w:rsidR="000A5765" w:rsidRPr="00D32EF3" w:rsidRDefault="000A5765" w:rsidP="000A5765">
      <w:r>
        <w:t xml:space="preserve">The distribution of countries is shown in Figure 1. It can be seen that temporal and inter-scenario variations are quite small. Consequently, we don’t extrapolate to 2050, and assume that the </w:t>
      </w:r>
      <w:r w:rsidRPr="005A2B50">
        <w:rPr>
          <w:i/>
        </w:rPr>
        <w:t>WRI</w:t>
      </w:r>
      <w:r>
        <w:t xml:space="preserve"> 2040 values are also appropriate then.</w:t>
      </w:r>
    </w:p>
    <w:p w14:paraId="75A7F231" w14:textId="76854C61" w:rsidR="000A5765" w:rsidRDefault="000A5765" w:rsidP="000A5765">
      <w:r>
        <w:t>To each of the five stress levels, we assign five distinct energy intensities of water supply. Estimates for these must include the energy used in (1) extraction and distribution, (2) pre-treatment, (3) waste-water treatment and recovery, and (4) construction of all supporting infrastructure</w:t>
      </w:r>
      <w:r w:rsidRPr="006A2825">
        <w:rPr>
          <w:noProof/>
          <w:vertAlign w:val="superscript"/>
        </w:rPr>
        <w:t>10</w:t>
      </w:r>
      <w:r>
        <w:t>:</w:t>
      </w:r>
    </w:p>
    <w:p w14:paraId="470349F2" w14:textId="7AA10E6E" w:rsidR="000A5765" w:rsidRDefault="000A5765" w:rsidP="000A5765">
      <w:pPr>
        <w:ind w:left="284"/>
      </w:pPr>
      <w:r w:rsidRPr="005A2B50">
        <w:t>The energy intensity of</w:t>
      </w:r>
      <w:r>
        <w:t xml:space="preserve"> </w:t>
      </w:r>
      <w:r w:rsidRPr="005A2B50">
        <w:rPr>
          <w:b/>
        </w:rPr>
        <w:t>extraction and distribution</w:t>
      </w:r>
      <w:r>
        <w:t xml:space="preserve"> varies considerably with the availability of water relative to population densities. Where sufficient water reserves are available from nearby rivers or lakes, extraction and distribution may use well under 1 MJ/m</w:t>
      </w:r>
      <w:r w:rsidRPr="004D7EA7">
        <w:rPr>
          <w:vertAlign w:val="superscript"/>
        </w:rPr>
        <w:t>3</w:t>
      </w:r>
      <w:r>
        <w:t xml:space="preserve"> of water delivered to the home. But where long-distance or deep groundwater pumping is required – as in various highly populated areas of Spain, Mexico, California and Australia – intensities can rise as high as 15 MJ/m</w:t>
      </w:r>
      <w:r w:rsidRPr="004D7EA7">
        <w:rPr>
          <w:vertAlign w:val="superscript"/>
        </w:rPr>
        <w:t>3</w:t>
      </w:r>
      <w:r>
        <w:rPr>
          <w:vertAlign w:val="superscript"/>
        </w:rPr>
        <w:t xml:space="preserve"> </w:t>
      </w:r>
      <w:r w:rsidRPr="006A2825">
        <w:rPr>
          <w:noProof/>
          <w:vertAlign w:val="superscript"/>
        </w:rPr>
        <w:t>10, 11</w:t>
      </w:r>
      <w:r>
        <w:t>.</w:t>
      </w:r>
    </w:p>
    <w:p w14:paraId="50ED6FA4" w14:textId="24D7199B" w:rsidR="009F2381" w:rsidRPr="009F2381" w:rsidRDefault="009F2381" w:rsidP="009F2381">
      <w:pPr>
        <w:spacing w:after="240"/>
      </w:pPr>
    </w:p>
    <w:p w14:paraId="2E3BA968" w14:textId="3D70576B" w:rsidR="000F0AE9" w:rsidRDefault="000A5765" w:rsidP="00D32EF3">
      <w:pPr>
        <w:ind w:left="142" w:hanging="142"/>
      </w:pPr>
      <w:r w:rsidRPr="00593D97">
        <w:rPr>
          <w:noProof/>
          <w:lang w:eastAsia="en-GB"/>
        </w:rPr>
        <w:drawing>
          <wp:anchor distT="0" distB="0" distL="114300" distR="114300" simplePos="0" relativeHeight="251661824" behindDoc="0" locked="0" layoutInCell="1" allowOverlap="1" wp14:anchorId="6CA90B17" wp14:editId="46491B90">
            <wp:simplePos x="0" y="0"/>
            <wp:positionH relativeFrom="margin">
              <wp:align>right</wp:align>
            </wp:positionH>
            <wp:positionV relativeFrom="paragraph">
              <wp:posOffset>107282</wp:posOffset>
            </wp:positionV>
            <wp:extent cx="3959860" cy="2493010"/>
            <wp:effectExtent l="0" t="0" r="254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9860" cy="249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AE9">
        <w:rPr>
          <w:b/>
        </w:rPr>
        <w:t xml:space="preserve">Figure </w:t>
      </w:r>
      <w:r w:rsidR="00B153F8">
        <w:rPr>
          <w:b/>
        </w:rPr>
        <w:t>1</w:t>
      </w:r>
      <w:r w:rsidR="000F0AE9">
        <w:rPr>
          <w:b/>
        </w:rPr>
        <w:t xml:space="preserve">:  </w:t>
      </w:r>
      <w:r w:rsidR="000F0AE9">
        <w:t xml:space="preserve">Frequency distributions of countries across the five water stress categories of WRI Aqueduct, in 2020, 2030 and 2040, with </w:t>
      </w:r>
      <w:r w:rsidR="000F0AE9" w:rsidRPr="007E3B97">
        <w:rPr>
          <w:i/>
        </w:rPr>
        <w:t>Optimistic</w:t>
      </w:r>
      <w:r w:rsidR="000F0AE9">
        <w:t xml:space="preserve"> and </w:t>
      </w:r>
      <w:r w:rsidR="000F0AE9" w:rsidRPr="007E3B97">
        <w:rPr>
          <w:i/>
        </w:rPr>
        <w:t>Pessimistic</w:t>
      </w:r>
      <w:r w:rsidR="000F0AE9">
        <w:t xml:space="preserve"> scenarios shown for the latter two.</w:t>
      </w:r>
    </w:p>
    <w:p w14:paraId="3E44BC8D" w14:textId="58C1F61D" w:rsidR="00D32EF3" w:rsidRDefault="00D32EF3" w:rsidP="00D32EF3"/>
    <w:p w14:paraId="240B8A02" w14:textId="0FE57247" w:rsidR="00D32EF3" w:rsidRDefault="00D32EF3" w:rsidP="00D32EF3"/>
    <w:p w14:paraId="705DBA13" w14:textId="4B418975" w:rsidR="00D32EF3" w:rsidRDefault="00D32EF3" w:rsidP="00D32EF3"/>
    <w:p w14:paraId="25A4329B" w14:textId="77777777" w:rsidR="00C87582" w:rsidRDefault="00C87582" w:rsidP="00D32EF3"/>
    <w:p w14:paraId="31B0EACB" w14:textId="77777777" w:rsidR="00C87582" w:rsidRDefault="00C87582" w:rsidP="00D32EF3"/>
    <w:p w14:paraId="2984D4DA" w14:textId="41FCCA92" w:rsidR="000F0AE9" w:rsidRDefault="005A2B50" w:rsidP="000F0AE9">
      <w:pPr>
        <w:ind w:left="284"/>
      </w:pPr>
      <w:r w:rsidRPr="005A2B50">
        <w:t>The energy intensity of</w:t>
      </w:r>
      <w:r w:rsidR="000F0AE9" w:rsidRPr="006819BD">
        <w:rPr>
          <w:b/>
        </w:rPr>
        <w:t xml:space="preserve"> pre-consumption treatment</w:t>
      </w:r>
      <w:r w:rsidR="000F0AE9">
        <w:t xml:space="preserve"> is relatively low at 0.04-2 MJ/m</w:t>
      </w:r>
      <w:r w:rsidR="000F0AE9" w:rsidRPr="008041E2">
        <w:rPr>
          <w:vertAlign w:val="superscript"/>
        </w:rPr>
        <w:t>3</w:t>
      </w:r>
      <w:r>
        <w:t>. The</w:t>
      </w:r>
      <w:r w:rsidR="000F0AE9">
        <w:t xml:space="preserve"> except</w:t>
      </w:r>
      <w:r>
        <w:t>ion</w:t>
      </w:r>
      <w:r w:rsidR="000F0AE9">
        <w:t xml:space="preserve"> </w:t>
      </w:r>
      <w:r>
        <w:t xml:space="preserve">is </w:t>
      </w:r>
      <w:r w:rsidR="000F0AE9">
        <w:t>if desalination is used to bypass problems of freshwater scarcity</w:t>
      </w:r>
      <w:r>
        <w:t xml:space="preserve"> – this can increase intensities</w:t>
      </w:r>
      <w:r w:rsidR="000F0AE9">
        <w:t xml:space="preserve"> to </w:t>
      </w:r>
      <w:r w:rsidR="000F0AE9">
        <w:rPr>
          <w:rFonts w:cstheme="minorHAnsi"/>
        </w:rPr>
        <w:t>≈</w:t>
      </w:r>
      <w:r w:rsidR="00B728D1">
        <w:rPr>
          <w:rFonts w:cstheme="minorHAnsi"/>
        </w:rPr>
        <w:t xml:space="preserve"> </w:t>
      </w:r>
      <w:r w:rsidR="000F0AE9">
        <w:rPr>
          <w:rFonts w:cstheme="minorHAnsi"/>
        </w:rPr>
        <w:t>10</w:t>
      </w:r>
      <w:r w:rsidR="000F0AE9">
        <w:t xml:space="preserve"> MJ/m</w:t>
      </w:r>
      <w:r w:rsidR="000F0AE9" w:rsidRPr="008041E2">
        <w:rPr>
          <w:vertAlign w:val="superscript"/>
        </w:rPr>
        <w:t>3</w:t>
      </w:r>
      <w:r w:rsidR="000F0AE9">
        <w:t xml:space="preserve"> or more</w:t>
      </w:r>
      <w:r w:rsidR="006A2825" w:rsidRPr="006A2825">
        <w:rPr>
          <w:noProof/>
          <w:vertAlign w:val="superscript"/>
        </w:rPr>
        <w:t>10, 12</w:t>
      </w:r>
      <w:r w:rsidR="000F0AE9">
        <w:t>.</w:t>
      </w:r>
    </w:p>
    <w:p w14:paraId="67E676D3" w14:textId="77777777" w:rsidR="000F0AE9" w:rsidRDefault="000F0AE9" w:rsidP="000F0AE9">
      <w:pPr>
        <w:ind w:left="284"/>
      </w:pPr>
      <w:r w:rsidRPr="006819BD">
        <w:rPr>
          <w:b/>
        </w:rPr>
        <w:t>Waste-water treatment</w:t>
      </w:r>
      <w:r>
        <w:t xml:space="preserve"> is low intensity relative to desalination or long-distance pumping, but remains significant at 1-2 MJ/m</w:t>
      </w:r>
      <w:r w:rsidRPr="00370CE8">
        <w:rPr>
          <w:vertAlign w:val="superscript"/>
        </w:rPr>
        <w:t>3</w:t>
      </w:r>
      <w:r>
        <w:t xml:space="preserve"> in countries from Canada to Taiwan (</w:t>
      </w:r>
      <w:r>
        <w:rPr>
          <w:i/>
        </w:rPr>
        <w:t>ibid</w:t>
      </w:r>
      <w:r>
        <w:t xml:space="preserve">). </w:t>
      </w:r>
      <w:r w:rsidRPr="00310DC6">
        <w:rPr>
          <w:i/>
        </w:rPr>
        <w:t>Recovery</w:t>
      </w:r>
      <w:r>
        <w:t xml:space="preserve"> significantly increases intensities relative to </w:t>
      </w:r>
      <w:r w:rsidRPr="00310DC6">
        <w:rPr>
          <w:i/>
        </w:rPr>
        <w:t>disposal</w:t>
      </w:r>
      <w:r>
        <w:t xml:space="preserve"> (</w:t>
      </w:r>
      <w:r>
        <w:rPr>
          <w:i/>
        </w:rPr>
        <w:t>ibid</w:t>
      </w:r>
      <w:r>
        <w:t>), but we assume the former nonetheless.</w:t>
      </w:r>
    </w:p>
    <w:p w14:paraId="0F696F5F" w14:textId="1F3821E7" w:rsidR="000F0AE9" w:rsidRPr="00214D86" w:rsidRDefault="000F0AE9" w:rsidP="000F0AE9">
      <w:pPr>
        <w:ind w:left="284"/>
      </w:pPr>
      <w:r>
        <w:rPr>
          <w:b/>
        </w:rPr>
        <w:t>Water infrastructure</w:t>
      </w:r>
      <w:r>
        <w:t xml:space="preserve"> </w:t>
      </w:r>
      <w:r w:rsidRPr="000E3FE0">
        <w:rPr>
          <w:b/>
        </w:rPr>
        <w:t>construction</w:t>
      </w:r>
      <w:r>
        <w:t xml:space="preserve"> and associated maintenance is typically small relative to direct energy use</w:t>
      </w:r>
      <w:r w:rsidR="00363232">
        <w:t>,</w:t>
      </w:r>
      <w:r>
        <w:t xml:space="preserve"> </w:t>
      </w:r>
      <w:r w:rsidR="00363232">
        <w:t>b</w:t>
      </w:r>
      <w:r>
        <w:t>ut</w:t>
      </w:r>
      <w:r w:rsidR="00363232">
        <w:t xml:space="preserve"> it remains significant at </w:t>
      </w:r>
      <w:r>
        <w:rPr>
          <w:rFonts w:cstheme="minorHAnsi"/>
        </w:rPr>
        <w:t>≈</w:t>
      </w:r>
      <w:r w:rsidR="00363232">
        <w:rPr>
          <w:rFonts w:cstheme="minorHAnsi"/>
        </w:rPr>
        <w:t xml:space="preserve"> </w:t>
      </w:r>
      <w:r>
        <w:t>0.5 MJ/m</w:t>
      </w:r>
      <w:r w:rsidRPr="00E06365">
        <w:rPr>
          <w:vertAlign w:val="superscript"/>
        </w:rPr>
        <w:t>3</w:t>
      </w:r>
      <w:r>
        <w:t xml:space="preserve"> for conventional surface and ground water systems</w:t>
      </w:r>
      <w:r w:rsidR="00363232">
        <w:t>. Further,</w:t>
      </w:r>
      <w:r>
        <w:t xml:space="preserve"> in cases like rain and storm-water harvesting</w:t>
      </w:r>
      <w:r w:rsidR="00363232">
        <w:t>,</w:t>
      </w:r>
      <w:r>
        <w:t xml:space="preserve"> building infrastructure can be the dominant use of energy</w:t>
      </w:r>
      <w:r w:rsidR="006A2825" w:rsidRPr="006A2825">
        <w:rPr>
          <w:noProof/>
          <w:vertAlign w:val="superscript"/>
        </w:rPr>
        <w:t>11, 12</w:t>
      </w:r>
    </w:p>
    <w:p w14:paraId="37E76D58" w14:textId="517336E8" w:rsidR="00ED0868" w:rsidRDefault="000F0AE9" w:rsidP="000F0AE9">
      <w:r>
        <w:t xml:space="preserve">Given these wide ranges, we use five different energy intensities, as summarised in </w:t>
      </w:r>
      <w:r w:rsidR="00471003">
        <w:t>Table S5</w:t>
      </w:r>
      <w:r>
        <w:t xml:space="preserve">. We use the values from </w:t>
      </w:r>
      <w:proofErr w:type="spellStart"/>
      <w:r w:rsidR="00B728D1" w:rsidRPr="00B728D1">
        <w:t>Godskesen</w:t>
      </w:r>
      <w:proofErr w:type="spellEnd"/>
      <w:r w:rsidR="00B728D1" w:rsidRPr="00B728D1">
        <w:t xml:space="preserve"> et al.</w:t>
      </w:r>
      <w:r w:rsidR="006A2825" w:rsidRPr="006A2825">
        <w:rPr>
          <w:noProof/>
          <w:vertAlign w:val="superscript"/>
        </w:rPr>
        <w:t>12</w:t>
      </w:r>
      <w:r>
        <w:t xml:space="preserve"> for our </w:t>
      </w:r>
      <w:r w:rsidRPr="009C76E3">
        <w:rPr>
          <w:i/>
        </w:rPr>
        <w:t>central</w:t>
      </w:r>
      <w:r>
        <w:t xml:space="preserve"> energy intensities, as they are for conventional ground- and surface-water systems </w:t>
      </w:r>
      <w:r w:rsidRPr="00B728D1">
        <w:rPr>
          <w:i/>
        </w:rPr>
        <w:t>without</w:t>
      </w:r>
      <w:r>
        <w:t xml:space="preserve"> desalination or long-distant pumping. These include direct energy use and that embodied in infrastructure. Our </w:t>
      </w:r>
      <w:r>
        <w:rPr>
          <w:i/>
        </w:rPr>
        <w:t xml:space="preserve">very </w:t>
      </w:r>
      <w:r w:rsidRPr="00593D97">
        <w:rPr>
          <w:i/>
        </w:rPr>
        <w:t>low</w:t>
      </w:r>
      <w:r>
        <w:t xml:space="preserve"> and </w:t>
      </w:r>
      <w:r w:rsidRPr="0006112D">
        <w:rPr>
          <w:i/>
        </w:rPr>
        <w:t>very</w:t>
      </w:r>
      <w:r w:rsidRPr="00AE6F44">
        <w:rPr>
          <w:i/>
        </w:rPr>
        <w:t xml:space="preserve"> high</w:t>
      </w:r>
      <w:r>
        <w:t xml:space="preserve"> values are based on the </w:t>
      </w:r>
      <w:r w:rsidRPr="00AE6F44">
        <w:rPr>
          <w:i/>
        </w:rPr>
        <w:t>low</w:t>
      </w:r>
      <w:r>
        <w:rPr>
          <w:i/>
        </w:rPr>
        <w:t>-</w:t>
      </w:r>
      <w:r>
        <w:t xml:space="preserve"> and </w:t>
      </w:r>
      <w:r>
        <w:rPr>
          <w:i/>
        </w:rPr>
        <w:t>high-</w:t>
      </w:r>
      <w:r w:rsidRPr="00AE6F44">
        <w:rPr>
          <w:i/>
        </w:rPr>
        <w:t>energy</w:t>
      </w:r>
      <w:r>
        <w:t xml:space="preserve"> </w:t>
      </w:r>
      <w:r w:rsidRPr="0006112D">
        <w:t>scenarios</w:t>
      </w:r>
      <w:r>
        <w:t xml:space="preserve"> of </w:t>
      </w:r>
      <w:r w:rsidR="00F86E8B">
        <w:t>Plappally</w:t>
      </w:r>
      <w:r w:rsidR="006A2825" w:rsidRPr="006A2825">
        <w:rPr>
          <w:noProof/>
          <w:vertAlign w:val="superscript"/>
        </w:rPr>
        <w:t>10</w:t>
      </w:r>
      <w:r>
        <w:t xml:space="preserve">, both assuming waste-water recovery. We then add the energy embodied in infrastructure (which they omit) using a correction factor based upon our </w:t>
      </w:r>
      <w:r w:rsidRPr="00593D97">
        <w:rPr>
          <w:i/>
        </w:rPr>
        <w:t>central</w:t>
      </w:r>
      <w:r>
        <w:t xml:space="preserve"> value. Our </w:t>
      </w:r>
      <w:r>
        <w:rPr>
          <w:i/>
        </w:rPr>
        <w:t>low</w:t>
      </w:r>
      <w:r>
        <w:t xml:space="preserve"> and </w:t>
      </w:r>
      <w:r>
        <w:rPr>
          <w:i/>
        </w:rPr>
        <w:t>high</w:t>
      </w:r>
      <w:r>
        <w:t xml:space="preserve"> estimates are set as </w:t>
      </w:r>
      <w:r w:rsidR="00B728D1">
        <w:t>(</w:t>
      </w:r>
      <w:r>
        <w:t>mean</w:t>
      </w:r>
      <w:r w:rsidR="00B728D1">
        <w:t>)</w:t>
      </w:r>
      <w:r>
        <w:t xml:space="preserve"> averages to fill the gaps.</w:t>
      </w:r>
      <w:r w:rsidR="00ED58E4">
        <w:t xml:space="preserve"> T</w:t>
      </w:r>
      <w:r>
        <w:t>he assumed water use of 7,350-7,406 L/cap/</w:t>
      </w:r>
      <w:proofErr w:type="spellStart"/>
      <w:r>
        <w:t>yr</w:t>
      </w:r>
      <w:proofErr w:type="spellEnd"/>
      <w:r>
        <w:t xml:space="preserve"> translates to </w:t>
      </w:r>
      <w:r w:rsidR="002D7223">
        <w:rPr>
          <w:b/>
        </w:rPr>
        <w:t>0.1</w:t>
      </w:r>
      <w:r w:rsidRPr="00D5246D">
        <w:rPr>
          <w:b/>
        </w:rPr>
        <w:t>-0.</w:t>
      </w:r>
      <w:r>
        <w:rPr>
          <w:b/>
        </w:rPr>
        <w:t>3</w:t>
      </w:r>
      <w:r w:rsidRPr="00D5246D">
        <w:rPr>
          <w:b/>
        </w:rPr>
        <w:t xml:space="preserve"> GJ/cap/yr</w:t>
      </w:r>
      <w:r w:rsidR="00ED58E4">
        <w:t>.</w:t>
      </w:r>
    </w:p>
    <w:p w14:paraId="32483DF6" w14:textId="77777777" w:rsidR="00ED0868" w:rsidRPr="00ED0868" w:rsidRDefault="00ED0868" w:rsidP="000F0AE9">
      <w:pPr>
        <w:rPr>
          <w:sz w:val="18"/>
        </w:rPr>
      </w:pPr>
    </w:p>
    <w:tbl>
      <w:tblPr>
        <w:tblW w:w="9072" w:type="dxa"/>
        <w:jc w:val="center"/>
        <w:tblCellMar>
          <w:top w:w="6" w:type="dxa"/>
          <w:left w:w="28" w:type="dxa"/>
          <w:bottom w:w="6" w:type="dxa"/>
          <w:right w:w="28" w:type="dxa"/>
        </w:tblCellMar>
        <w:tblLook w:val="04A0" w:firstRow="1" w:lastRow="0" w:firstColumn="1" w:lastColumn="0" w:noHBand="0" w:noVBand="1"/>
      </w:tblPr>
      <w:tblGrid>
        <w:gridCol w:w="3124"/>
        <w:gridCol w:w="1417"/>
        <w:gridCol w:w="1134"/>
        <w:gridCol w:w="709"/>
        <w:gridCol w:w="992"/>
        <w:gridCol w:w="851"/>
        <w:gridCol w:w="845"/>
      </w:tblGrid>
      <w:tr w:rsidR="000F0AE9" w:rsidRPr="00C07D39" w14:paraId="6C8C7E8B" w14:textId="77777777" w:rsidTr="00D32EF3">
        <w:trPr>
          <w:trHeight w:val="283"/>
          <w:jc w:val="center"/>
        </w:trPr>
        <w:tc>
          <w:tcPr>
            <w:tcW w:w="3124" w:type="dxa"/>
            <w:vMerge w:val="restart"/>
          </w:tcPr>
          <w:p w14:paraId="29A85498" w14:textId="3A2E1FFB" w:rsidR="000F0AE9" w:rsidRPr="00C07D39" w:rsidRDefault="00471003" w:rsidP="000B4E30">
            <w:pPr>
              <w:spacing w:after="0" w:line="240" w:lineRule="auto"/>
              <w:ind w:left="117" w:right="399" w:hanging="117"/>
              <w:rPr>
                <w:rFonts w:eastAsia="Times New Roman" w:cstheme="minorHAnsi"/>
                <w:b/>
                <w:bCs/>
                <w:color w:val="000000"/>
                <w:lang w:eastAsia="en-GB"/>
              </w:rPr>
            </w:pPr>
            <w:r>
              <w:rPr>
                <w:rFonts w:eastAsia="Times New Roman" w:cstheme="minorHAnsi"/>
                <w:b/>
                <w:bCs/>
                <w:color w:val="000000"/>
                <w:lang w:eastAsia="en-GB"/>
              </w:rPr>
              <w:t>Table S5</w:t>
            </w:r>
            <w:r w:rsidR="000F0AE9" w:rsidRPr="00C07D39">
              <w:rPr>
                <w:rFonts w:eastAsia="Times New Roman" w:cstheme="minorHAnsi"/>
                <w:b/>
                <w:bCs/>
                <w:color w:val="000000"/>
                <w:lang w:eastAsia="en-GB"/>
              </w:rPr>
              <w:t xml:space="preserve">:  </w:t>
            </w:r>
            <w:r w:rsidR="000F0AE9">
              <w:rPr>
                <w:rFonts w:eastAsia="Times New Roman" w:cstheme="minorHAnsi"/>
                <w:bCs/>
                <w:color w:val="000000"/>
                <w:lang w:eastAsia="en-GB"/>
              </w:rPr>
              <w:t xml:space="preserve">Energy usage assumptions for water supply. </w:t>
            </w:r>
            <w:r w:rsidR="000F0AE9">
              <w:rPr>
                <w:rFonts w:eastAsia="Times New Roman" w:cstheme="minorHAnsi"/>
                <w:bCs/>
                <w:i/>
                <w:color w:val="000000"/>
                <w:lang w:eastAsia="en-GB"/>
              </w:rPr>
              <w:t>Infrastructure</w:t>
            </w:r>
            <w:r w:rsidR="000F0AE9">
              <w:rPr>
                <w:rFonts w:eastAsia="Times New Roman" w:cstheme="minorHAnsi"/>
                <w:bCs/>
                <w:color w:val="000000"/>
                <w:lang w:eastAsia="en-GB"/>
              </w:rPr>
              <w:t xml:space="preserve"> here refers to the energy used in building the infrastructure.</w:t>
            </w:r>
          </w:p>
        </w:tc>
        <w:tc>
          <w:tcPr>
            <w:tcW w:w="1417" w:type="dxa"/>
            <w:shd w:val="clear" w:color="auto" w:fill="auto"/>
            <w:vAlign w:val="center"/>
          </w:tcPr>
          <w:p w14:paraId="39C20DD5" w14:textId="77777777" w:rsidR="000F0AE9" w:rsidRPr="00C07D39" w:rsidRDefault="000F0AE9" w:rsidP="000F0AE9">
            <w:pPr>
              <w:spacing w:after="0" w:line="240" w:lineRule="auto"/>
              <w:jc w:val="center"/>
              <w:rPr>
                <w:rFonts w:eastAsia="Times New Roman" w:cstheme="minorHAnsi"/>
                <w:b/>
                <w:bCs/>
                <w:color w:val="000000"/>
                <w:lang w:eastAsia="en-GB"/>
              </w:rPr>
            </w:pPr>
          </w:p>
        </w:tc>
        <w:tc>
          <w:tcPr>
            <w:tcW w:w="4531" w:type="dxa"/>
            <w:gridSpan w:val="5"/>
            <w:shd w:val="clear" w:color="auto" w:fill="000000" w:themeFill="text1"/>
            <w:vAlign w:val="center"/>
          </w:tcPr>
          <w:p w14:paraId="64996A36" w14:textId="77777777" w:rsidR="000F0AE9" w:rsidRPr="00C07D39" w:rsidRDefault="000F0AE9" w:rsidP="000F0AE9">
            <w:pPr>
              <w:spacing w:after="0"/>
              <w:jc w:val="center"/>
              <w:rPr>
                <w:rFonts w:cstheme="minorHAnsi"/>
                <w:b/>
                <w:bCs/>
                <w:color w:val="FFFFFF" w:themeColor="background1"/>
              </w:rPr>
            </w:pPr>
            <w:r w:rsidRPr="00C07D39">
              <w:rPr>
                <w:rFonts w:cstheme="minorHAnsi"/>
                <w:b/>
                <w:bCs/>
                <w:color w:val="FFFFFF" w:themeColor="background1"/>
              </w:rPr>
              <w:t xml:space="preserve">Energy </w:t>
            </w:r>
            <w:r w:rsidRPr="00C07D39">
              <w:rPr>
                <w:rFonts w:cstheme="minorHAnsi"/>
                <w:bCs/>
                <w:i/>
                <w:color w:val="FFFFFF" w:themeColor="background1"/>
              </w:rPr>
              <w:t>(MJ/m</w:t>
            </w:r>
            <w:r w:rsidRPr="00C07D39">
              <w:rPr>
                <w:rFonts w:cstheme="minorHAnsi"/>
                <w:bCs/>
                <w:i/>
                <w:color w:val="FFFFFF" w:themeColor="background1"/>
                <w:vertAlign w:val="superscript"/>
              </w:rPr>
              <w:t>3</w:t>
            </w:r>
            <w:r w:rsidRPr="00C07D39">
              <w:rPr>
                <w:rFonts w:cstheme="minorHAnsi"/>
                <w:bCs/>
                <w:i/>
                <w:color w:val="FFFFFF" w:themeColor="background1"/>
              </w:rPr>
              <w:t>; KJ/L)</w:t>
            </w:r>
          </w:p>
        </w:tc>
      </w:tr>
      <w:tr w:rsidR="000F0AE9" w:rsidRPr="00C07D39" w14:paraId="1B972222" w14:textId="77777777" w:rsidTr="00D32EF3">
        <w:trPr>
          <w:trHeight w:val="113"/>
          <w:jc w:val="center"/>
        </w:trPr>
        <w:tc>
          <w:tcPr>
            <w:tcW w:w="3124" w:type="dxa"/>
            <w:vMerge/>
          </w:tcPr>
          <w:p w14:paraId="64DF8E09" w14:textId="77777777" w:rsidR="000F0AE9" w:rsidRPr="00C07D39" w:rsidRDefault="000F0AE9" w:rsidP="000F0AE9">
            <w:pPr>
              <w:spacing w:after="0" w:line="240" w:lineRule="auto"/>
              <w:ind w:left="113" w:right="115" w:hanging="113"/>
              <w:rPr>
                <w:rFonts w:eastAsia="Times New Roman" w:cstheme="minorHAnsi"/>
                <w:b/>
                <w:bCs/>
                <w:color w:val="000000"/>
                <w:lang w:eastAsia="en-GB"/>
              </w:rPr>
            </w:pPr>
          </w:p>
        </w:tc>
        <w:tc>
          <w:tcPr>
            <w:tcW w:w="1417" w:type="dxa"/>
            <w:shd w:val="clear" w:color="auto" w:fill="auto"/>
            <w:vAlign w:val="center"/>
            <w:hideMark/>
          </w:tcPr>
          <w:p w14:paraId="6F58CCB4" w14:textId="77777777" w:rsidR="000F0AE9" w:rsidRPr="00C07D39" w:rsidRDefault="000F0AE9" w:rsidP="000F0AE9">
            <w:pPr>
              <w:spacing w:after="0" w:line="240" w:lineRule="auto"/>
              <w:jc w:val="center"/>
              <w:rPr>
                <w:rFonts w:eastAsia="Times New Roman" w:cstheme="minorHAnsi"/>
                <w:b/>
                <w:bCs/>
                <w:color w:val="000000"/>
                <w:lang w:eastAsia="en-GB"/>
              </w:rPr>
            </w:pPr>
          </w:p>
        </w:tc>
        <w:tc>
          <w:tcPr>
            <w:tcW w:w="1134" w:type="dxa"/>
            <w:shd w:val="clear" w:color="auto" w:fill="595959" w:themeFill="text1" w:themeFillTint="A6"/>
            <w:hideMark/>
          </w:tcPr>
          <w:p w14:paraId="3CB202A3" w14:textId="77777777" w:rsidR="000F0AE9" w:rsidRPr="00C07D39" w:rsidRDefault="000F0AE9" w:rsidP="000F0AE9">
            <w:pPr>
              <w:spacing w:after="0" w:line="240" w:lineRule="auto"/>
              <w:jc w:val="center"/>
              <w:rPr>
                <w:rFonts w:eastAsia="Times New Roman" w:cstheme="minorHAnsi"/>
                <w:color w:val="FFFFFF" w:themeColor="background1"/>
                <w:lang w:eastAsia="en-GB"/>
              </w:rPr>
            </w:pPr>
            <w:r w:rsidRPr="00C07D39">
              <w:rPr>
                <w:rFonts w:cstheme="minorHAnsi"/>
                <w:color w:val="FFFFFF" w:themeColor="background1"/>
              </w:rPr>
              <w:t>V-Low</w:t>
            </w:r>
          </w:p>
        </w:tc>
        <w:tc>
          <w:tcPr>
            <w:tcW w:w="709" w:type="dxa"/>
            <w:shd w:val="clear" w:color="auto" w:fill="404040" w:themeFill="text1" w:themeFillTint="BF"/>
            <w:hideMark/>
          </w:tcPr>
          <w:p w14:paraId="141BFAC3" w14:textId="77777777" w:rsidR="000F0AE9" w:rsidRPr="00C07D39" w:rsidRDefault="000F0AE9" w:rsidP="000F0AE9">
            <w:pPr>
              <w:spacing w:after="0" w:line="240" w:lineRule="auto"/>
              <w:jc w:val="center"/>
              <w:rPr>
                <w:rFonts w:eastAsia="Times New Roman" w:cstheme="minorHAnsi"/>
                <w:color w:val="FFFFFF" w:themeColor="background1"/>
                <w:vertAlign w:val="superscript"/>
                <w:lang w:eastAsia="en-GB"/>
              </w:rPr>
            </w:pPr>
            <w:r w:rsidRPr="00C07D39">
              <w:rPr>
                <w:rFonts w:cstheme="minorHAnsi"/>
                <w:color w:val="FFFFFF" w:themeColor="background1"/>
              </w:rPr>
              <w:t>Low</w:t>
            </w:r>
          </w:p>
        </w:tc>
        <w:tc>
          <w:tcPr>
            <w:tcW w:w="992" w:type="dxa"/>
            <w:shd w:val="clear" w:color="auto" w:fill="595959" w:themeFill="text1" w:themeFillTint="A6"/>
            <w:hideMark/>
          </w:tcPr>
          <w:p w14:paraId="106FD2A0" w14:textId="77777777" w:rsidR="000F0AE9" w:rsidRPr="00C07D39" w:rsidRDefault="000F0AE9" w:rsidP="000F0AE9">
            <w:pPr>
              <w:spacing w:after="0" w:line="240" w:lineRule="auto"/>
              <w:jc w:val="center"/>
              <w:rPr>
                <w:rFonts w:eastAsia="Times New Roman" w:cstheme="minorHAnsi"/>
                <w:color w:val="FFFFFF" w:themeColor="background1"/>
                <w:lang w:eastAsia="en-GB"/>
              </w:rPr>
            </w:pPr>
            <w:r w:rsidRPr="00C07D39">
              <w:rPr>
                <w:rFonts w:cstheme="minorHAnsi"/>
                <w:color w:val="FFFFFF" w:themeColor="background1"/>
              </w:rPr>
              <w:t>Central</w:t>
            </w:r>
          </w:p>
        </w:tc>
        <w:tc>
          <w:tcPr>
            <w:tcW w:w="851" w:type="dxa"/>
            <w:shd w:val="clear" w:color="auto" w:fill="404040" w:themeFill="text1" w:themeFillTint="BF"/>
          </w:tcPr>
          <w:p w14:paraId="2CEFF80D" w14:textId="77777777" w:rsidR="000F0AE9" w:rsidRPr="00C07D39" w:rsidRDefault="000F0AE9" w:rsidP="000F0AE9">
            <w:pPr>
              <w:spacing w:after="0" w:line="240" w:lineRule="auto"/>
              <w:jc w:val="center"/>
              <w:rPr>
                <w:rFonts w:eastAsia="Times New Roman" w:cstheme="minorHAnsi"/>
                <w:color w:val="FFFFFF" w:themeColor="background1"/>
                <w:lang w:eastAsia="en-GB"/>
              </w:rPr>
            </w:pPr>
            <w:r w:rsidRPr="00C07D39">
              <w:rPr>
                <w:rFonts w:cstheme="minorHAnsi"/>
                <w:color w:val="FFFFFF" w:themeColor="background1"/>
              </w:rPr>
              <w:t>High</w:t>
            </w:r>
          </w:p>
        </w:tc>
        <w:tc>
          <w:tcPr>
            <w:tcW w:w="845" w:type="dxa"/>
            <w:shd w:val="clear" w:color="auto" w:fill="595959" w:themeFill="text1" w:themeFillTint="A6"/>
          </w:tcPr>
          <w:p w14:paraId="0D0BDFD8" w14:textId="77777777" w:rsidR="000F0AE9" w:rsidRPr="00C07D39" w:rsidRDefault="000F0AE9" w:rsidP="000F0AE9">
            <w:pPr>
              <w:spacing w:after="0" w:line="240" w:lineRule="auto"/>
              <w:jc w:val="center"/>
              <w:rPr>
                <w:rFonts w:eastAsia="Times New Roman" w:cstheme="minorHAnsi"/>
                <w:color w:val="FFFFFF" w:themeColor="background1"/>
                <w:lang w:eastAsia="en-GB"/>
              </w:rPr>
            </w:pPr>
            <w:r w:rsidRPr="00C07D39">
              <w:rPr>
                <w:rFonts w:cstheme="minorHAnsi"/>
                <w:color w:val="FFFFFF" w:themeColor="background1"/>
              </w:rPr>
              <w:t>V-High</w:t>
            </w:r>
          </w:p>
        </w:tc>
      </w:tr>
      <w:tr w:rsidR="000F0AE9" w:rsidRPr="00C07D39" w14:paraId="17BB1D0A" w14:textId="77777777" w:rsidTr="00D32EF3">
        <w:trPr>
          <w:trHeight w:val="255"/>
          <w:jc w:val="center"/>
        </w:trPr>
        <w:tc>
          <w:tcPr>
            <w:tcW w:w="3124" w:type="dxa"/>
            <w:vMerge/>
          </w:tcPr>
          <w:p w14:paraId="100542D4" w14:textId="77777777" w:rsidR="000F0AE9" w:rsidRPr="00C07D39" w:rsidRDefault="000F0AE9" w:rsidP="000F0AE9">
            <w:pPr>
              <w:spacing w:after="0" w:line="240" w:lineRule="auto"/>
              <w:rPr>
                <w:rFonts w:eastAsia="Times New Roman" w:cstheme="minorHAnsi"/>
                <w:color w:val="000000"/>
                <w:lang w:eastAsia="en-GB"/>
              </w:rPr>
            </w:pPr>
          </w:p>
        </w:tc>
        <w:tc>
          <w:tcPr>
            <w:tcW w:w="1417" w:type="dxa"/>
            <w:shd w:val="clear" w:color="auto" w:fill="BFBFBF" w:themeFill="background1" w:themeFillShade="BF"/>
            <w:noWrap/>
            <w:vAlign w:val="center"/>
            <w:hideMark/>
          </w:tcPr>
          <w:p w14:paraId="34E175A4" w14:textId="77777777" w:rsidR="000F0AE9" w:rsidRPr="00C07D39" w:rsidRDefault="000F0AE9" w:rsidP="000F0AE9">
            <w:pPr>
              <w:spacing w:after="0" w:line="240" w:lineRule="auto"/>
              <w:ind w:left="28"/>
              <w:rPr>
                <w:rFonts w:eastAsia="Times New Roman" w:cstheme="minorHAnsi"/>
                <w:i/>
                <w:color w:val="000000"/>
                <w:lang w:eastAsia="en-GB"/>
              </w:rPr>
            </w:pPr>
            <w:r w:rsidRPr="00C07D39">
              <w:rPr>
                <w:rFonts w:eastAsia="Times New Roman" w:cstheme="minorHAnsi"/>
                <w:i/>
                <w:color w:val="000000"/>
                <w:lang w:eastAsia="en-GB"/>
              </w:rPr>
              <w:t>Direct energy</w:t>
            </w:r>
          </w:p>
        </w:tc>
        <w:tc>
          <w:tcPr>
            <w:tcW w:w="1134" w:type="dxa"/>
            <w:shd w:val="clear" w:color="auto" w:fill="F2F2F2" w:themeFill="background1" w:themeFillShade="F2"/>
            <w:noWrap/>
            <w:vAlign w:val="center"/>
            <w:hideMark/>
          </w:tcPr>
          <w:p w14:paraId="486AD803" w14:textId="77777777" w:rsidR="000F0AE9" w:rsidRPr="00801AAB" w:rsidRDefault="000F0AE9" w:rsidP="000F0AE9">
            <w:pPr>
              <w:spacing w:after="0" w:line="240" w:lineRule="auto"/>
              <w:jc w:val="center"/>
              <w:rPr>
                <w:rFonts w:eastAsia="Times New Roman" w:cstheme="minorHAnsi"/>
                <w:b/>
                <w:color w:val="000000"/>
                <w:lang w:eastAsia="en-GB"/>
              </w:rPr>
            </w:pPr>
            <w:r w:rsidRPr="00801AAB">
              <w:rPr>
                <w:rFonts w:cstheme="minorHAnsi"/>
                <w:b/>
              </w:rPr>
              <w:t>4.0</w:t>
            </w:r>
          </w:p>
        </w:tc>
        <w:tc>
          <w:tcPr>
            <w:tcW w:w="709" w:type="dxa"/>
            <w:shd w:val="clear" w:color="auto" w:fill="D9D9D9" w:themeFill="background1" w:themeFillShade="D9"/>
            <w:noWrap/>
            <w:vAlign w:val="center"/>
            <w:hideMark/>
          </w:tcPr>
          <w:p w14:paraId="45EDD736" w14:textId="77777777" w:rsidR="000F0AE9" w:rsidRPr="00C07D39" w:rsidRDefault="000F0AE9" w:rsidP="000F0AE9">
            <w:pPr>
              <w:spacing w:after="0" w:line="240" w:lineRule="auto"/>
              <w:jc w:val="center"/>
              <w:rPr>
                <w:rFonts w:eastAsia="Times New Roman" w:cstheme="minorHAnsi"/>
                <w:color w:val="000000"/>
                <w:lang w:eastAsia="en-GB"/>
              </w:rPr>
            </w:pPr>
            <w:r w:rsidRPr="00C07D39">
              <w:rPr>
                <w:rFonts w:cstheme="minorHAnsi"/>
              </w:rPr>
              <w:t>6.3</w:t>
            </w:r>
          </w:p>
        </w:tc>
        <w:tc>
          <w:tcPr>
            <w:tcW w:w="992" w:type="dxa"/>
            <w:shd w:val="clear" w:color="auto" w:fill="F2F2F2" w:themeFill="background1" w:themeFillShade="F2"/>
            <w:noWrap/>
            <w:vAlign w:val="center"/>
            <w:hideMark/>
          </w:tcPr>
          <w:p w14:paraId="50661094" w14:textId="77777777" w:rsidR="000F0AE9" w:rsidRPr="00801AAB" w:rsidRDefault="000F0AE9" w:rsidP="000F0AE9">
            <w:pPr>
              <w:spacing w:after="0" w:line="240" w:lineRule="auto"/>
              <w:jc w:val="center"/>
              <w:rPr>
                <w:rFonts w:eastAsia="Times New Roman" w:cstheme="minorHAnsi"/>
                <w:b/>
                <w:color w:val="000000"/>
                <w:lang w:eastAsia="en-GB"/>
              </w:rPr>
            </w:pPr>
            <w:r w:rsidRPr="00801AAB">
              <w:rPr>
                <w:rFonts w:cstheme="minorHAnsi"/>
                <w:b/>
              </w:rPr>
              <w:t>8.7</w:t>
            </w:r>
          </w:p>
        </w:tc>
        <w:tc>
          <w:tcPr>
            <w:tcW w:w="851" w:type="dxa"/>
            <w:shd w:val="clear" w:color="auto" w:fill="D9D9D9" w:themeFill="background1" w:themeFillShade="D9"/>
            <w:vAlign w:val="center"/>
          </w:tcPr>
          <w:p w14:paraId="7696CF0F" w14:textId="77777777" w:rsidR="000F0AE9" w:rsidRPr="00C07D39" w:rsidRDefault="000F0AE9" w:rsidP="000F0AE9">
            <w:pPr>
              <w:spacing w:after="0" w:line="240" w:lineRule="auto"/>
              <w:jc w:val="center"/>
              <w:rPr>
                <w:rFonts w:eastAsia="Times New Roman" w:cstheme="minorHAnsi"/>
                <w:color w:val="000000"/>
                <w:lang w:eastAsia="en-GB"/>
              </w:rPr>
            </w:pPr>
            <w:r w:rsidRPr="00C07D39">
              <w:rPr>
                <w:rFonts w:cstheme="minorHAnsi"/>
              </w:rPr>
              <w:t>11.6</w:t>
            </w:r>
          </w:p>
        </w:tc>
        <w:tc>
          <w:tcPr>
            <w:tcW w:w="845" w:type="dxa"/>
            <w:shd w:val="clear" w:color="auto" w:fill="F2F2F2" w:themeFill="background1" w:themeFillShade="F2"/>
            <w:vAlign w:val="center"/>
          </w:tcPr>
          <w:p w14:paraId="129275BA" w14:textId="77777777" w:rsidR="000F0AE9" w:rsidRPr="00801AAB" w:rsidRDefault="000F0AE9" w:rsidP="000F0AE9">
            <w:pPr>
              <w:spacing w:after="0" w:line="240" w:lineRule="auto"/>
              <w:jc w:val="center"/>
              <w:rPr>
                <w:rFonts w:eastAsia="Times New Roman" w:cstheme="minorHAnsi"/>
                <w:b/>
                <w:color w:val="000000"/>
                <w:lang w:eastAsia="en-GB"/>
              </w:rPr>
            </w:pPr>
            <w:r w:rsidRPr="00801AAB">
              <w:rPr>
                <w:rFonts w:cstheme="minorHAnsi"/>
                <w:b/>
              </w:rPr>
              <w:t>14.4</w:t>
            </w:r>
          </w:p>
        </w:tc>
      </w:tr>
      <w:tr w:rsidR="000F0AE9" w:rsidRPr="00C07D39" w14:paraId="03F5BE90" w14:textId="77777777" w:rsidTr="00D32EF3">
        <w:trPr>
          <w:trHeight w:val="255"/>
          <w:jc w:val="center"/>
        </w:trPr>
        <w:tc>
          <w:tcPr>
            <w:tcW w:w="3124" w:type="dxa"/>
            <w:vMerge/>
          </w:tcPr>
          <w:p w14:paraId="0055D284" w14:textId="77777777" w:rsidR="000F0AE9" w:rsidRPr="00C07D39" w:rsidRDefault="000F0AE9" w:rsidP="000F0AE9">
            <w:pPr>
              <w:spacing w:after="0" w:line="240" w:lineRule="auto"/>
              <w:rPr>
                <w:rFonts w:eastAsia="Times New Roman" w:cstheme="minorHAnsi"/>
                <w:color w:val="000000"/>
                <w:lang w:eastAsia="en-GB"/>
              </w:rPr>
            </w:pPr>
          </w:p>
        </w:tc>
        <w:tc>
          <w:tcPr>
            <w:tcW w:w="1417" w:type="dxa"/>
            <w:tcBorders>
              <w:bottom w:val="single" w:sz="4" w:space="0" w:color="7F7F7F" w:themeColor="text1" w:themeTint="80"/>
            </w:tcBorders>
            <w:shd w:val="clear" w:color="auto" w:fill="BFBFBF" w:themeFill="background1" w:themeFillShade="BF"/>
            <w:noWrap/>
            <w:vAlign w:val="center"/>
            <w:hideMark/>
          </w:tcPr>
          <w:p w14:paraId="7779C92C" w14:textId="77777777" w:rsidR="000F0AE9" w:rsidRPr="00C07D39" w:rsidRDefault="000F0AE9" w:rsidP="000F0AE9">
            <w:pPr>
              <w:spacing w:after="0" w:line="240" w:lineRule="auto"/>
              <w:ind w:left="28"/>
              <w:rPr>
                <w:rFonts w:eastAsia="Times New Roman" w:cstheme="minorHAnsi"/>
                <w:i/>
                <w:color w:val="000000"/>
                <w:lang w:eastAsia="en-GB"/>
              </w:rPr>
            </w:pPr>
            <w:r>
              <w:rPr>
                <w:rFonts w:eastAsia="Times New Roman" w:cstheme="minorHAnsi"/>
                <w:i/>
                <w:color w:val="000000"/>
                <w:lang w:eastAsia="en-GB"/>
              </w:rPr>
              <w:t>I</w:t>
            </w:r>
            <w:r w:rsidRPr="00C07D39">
              <w:rPr>
                <w:rFonts w:eastAsia="Times New Roman" w:cstheme="minorHAnsi"/>
                <w:i/>
                <w:color w:val="000000"/>
                <w:lang w:eastAsia="en-GB"/>
              </w:rPr>
              <w:t>nfrastructure</w:t>
            </w:r>
          </w:p>
        </w:tc>
        <w:tc>
          <w:tcPr>
            <w:tcW w:w="1134" w:type="dxa"/>
            <w:tcBorders>
              <w:bottom w:val="single" w:sz="4" w:space="0" w:color="BFBFBF" w:themeColor="background1" w:themeShade="BF"/>
            </w:tcBorders>
            <w:shd w:val="clear" w:color="auto" w:fill="F2F2F2" w:themeFill="background1" w:themeFillShade="F2"/>
            <w:noWrap/>
            <w:vAlign w:val="center"/>
            <w:hideMark/>
          </w:tcPr>
          <w:p w14:paraId="1627982C" w14:textId="77777777" w:rsidR="000F0AE9" w:rsidRPr="00801AAB" w:rsidRDefault="000F0AE9" w:rsidP="000F0AE9">
            <w:pPr>
              <w:spacing w:after="0" w:line="240" w:lineRule="auto"/>
              <w:jc w:val="center"/>
              <w:rPr>
                <w:rFonts w:eastAsia="Times New Roman" w:cstheme="minorHAnsi"/>
                <w:b/>
                <w:color w:val="000000"/>
                <w:lang w:eastAsia="en-GB"/>
              </w:rPr>
            </w:pPr>
            <w:r w:rsidRPr="00801AAB">
              <w:rPr>
                <w:rFonts w:cstheme="minorHAnsi"/>
                <w:b/>
              </w:rPr>
              <w:t>0.8</w:t>
            </w:r>
          </w:p>
        </w:tc>
        <w:tc>
          <w:tcPr>
            <w:tcW w:w="709" w:type="dxa"/>
            <w:tcBorders>
              <w:bottom w:val="single" w:sz="4" w:space="0" w:color="A6A6A6" w:themeColor="background1" w:themeShade="A6"/>
            </w:tcBorders>
            <w:shd w:val="clear" w:color="auto" w:fill="D9D9D9" w:themeFill="background1" w:themeFillShade="D9"/>
            <w:noWrap/>
            <w:vAlign w:val="center"/>
            <w:hideMark/>
          </w:tcPr>
          <w:p w14:paraId="0805832A" w14:textId="77777777" w:rsidR="000F0AE9" w:rsidRPr="00C07D39" w:rsidRDefault="000F0AE9" w:rsidP="000F0AE9">
            <w:pPr>
              <w:spacing w:after="0" w:line="240" w:lineRule="auto"/>
              <w:jc w:val="center"/>
              <w:rPr>
                <w:rFonts w:eastAsia="Times New Roman" w:cstheme="minorHAnsi"/>
                <w:color w:val="000000"/>
                <w:lang w:eastAsia="en-GB"/>
              </w:rPr>
            </w:pPr>
            <w:r w:rsidRPr="00C07D39">
              <w:rPr>
                <w:rFonts w:cstheme="minorHAnsi"/>
              </w:rPr>
              <w:t>1.3</w:t>
            </w:r>
          </w:p>
        </w:tc>
        <w:tc>
          <w:tcPr>
            <w:tcW w:w="992" w:type="dxa"/>
            <w:tcBorders>
              <w:bottom w:val="single" w:sz="4" w:space="0" w:color="BFBFBF" w:themeColor="background1" w:themeShade="BF"/>
            </w:tcBorders>
            <w:shd w:val="clear" w:color="auto" w:fill="F2F2F2" w:themeFill="background1" w:themeFillShade="F2"/>
            <w:noWrap/>
            <w:vAlign w:val="center"/>
            <w:hideMark/>
          </w:tcPr>
          <w:p w14:paraId="5685980E" w14:textId="77777777" w:rsidR="000F0AE9" w:rsidRPr="00801AAB" w:rsidRDefault="000F0AE9" w:rsidP="000F0AE9">
            <w:pPr>
              <w:spacing w:after="0" w:line="240" w:lineRule="auto"/>
              <w:jc w:val="center"/>
              <w:rPr>
                <w:rFonts w:eastAsia="Times New Roman" w:cstheme="minorHAnsi"/>
                <w:b/>
                <w:color w:val="000000"/>
                <w:lang w:eastAsia="en-GB"/>
              </w:rPr>
            </w:pPr>
            <w:r w:rsidRPr="00801AAB">
              <w:rPr>
                <w:rFonts w:cstheme="minorHAnsi"/>
                <w:b/>
              </w:rPr>
              <w:t>1.8</w:t>
            </w:r>
          </w:p>
        </w:tc>
        <w:tc>
          <w:tcPr>
            <w:tcW w:w="851" w:type="dxa"/>
            <w:tcBorders>
              <w:bottom w:val="single" w:sz="4" w:space="0" w:color="A6A6A6" w:themeColor="background1" w:themeShade="A6"/>
            </w:tcBorders>
            <w:shd w:val="clear" w:color="auto" w:fill="D9D9D9" w:themeFill="background1" w:themeFillShade="D9"/>
            <w:vAlign w:val="center"/>
          </w:tcPr>
          <w:p w14:paraId="5E273AF5" w14:textId="77777777" w:rsidR="000F0AE9" w:rsidRPr="00C07D39" w:rsidRDefault="000F0AE9" w:rsidP="000F0AE9">
            <w:pPr>
              <w:spacing w:after="0" w:line="240" w:lineRule="auto"/>
              <w:jc w:val="center"/>
              <w:rPr>
                <w:rFonts w:eastAsia="Times New Roman" w:cstheme="minorHAnsi"/>
                <w:color w:val="000000"/>
                <w:lang w:eastAsia="en-GB"/>
              </w:rPr>
            </w:pPr>
            <w:r w:rsidRPr="00C07D39">
              <w:rPr>
                <w:rFonts w:cstheme="minorHAnsi"/>
              </w:rPr>
              <w:t>2.4</w:t>
            </w:r>
          </w:p>
        </w:tc>
        <w:tc>
          <w:tcPr>
            <w:tcW w:w="845" w:type="dxa"/>
            <w:tcBorders>
              <w:bottom w:val="single" w:sz="4" w:space="0" w:color="BFBFBF" w:themeColor="background1" w:themeShade="BF"/>
            </w:tcBorders>
            <w:shd w:val="clear" w:color="auto" w:fill="F2F2F2" w:themeFill="background1" w:themeFillShade="F2"/>
            <w:vAlign w:val="center"/>
          </w:tcPr>
          <w:p w14:paraId="220DBC19" w14:textId="77777777" w:rsidR="000F0AE9" w:rsidRPr="00801AAB" w:rsidRDefault="000F0AE9" w:rsidP="000F0AE9">
            <w:pPr>
              <w:spacing w:after="0" w:line="240" w:lineRule="auto"/>
              <w:jc w:val="center"/>
              <w:rPr>
                <w:rFonts w:eastAsia="Times New Roman" w:cstheme="minorHAnsi"/>
                <w:b/>
                <w:color w:val="000000"/>
                <w:lang w:eastAsia="en-GB"/>
              </w:rPr>
            </w:pPr>
            <w:r w:rsidRPr="00801AAB">
              <w:rPr>
                <w:rFonts w:cstheme="minorHAnsi"/>
                <w:b/>
              </w:rPr>
              <w:t>3.0</w:t>
            </w:r>
          </w:p>
        </w:tc>
      </w:tr>
      <w:tr w:rsidR="000F0AE9" w:rsidRPr="00C07D39" w14:paraId="5517445B" w14:textId="77777777" w:rsidTr="00D32EF3">
        <w:trPr>
          <w:trHeight w:val="251"/>
          <w:jc w:val="center"/>
        </w:trPr>
        <w:tc>
          <w:tcPr>
            <w:tcW w:w="3124" w:type="dxa"/>
            <w:vMerge/>
          </w:tcPr>
          <w:p w14:paraId="059C45A0" w14:textId="77777777" w:rsidR="000F0AE9" w:rsidRPr="00C07D39" w:rsidRDefault="000F0AE9" w:rsidP="000F0AE9">
            <w:pPr>
              <w:spacing w:after="0" w:line="240" w:lineRule="auto"/>
              <w:rPr>
                <w:rFonts w:eastAsia="Times New Roman" w:cstheme="minorHAnsi"/>
                <w:color w:val="000000"/>
                <w:lang w:eastAsia="en-GB"/>
              </w:rPr>
            </w:pPr>
          </w:p>
        </w:tc>
        <w:tc>
          <w:tcPr>
            <w:tcW w:w="1417" w:type="dxa"/>
            <w:tcBorders>
              <w:top w:val="single" w:sz="4" w:space="0" w:color="7F7F7F" w:themeColor="text1" w:themeTint="80"/>
            </w:tcBorders>
            <w:shd w:val="clear" w:color="auto" w:fill="BFBFBF" w:themeFill="background1" w:themeFillShade="BF"/>
            <w:noWrap/>
            <w:vAlign w:val="center"/>
            <w:hideMark/>
          </w:tcPr>
          <w:p w14:paraId="5727BE26" w14:textId="77777777" w:rsidR="000F0AE9" w:rsidRPr="00C07D39" w:rsidRDefault="000F0AE9" w:rsidP="000F0AE9">
            <w:pPr>
              <w:spacing w:after="0" w:line="240" w:lineRule="auto"/>
              <w:ind w:left="28"/>
              <w:rPr>
                <w:rFonts w:eastAsia="Times New Roman" w:cstheme="minorHAnsi"/>
                <w:b/>
                <w:color w:val="000000"/>
                <w:lang w:eastAsia="en-GB"/>
              </w:rPr>
            </w:pPr>
            <w:r>
              <w:rPr>
                <w:rFonts w:eastAsia="Times New Roman" w:cstheme="minorHAnsi"/>
                <w:b/>
                <w:color w:val="000000"/>
                <w:lang w:eastAsia="en-GB"/>
              </w:rPr>
              <w:t xml:space="preserve">    Total</w:t>
            </w:r>
          </w:p>
        </w:tc>
        <w:tc>
          <w:tcPr>
            <w:tcW w:w="1134" w:type="dxa"/>
            <w:tcBorders>
              <w:top w:val="single" w:sz="4" w:space="0" w:color="BFBFBF" w:themeColor="background1" w:themeShade="BF"/>
            </w:tcBorders>
            <w:shd w:val="clear" w:color="auto" w:fill="F2F2F2" w:themeFill="background1" w:themeFillShade="F2"/>
            <w:noWrap/>
            <w:vAlign w:val="center"/>
            <w:hideMark/>
          </w:tcPr>
          <w:p w14:paraId="2AB6AC65" w14:textId="77777777" w:rsidR="000F0AE9" w:rsidRPr="00801AAB" w:rsidRDefault="000F0AE9" w:rsidP="000F0AE9">
            <w:pPr>
              <w:spacing w:after="0" w:line="240" w:lineRule="auto"/>
              <w:jc w:val="center"/>
              <w:rPr>
                <w:rFonts w:eastAsia="Times New Roman" w:cstheme="minorHAnsi"/>
                <w:b/>
                <w:color w:val="000000"/>
                <w:lang w:eastAsia="en-GB"/>
              </w:rPr>
            </w:pPr>
            <w:r w:rsidRPr="00801AAB">
              <w:rPr>
                <w:rFonts w:cstheme="minorHAnsi"/>
                <w:b/>
              </w:rPr>
              <w:t>4.8</w:t>
            </w:r>
          </w:p>
        </w:tc>
        <w:tc>
          <w:tcPr>
            <w:tcW w:w="709" w:type="dxa"/>
            <w:tcBorders>
              <w:top w:val="single" w:sz="4" w:space="0" w:color="A6A6A6" w:themeColor="background1" w:themeShade="A6"/>
            </w:tcBorders>
            <w:shd w:val="clear" w:color="auto" w:fill="D9D9D9" w:themeFill="background1" w:themeFillShade="D9"/>
            <w:noWrap/>
            <w:vAlign w:val="center"/>
            <w:hideMark/>
          </w:tcPr>
          <w:p w14:paraId="3D006A72" w14:textId="77777777" w:rsidR="000F0AE9" w:rsidRPr="00C07D39" w:rsidRDefault="000F0AE9" w:rsidP="000F0AE9">
            <w:pPr>
              <w:spacing w:after="0" w:line="240" w:lineRule="auto"/>
              <w:jc w:val="center"/>
              <w:rPr>
                <w:rFonts w:eastAsia="Times New Roman" w:cstheme="minorHAnsi"/>
                <w:color w:val="000000"/>
                <w:lang w:eastAsia="en-GB"/>
              </w:rPr>
            </w:pPr>
            <w:r w:rsidRPr="00C07D39">
              <w:rPr>
                <w:rFonts w:cstheme="minorHAnsi"/>
              </w:rPr>
              <w:t>7.6</w:t>
            </w:r>
          </w:p>
        </w:tc>
        <w:tc>
          <w:tcPr>
            <w:tcW w:w="992" w:type="dxa"/>
            <w:tcBorders>
              <w:top w:val="single" w:sz="4" w:space="0" w:color="BFBFBF" w:themeColor="background1" w:themeShade="BF"/>
            </w:tcBorders>
            <w:shd w:val="clear" w:color="auto" w:fill="F2F2F2" w:themeFill="background1" w:themeFillShade="F2"/>
            <w:noWrap/>
            <w:vAlign w:val="center"/>
            <w:hideMark/>
          </w:tcPr>
          <w:p w14:paraId="54006364" w14:textId="77777777" w:rsidR="000F0AE9" w:rsidRPr="00801AAB" w:rsidRDefault="000F0AE9" w:rsidP="000F0AE9">
            <w:pPr>
              <w:spacing w:after="0" w:line="240" w:lineRule="auto"/>
              <w:jc w:val="center"/>
              <w:rPr>
                <w:rFonts w:eastAsia="Times New Roman" w:cstheme="minorHAnsi"/>
                <w:b/>
                <w:color w:val="000000"/>
                <w:lang w:eastAsia="en-GB"/>
              </w:rPr>
            </w:pPr>
            <w:r w:rsidRPr="00801AAB">
              <w:rPr>
                <w:rFonts w:cstheme="minorHAnsi"/>
                <w:b/>
              </w:rPr>
              <w:t>10.5</w:t>
            </w:r>
          </w:p>
        </w:tc>
        <w:tc>
          <w:tcPr>
            <w:tcW w:w="851" w:type="dxa"/>
            <w:tcBorders>
              <w:top w:val="single" w:sz="4" w:space="0" w:color="A6A6A6" w:themeColor="background1" w:themeShade="A6"/>
            </w:tcBorders>
            <w:shd w:val="clear" w:color="auto" w:fill="D9D9D9" w:themeFill="background1" w:themeFillShade="D9"/>
            <w:vAlign w:val="center"/>
          </w:tcPr>
          <w:p w14:paraId="2DF1D436" w14:textId="77777777" w:rsidR="000F0AE9" w:rsidRPr="00C07D39" w:rsidRDefault="000F0AE9" w:rsidP="000F0AE9">
            <w:pPr>
              <w:spacing w:after="0" w:line="240" w:lineRule="auto"/>
              <w:jc w:val="center"/>
              <w:rPr>
                <w:rFonts w:eastAsia="Times New Roman" w:cstheme="minorHAnsi"/>
                <w:color w:val="000000"/>
                <w:lang w:eastAsia="en-GB"/>
              </w:rPr>
            </w:pPr>
            <w:r w:rsidRPr="00C07D39">
              <w:rPr>
                <w:rFonts w:cstheme="minorHAnsi"/>
              </w:rPr>
              <w:t>14.0</w:t>
            </w:r>
          </w:p>
        </w:tc>
        <w:tc>
          <w:tcPr>
            <w:tcW w:w="845" w:type="dxa"/>
            <w:tcBorders>
              <w:top w:val="single" w:sz="4" w:space="0" w:color="BFBFBF" w:themeColor="background1" w:themeShade="BF"/>
            </w:tcBorders>
            <w:shd w:val="clear" w:color="auto" w:fill="F2F2F2" w:themeFill="background1" w:themeFillShade="F2"/>
            <w:vAlign w:val="center"/>
          </w:tcPr>
          <w:p w14:paraId="3166F023" w14:textId="77777777" w:rsidR="000F0AE9" w:rsidRPr="00801AAB" w:rsidRDefault="000F0AE9" w:rsidP="000F0AE9">
            <w:pPr>
              <w:spacing w:after="0" w:line="240" w:lineRule="auto"/>
              <w:jc w:val="center"/>
              <w:rPr>
                <w:rFonts w:eastAsia="Times New Roman" w:cstheme="minorHAnsi"/>
                <w:b/>
                <w:color w:val="000000"/>
                <w:lang w:eastAsia="en-GB"/>
              </w:rPr>
            </w:pPr>
            <w:r w:rsidRPr="00801AAB">
              <w:rPr>
                <w:rFonts w:cstheme="minorHAnsi"/>
                <w:b/>
              </w:rPr>
              <w:t>17.4</w:t>
            </w:r>
          </w:p>
        </w:tc>
      </w:tr>
    </w:tbl>
    <w:p w14:paraId="68349E13" w14:textId="234075CC" w:rsidR="00D32EF3" w:rsidRPr="00E95AC1" w:rsidRDefault="00D32EF3" w:rsidP="000F0AE9"/>
    <w:p w14:paraId="7AF3E022" w14:textId="77777777" w:rsidR="00D32EF3" w:rsidRPr="00D32EF3" w:rsidRDefault="00D32EF3" w:rsidP="000F0AE9"/>
    <w:tbl>
      <w:tblPr>
        <w:tblStyle w:val="TableGrid"/>
        <w:tblW w:w="0" w:type="auto"/>
        <w:tblCellMar>
          <w:top w:w="28" w:type="dxa"/>
          <w:left w:w="57" w:type="dxa"/>
          <w:bottom w:w="28" w:type="dxa"/>
          <w:right w:w="57" w:type="dxa"/>
        </w:tblCellMar>
        <w:tblLook w:val="04A0" w:firstRow="1" w:lastRow="0" w:firstColumn="1" w:lastColumn="0" w:noHBand="0" w:noVBand="1"/>
      </w:tblPr>
      <w:tblGrid>
        <w:gridCol w:w="2689"/>
        <w:gridCol w:w="1372"/>
        <w:gridCol w:w="1184"/>
        <w:gridCol w:w="851"/>
        <w:gridCol w:w="2409"/>
      </w:tblGrid>
      <w:tr w:rsidR="00D32EF3" w14:paraId="42A00C32" w14:textId="77777777" w:rsidTr="00B02829">
        <w:tc>
          <w:tcPr>
            <w:tcW w:w="2689" w:type="dxa"/>
            <w:vMerge w:val="restart"/>
            <w:tcBorders>
              <w:top w:val="nil"/>
              <w:left w:val="nil"/>
              <w:bottom w:val="nil"/>
              <w:right w:val="nil"/>
            </w:tcBorders>
          </w:tcPr>
          <w:p w14:paraId="1FBF4F29" w14:textId="56C0B383" w:rsidR="00D32EF3" w:rsidRDefault="00471003" w:rsidP="00D32EF3">
            <w:pPr>
              <w:spacing w:after="0"/>
              <w:ind w:left="83" w:right="503" w:hanging="137"/>
            </w:pPr>
            <w:r>
              <w:rPr>
                <w:b/>
              </w:rPr>
              <w:t>Table S6</w:t>
            </w:r>
            <w:r w:rsidR="00D32EF3" w:rsidRPr="002B6878">
              <w:rPr>
                <w:b/>
              </w:rPr>
              <w:t>:</w:t>
            </w:r>
            <w:r w:rsidR="00D32EF3">
              <w:t xml:space="preserve"> </w:t>
            </w:r>
            <w:r w:rsidR="00D32EF3" w:rsidRPr="00F8499F">
              <w:rPr>
                <w:i/>
              </w:rPr>
              <w:t xml:space="preserve"> H</w:t>
            </w:r>
            <w:r w:rsidR="00D32EF3">
              <w:rPr>
                <w:i/>
              </w:rPr>
              <w:t xml:space="preserve">ousehold </w:t>
            </w:r>
            <w:r w:rsidR="00D32EF3" w:rsidRPr="00F8499F">
              <w:rPr>
                <w:i/>
              </w:rPr>
              <w:t xml:space="preserve">consumption of </w:t>
            </w:r>
            <w:r w:rsidR="00D32EF3">
              <w:rPr>
                <w:i/>
              </w:rPr>
              <w:t xml:space="preserve">heated water, based </w:t>
            </w:r>
            <w:r w:rsidR="00D32EF3" w:rsidRPr="00F8499F">
              <w:rPr>
                <w:i/>
              </w:rPr>
              <w:t xml:space="preserve">upon </w:t>
            </w:r>
            <w:proofErr w:type="spellStart"/>
            <w:r w:rsidR="00D32EF3" w:rsidRPr="00F8499F">
              <w:rPr>
                <w:i/>
              </w:rPr>
              <w:t>Gleick</w:t>
            </w:r>
            <w:proofErr w:type="spellEnd"/>
            <w:r w:rsidR="00D32EF3" w:rsidRPr="00F8499F">
              <w:rPr>
                <w:i/>
              </w:rPr>
              <w:t xml:space="preserve"> (1996)</w:t>
            </w:r>
          </w:p>
        </w:tc>
        <w:tc>
          <w:tcPr>
            <w:tcW w:w="1372" w:type="dxa"/>
            <w:tcBorders>
              <w:top w:val="nil"/>
              <w:left w:val="nil"/>
              <w:bottom w:val="nil"/>
              <w:right w:val="nil"/>
            </w:tcBorders>
            <w:shd w:val="clear" w:color="auto" w:fill="262626" w:themeFill="text1" w:themeFillTint="D9"/>
            <w:vAlign w:val="bottom"/>
          </w:tcPr>
          <w:p w14:paraId="094C9EDB" w14:textId="77777777" w:rsidR="00D32EF3" w:rsidRPr="00BB3105" w:rsidRDefault="00D32EF3" w:rsidP="00D32EF3">
            <w:pPr>
              <w:spacing w:after="0"/>
              <w:rPr>
                <w:b/>
              </w:rPr>
            </w:pPr>
            <w:r w:rsidRPr="00BB3105">
              <w:rPr>
                <w:b/>
              </w:rPr>
              <w:t>Water use:</w:t>
            </w:r>
          </w:p>
        </w:tc>
        <w:tc>
          <w:tcPr>
            <w:tcW w:w="1184" w:type="dxa"/>
            <w:tcBorders>
              <w:top w:val="nil"/>
              <w:left w:val="nil"/>
              <w:bottom w:val="nil"/>
              <w:right w:val="nil"/>
            </w:tcBorders>
            <w:shd w:val="clear" w:color="auto" w:fill="595959" w:themeFill="text1" w:themeFillTint="A6"/>
            <w:vAlign w:val="center"/>
          </w:tcPr>
          <w:p w14:paraId="5B76EB8F" w14:textId="77777777" w:rsidR="00D32EF3" w:rsidRPr="00185A1C" w:rsidRDefault="00D32EF3" w:rsidP="00D32EF3">
            <w:pPr>
              <w:spacing w:after="0"/>
              <w:jc w:val="center"/>
              <w:rPr>
                <w:b/>
                <w:color w:val="FFFFFF" w:themeColor="background1"/>
              </w:rPr>
            </w:pPr>
            <w:r w:rsidRPr="00185A1C">
              <w:rPr>
                <w:b/>
                <w:color w:val="FFFFFF" w:themeColor="background1"/>
              </w:rPr>
              <w:t xml:space="preserve">Demand </w:t>
            </w:r>
            <w:r w:rsidRPr="00AC3B67">
              <w:rPr>
                <w:color w:val="FFFFFF" w:themeColor="background1"/>
              </w:rPr>
              <w:t>(L/cap/day)</w:t>
            </w:r>
          </w:p>
        </w:tc>
        <w:tc>
          <w:tcPr>
            <w:tcW w:w="851" w:type="dxa"/>
            <w:tcBorders>
              <w:top w:val="nil"/>
              <w:left w:val="nil"/>
              <w:bottom w:val="nil"/>
              <w:right w:val="nil"/>
            </w:tcBorders>
            <w:shd w:val="clear" w:color="auto" w:fill="262626" w:themeFill="text1" w:themeFillTint="D9"/>
            <w:vAlign w:val="center"/>
          </w:tcPr>
          <w:p w14:paraId="7C37A908" w14:textId="77777777" w:rsidR="00D32EF3" w:rsidRPr="00185A1C" w:rsidRDefault="00D32EF3" w:rsidP="00D32EF3">
            <w:pPr>
              <w:spacing w:after="0"/>
              <w:jc w:val="center"/>
              <w:rPr>
                <w:b/>
                <w:color w:val="FFFFFF" w:themeColor="background1"/>
              </w:rPr>
            </w:pPr>
            <w:r w:rsidRPr="00185A1C">
              <w:rPr>
                <w:b/>
                <w:color w:val="FFFFFF" w:themeColor="background1"/>
              </w:rPr>
              <w:t>Heated fraction</w:t>
            </w:r>
          </w:p>
        </w:tc>
        <w:tc>
          <w:tcPr>
            <w:tcW w:w="2409" w:type="dxa"/>
            <w:tcBorders>
              <w:top w:val="nil"/>
              <w:left w:val="nil"/>
              <w:bottom w:val="nil"/>
              <w:right w:val="nil"/>
            </w:tcBorders>
            <w:shd w:val="clear" w:color="auto" w:fill="595959" w:themeFill="text1" w:themeFillTint="A6"/>
            <w:vAlign w:val="center"/>
          </w:tcPr>
          <w:p w14:paraId="7E5CA12C" w14:textId="77777777" w:rsidR="00D32EF3" w:rsidRPr="00185A1C" w:rsidRDefault="00D32EF3" w:rsidP="00D32EF3">
            <w:pPr>
              <w:spacing w:after="0"/>
              <w:rPr>
                <w:b/>
                <w:color w:val="FFFFFF" w:themeColor="background1"/>
              </w:rPr>
            </w:pPr>
            <w:r w:rsidRPr="00185A1C">
              <w:rPr>
                <w:b/>
                <w:color w:val="FFFFFF" w:themeColor="background1"/>
              </w:rPr>
              <w:t>Details</w:t>
            </w:r>
          </w:p>
        </w:tc>
      </w:tr>
      <w:tr w:rsidR="00D32EF3" w14:paraId="17484A4F" w14:textId="77777777" w:rsidTr="00B02829">
        <w:tc>
          <w:tcPr>
            <w:tcW w:w="2689" w:type="dxa"/>
            <w:vMerge/>
            <w:tcBorders>
              <w:top w:val="nil"/>
              <w:left w:val="nil"/>
              <w:bottom w:val="nil"/>
              <w:right w:val="nil"/>
            </w:tcBorders>
          </w:tcPr>
          <w:p w14:paraId="1100B3B5" w14:textId="77777777" w:rsidR="00D32EF3" w:rsidRDefault="00D32EF3" w:rsidP="00D32EF3">
            <w:pPr>
              <w:spacing w:after="0"/>
              <w:ind w:left="257"/>
            </w:pPr>
          </w:p>
        </w:tc>
        <w:tc>
          <w:tcPr>
            <w:tcW w:w="1372" w:type="dxa"/>
            <w:tcBorders>
              <w:top w:val="nil"/>
              <w:left w:val="nil"/>
              <w:bottom w:val="nil"/>
              <w:right w:val="nil"/>
            </w:tcBorders>
            <w:shd w:val="clear" w:color="auto" w:fill="BFBFBF" w:themeFill="background1" w:themeFillShade="BF"/>
            <w:vAlign w:val="center"/>
          </w:tcPr>
          <w:p w14:paraId="62FADC8D" w14:textId="77777777" w:rsidR="00D32EF3" w:rsidRPr="00AC3B67" w:rsidRDefault="00D32EF3" w:rsidP="00D32EF3">
            <w:pPr>
              <w:spacing w:after="0"/>
              <w:ind w:left="257"/>
              <w:rPr>
                <w:b/>
              </w:rPr>
            </w:pPr>
            <w:r>
              <w:rPr>
                <w:b/>
              </w:rPr>
              <w:t>Bathing</w:t>
            </w:r>
          </w:p>
        </w:tc>
        <w:tc>
          <w:tcPr>
            <w:tcW w:w="1184" w:type="dxa"/>
            <w:tcBorders>
              <w:top w:val="nil"/>
              <w:left w:val="nil"/>
              <w:bottom w:val="nil"/>
              <w:right w:val="nil"/>
            </w:tcBorders>
            <w:shd w:val="clear" w:color="auto" w:fill="F2F2F2" w:themeFill="background1" w:themeFillShade="F2"/>
            <w:vAlign w:val="center"/>
          </w:tcPr>
          <w:p w14:paraId="4CEBF719" w14:textId="77777777" w:rsidR="00D32EF3" w:rsidRDefault="00D32EF3" w:rsidP="00D32EF3">
            <w:pPr>
              <w:spacing w:after="0"/>
              <w:jc w:val="center"/>
            </w:pPr>
            <w:r>
              <w:t>15</w:t>
            </w:r>
          </w:p>
        </w:tc>
        <w:tc>
          <w:tcPr>
            <w:tcW w:w="851" w:type="dxa"/>
            <w:tcBorders>
              <w:top w:val="nil"/>
              <w:left w:val="nil"/>
              <w:bottom w:val="nil"/>
              <w:right w:val="nil"/>
            </w:tcBorders>
            <w:shd w:val="clear" w:color="auto" w:fill="D9D9D9" w:themeFill="background1" w:themeFillShade="D9"/>
            <w:vAlign w:val="center"/>
          </w:tcPr>
          <w:p w14:paraId="137346D0" w14:textId="77777777" w:rsidR="00D32EF3" w:rsidRDefault="00D32EF3" w:rsidP="00D32EF3">
            <w:pPr>
              <w:spacing w:after="0"/>
              <w:jc w:val="center"/>
            </w:pPr>
            <w:r>
              <w:t>100%</w:t>
            </w:r>
          </w:p>
        </w:tc>
        <w:tc>
          <w:tcPr>
            <w:tcW w:w="2409" w:type="dxa"/>
            <w:tcBorders>
              <w:top w:val="nil"/>
              <w:left w:val="nil"/>
              <w:bottom w:val="nil"/>
              <w:right w:val="nil"/>
            </w:tcBorders>
            <w:shd w:val="clear" w:color="auto" w:fill="F2F2F2" w:themeFill="background1" w:themeFillShade="F2"/>
            <w:vAlign w:val="center"/>
          </w:tcPr>
          <w:p w14:paraId="48704D0A" w14:textId="77777777" w:rsidR="00D32EF3" w:rsidRDefault="00D32EF3" w:rsidP="00D32EF3">
            <w:pPr>
              <w:spacing w:after="0"/>
            </w:pPr>
            <w:r>
              <w:t>1 short hot shower daily</w:t>
            </w:r>
          </w:p>
        </w:tc>
      </w:tr>
      <w:tr w:rsidR="00D32EF3" w14:paraId="0032FF1F" w14:textId="77777777" w:rsidTr="00B02829">
        <w:tc>
          <w:tcPr>
            <w:tcW w:w="2689" w:type="dxa"/>
            <w:vMerge/>
            <w:tcBorders>
              <w:top w:val="nil"/>
              <w:left w:val="nil"/>
              <w:bottom w:val="nil"/>
              <w:right w:val="nil"/>
            </w:tcBorders>
          </w:tcPr>
          <w:p w14:paraId="4B576BBA" w14:textId="77777777" w:rsidR="00D32EF3" w:rsidRDefault="00D32EF3" w:rsidP="00D32EF3">
            <w:pPr>
              <w:spacing w:after="0"/>
              <w:ind w:left="257"/>
            </w:pPr>
          </w:p>
        </w:tc>
        <w:tc>
          <w:tcPr>
            <w:tcW w:w="1372" w:type="dxa"/>
            <w:tcBorders>
              <w:top w:val="nil"/>
              <w:left w:val="nil"/>
              <w:bottom w:val="nil"/>
              <w:right w:val="nil"/>
            </w:tcBorders>
            <w:shd w:val="clear" w:color="auto" w:fill="BFBFBF" w:themeFill="background1" w:themeFillShade="BF"/>
            <w:vAlign w:val="center"/>
          </w:tcPr>
          <w:p w14:paraId="73CC8CCB" w14:textId="77777777" w:rsidR="00D32EF3" w:rsidRPr="00AC3B67" w:rsidRDefault="00D32EF3" w:rsidP="00D32EF3">
            <w:pPr>
              <w:spacing w:after="0"/>
              <w:ind w:left="257"/>
              <w:rPr>
                <w:b/>
              </w:rPr>
            </w:pPr>
            <w:r>
              <w:rPr>
                <w:b/>
              </w:rPr>
              <w:t>Sanitation</w:t>
            </w:r>
          </w:p>
        </w:tc>
        <w:tc>
          <w:tcPr>
            <w:tcW w:w="1184" w:type="dxa"/>
            <w:tcBorders>
              <w:top w:val="nil"/>
              <w:left w:val="nil"/>
              <w:bottom w:val="single" w:sz="4" w:space="0" w:color="7F7F7F" w:themeColor="text1" w:themeTint="80"/>
              <w:right w:val="nil"/>
            </w:tcBorders>
            <w:shd w:val="clear" w:color="auto" w:fill="F2F2F2" w:themeFill="background1" w:themeFillShade="F2"/>
            <w:vAlign w:val="center"/>
          </w:tcPr>
          <w:p w14:paraId="094239DE" w14:textId="77777777" w:rsidR="00D32EF3" w:rsidRDefault="00D32EF3" w:rsidP="00D32EF3">
            <w:pPr>
              <w:spacing w:after="0"/>
              <w:jc w:val="center"/>
            </w:pPr>
            <w:r>
              <w:t>20</w:t>
            </w:r>
          </w:p>
        </w:tc>
        <w:tc>
          <w:tcPr>
            <w:tcW w:w="851" w:type="dxa"/>
            <w:tcBorders>
              <w:top w:val="nil"/>
              <w:left w:val="nil"/>
              <w:bottom w:val="single" w:sz="4" w:space="0" w:color="7F7F7F" w:themeColor="text1" w:themeTint="80"/>
              <w:right w:val="nil"/>
            </w:tcBorders>
            <w:shd w:val="clear" w:color="auto" w:fill="D9D9D9" w:themeFill="background1" w:themeFillShade="D9"/>
            <w:vAlign w:val="center"/>
          </w:tcPr>
          <w:p w14:paraId="4CB29F56" w14:textId="77777777" w:rsidR="00D32EF3" w:rsidRDefault="00D32EF3" w:rsidP="00D32EF3">
            <w:pPr>
              <w:spacing w:after="0"/>
              <w:jc w:val="center"/>
            </w:pPr>
            <w:r>
              <w:t>25%</w:t>
            </w:r>
          </w:p>
        </w:tc>
        <w:tc>
          <w:tcPr>
            <w:tcW w:w="2409" w:type="dxa"/>
            <w:tcBorders>
              <w:top w:val="nil"/>
              <w:left w:val="nil"/>
              <w:bottom w:val="single" w:sz="4" w:space="0" w:color="7F7F7F" w:themeColor="text1" w:themeTint="80"/>
              <w:right w:val="nil"/>
            </w:tcBorders>
            <w:shd w:val="clear" w:color="auto" w:fill="F2F2F2" w:themeFill="background1" w:themeFillShade="F2"/>
            <w:vAlign w:val="center"/>
          </w:tcPr>
          <w:p w14:paraId="7B978E17" w14:textId="77777777" w:rsidR="00D32EF3" w:rsidRDefault="00D32EF3" w:rsidP="00D32EF3">
            <w:pPr>
              <w:spacing w:after="0"/>
            </w:pPr>
            <w:r>
              <w:t>Includes flushing toilets</w:t>
            </w:r>
          </w:p>
        </w:tc>
      </w:tr>
      <w:tr w:rsidR="00D32EF3" w14:paraId="561A0B52" w14:textId="77777777" w:rsidTr="00B02829">
        <w:tc>
          <w:tcPr>
            <w:tcW w:w="2689" w:type="dxa"/>
            <w:vMerge/>
            <w:tcBorders>
              <w:top w:val="nil"/>
              <w:left w:val="nil"/>
              <w:bottom w:val="nil"/>
              <w:right w:val="nil"/>
            </w:tcBorders>
          </w:tcPr>
          <w:p w14:paraId="3F71F7FE" w14:textId="77777777" w:rsidR="00D32EF3" w:rsidRDefault="00D32EF3" w:rsidP="00D32EF3">
            <w:pPr>
              <w:spacing w:after="0"/>
              <w:ind w:left="257"/>
            </w:pPr>
          </w:p>
        </w:tc>
        <w:tc>
          <w:tcPr>
            <w:tcW w:w="1372" w:type="dxa"/>
            <w:tcBorders>
              <w:top w:val="nil"/>
              <w:left w:val="nil"/>
              <w:bottom w:val="nil"/>
              <w:right w:val="nil"/>
            </w:tcBorders>
            <w:shd w:val="clear" w:color="auto" w:fill="F2F2F2" w:themeFill="background1" w:themeFillShade="F2"/>
            <w:vAlign w:val="center"/>
          </w:tcPr>
          <w:p w14:paraId="124399CE" w14:textId="77777777" w:rsidR="00D32EF3" w:rsidRDefault="00D32EF3" w:rsidP="00D32EF3">
            <w:pPr>
              <w:spacing w:after="0"/>
              <w:ind w:left="257"/>
            </w:pPr>
          </w:p>
        </w:tc>
        <w:tc>
          <w:tcPr>
            <w:tcW w:w="4444" w:type="dxa"/>
            <w:gridSpan w:val="3"/>
            <w:tcBorders>
              <w:top w:val="single" w:sz="4" w:space="0" w:color="7F7F7F" w:themeColor="text1" w:themeTint="80"/>
              <w:left w:val="nil"/>
              <w:bottom w:val="nil"/>
              <w:right w:val="nil"/>
            </w:tcBorders>
            <w:shd w:val="clear" w:color="auto" w:fill="BFBFBF" w:themeFill="background1" w:themeFillShade="BF"/>
            <w:vAlign w:val="center"/>
          </w:tcPr>
          <w:p w14:paraId="46701D1F" w14:textId="77777777" w:rsidR="00D32EF3" w:rsidRDefault="00D32EF3" w:rsidP="00D32EF3">
            <w:pPr>
              <w:spacing w:after="0"/>
            </w:pPr>
            <w:r>
              <w:t xml:space="preserve">             Total hot water demand:  </w:t>
            </w:r>
            <w:r w:rsidRPr="00185A1C">
              <w:rPr>
                <w:b/>
              </w:rPr>
              <w:t>7,300</w:t>
            </w:r>
            <w:r>
              <w:t xml:space="preserve"> L/cap/</w:t>
            </w:r>
            <w:proofErr w:type="spellStart"/>
            <w:r>
              <w:t>yr</w:t>
            </w:r>
            <w:proofErr w:type="spellEnd"/>
          </w:p>
        </w:tc>
      </w:tr>
    </w:tbl>
    <w:p w14:paraId="3867C2AE" w14:textId="612C52B4" w:rsidR="006D0C7E" w:rsidRDefault="000F0AE9" w:rsidP="00124E55">
      <w:pPr>
        <w:pStyle w:val="Heading3"/>
        <w:spacing w:before="240"/>
      </w:pPr>
      <w:r>
        <w:t>W</w:t>
      </w:r>
      <w:r w:rsidR="008B2C0D">
        <w:t xml:space="preserve">ater </w:t>
      </w:r>
      <w:r w:rsidR="001B24EE">
        <w:t>heating</w:t>
      </w:r>
    </w:p>
    <w:p w14:paraId="7FA45A62" w14:textId="6B1B2124" w:rsidR="00185A1C" w:rsidRDefault="00D13B83" w:rsidP="008B2C0D">
      <w:r>
        <w:t>We assume d</w:t>
      </w:r>
      <w:r w:rsidR="00805112">
        <w:t xml:space="preserve">rinking water </w:t>
      </w:r>
      <w:r>
        <w:t>does</w:t>
      </w:r>
      <w:r w:rsidR="00805112">
        <w:t>n</w:t>
      </w:r>
      <w:r>
        <w:t>’</w:t>
      </w:r>
      <w:r w:rsidR="00805112">
        <w:t xml:space="preserve">t </w:t>
      </w:r>
      <w:r w:rsidR="007C1147">
        <w:t>require heating</w:t>
      </w:r>
      <w:r w:rsidR="00805112">
        <w:t xml:space="preserve">, and </w:t>
      </w:r>
      <w:r>
        <w:t>the energy for heating</w:t>
      </w:r>
      <w:r w:rsidR="00805112">
        <w:t xml:space="preserve"> water used in food preparation </w:t>
      </w:r>
      <w:r>
        <w:t xml:space="preserve">are </w:t>
      </w:r>
      <w:r w:rsidR="00805112">
        <w:t xml:space="preserve">included in the </w:t>
      </w:r>
      <w:r w:rsidR="002457C0">
        <w:rPr>
          <w:i/>
        </w:rPr>
        <w:t>n</w:t>
      </w:r>
      <w:r w:rsidR="000B4E30">
        <w:rPr>
          <w:i/>
        </w:rPr>
        <w:t xml:space="preserve">utrition </w:t>
      </w:r>
      <w:r w:rsidR="00805112">
        <w:t>section</w:t>
      </w:r>
      <w:r w:rsidR="002457C0" w:rsidRPr="002457C0">
        <w:t xml:space="preserve"> </w:t>
      </w:r>
      <w:r w:rsidR="002457C0">
        <w:t>estimates</w:t>
      </w:r>
      <w:r w:rsidR="00805112">
        <w:t>.</w:t>
      </w:r>
      <w:r w:rsidR="000B4E30">
        <w:t xml:space="preserve"> </w:t>
      </w:r>
      <w:r w:rsidR="00805112">
        <w:t>Here, we only estimate the energy requirements for heating water for bathing and sanitation.</w:t>
      </w:r>
      <w:r w:rsidR="002A07B0" w:rsidRPr="002A07B0">
        <w:t xml:space="preserve"> </w:t>
      </w:r>
      <w:r w:rsidR="002A07B0">
        <w:t>We recognise that current consumption of hot drinks is</w:t>
      </w:r>
      <w:r w:rsidR="00BB6721">
        <w:t xml:space="preserve"> </w:t>
      </w:r>
      <w:r w:rsidR="002A07B0">
        <w:t>widespread</w:t>
      </w:r>
      <w:r w:rsidR="00BB6721">
        <w:t xml:space="preserve"> globally</w:t>
      </w:r>
      <w:r w:rsidR="002A07B0">
        <w:t xml:space="preserve">, but this is not formally included in the framework of </w:t>
      </w:r>
      <w:r w:rsidR="002457C0" w:rsidRPr="002457C0">
        <w:t>Rao and Min</w:t>
      </w:r>
      <w:r w:rsidR="006A2825" w:rsidRPr="006A2825">
        <w:rPr>
          <w:noProof/>
          <w:vertAlign w:val="superscript"/>
        </w:rPr>
        <w:t>3</w:t>
      </w:r>
      <w:r w:rsidR="002A07B0">
        <w:t xml:space="preserve"> so we omit th</w:t>
      </w:r>
      <w:r w:rsidR="006E780A">
        <w:t>ese from our results. Adding 1</w:t>
      </w:r>
      <w:r w:rsidR="002A07B0">
        <w:t xml:space="preserve"> L of hot drink/cap/day would increase the below values by </w:t>
      </w:r>
      <w:r w:rsidR="00BB6721">
        <w:t xml:space="preserve">around </w:t>
      </w:r>
      <w:r w:rsidR="006E780A">
        <w:rPr>
          <w:rFonts w:cstheme="minorHAnsi"/>
        </w:rPr>
        <w:t>10</w:t>
      </w:r>
      <w:r w:rsidR="002A07B0">
        <w:t>%.</w:t>
      </w:r>
    </w:p>
    <w:p w14:paraId="5F2C6540" w14:textId="561C4D1C" w:rsidR="00604D89" w:rsidRDefault="00471003" w:rsidP="008B2C0D">
      <w:r>
        <w:t>Table S6</w:t>
      </w:r>
      <w:r w:rsidR="00442D66">
        <w:t xml:space="preserve"> summarise</w:t>
      </w:r>
      <w:r w:rsidR="004F7E34">
        <w:t>s</w:t>
      </w:r>
      <w:r w:rsidR="00442D66">
        <w:t xml:space="preserve"> requirements in volumetric terms. </w:t>
      </w:r>
      <w:r w:rsidR="00250EBD">
        <w:t xml:space="preserve">A daily per </w:t>
      </w:r>
      <w:r w:rsidR="00B2426C">
        <w:t>person</w:t>
      </w:r>
      <w:r w:rsidR="00250EBD">
        <w:t xml:space="preserve"> usage of 5</w:t>
      </w:r>
      <w:r w:rsidR="00B2426C">
        <w:t>L</w:t>
      </w:r>
      <w:r w:rsidR="00250EBD">
        <w:t xml:space="preserve"> </w:t>
      </w:r>
      <w:r w:rsidR="00254861">
        <w:t xml:space="preserve">of hot water </w:t>
      </w:r>
      <w:r w:rsidR="00250EBD">
        <w:t xml:space="preserve">for sanitation </w:t>
      </w:r>
      <w:r w:rsidR="00254861">
        <w:t>and 15</w:t>
      </w:r>
      <w:r w:rsidR="00B2426C">
        <w:t>L</w:t>
      </w:r>
      <w:r w:rsidR="00254861">
        <w:t xml:space="preserve"> for bathing </w:t>
      </w:r>
      <w:r w:rsidR="00250EBD">
        <w:t xml:space="preserve">leads to a </w:t>
      </w:r>
      <w:r w:rsidR="00253E8B">
        <w:t>total</w:t>
      </w:r>
      <w:r w:rsidR="00250EBD">
        <w:t xml:space="preserve"> requirement of 7,300 L</w:t>
      </w:r>
      <w:r w:rsidR="00253E8B">
        <w:t>/cap/yr</w:t>
      </w:r>
      <w:r w:rsidR="00250EBD">
        <w:t>. Th</w:t>
      </w:r>
      <w:r w:rsidR="00DB1B2A">
        <w:t>is</w:t>
      </w:r>
      <w:r w:rsidR="00250EBD">
        <w:t xml:space="preserve"> 5 L</w:t>
      </w:r>
      <w:r w:rsidR="00253E8B">
        <w:t>/day</w:t>
      </w:r>
      <w:r w:rsidR="00250EBD">
        <w:t xml:space="preserve"> comes from</w:t>
      </w:r>
      <w:r w:rsidR="00254861">
        <w:t xml:space="preserve"> starting with the</w:t>
      </w:r>
      <w:r w:rsidR="00250EBD">
        <w:t xml:space="preserve"> 20 L</w:t>
      </w:r>
      <w:r w:rsidR="00253E8B">
        <w:t>/day</w:t>
      </w:r>
      <w:r w:rsidR="00250EBD">
        <w:t xml:space="preserve"> </w:t>
      </w:r>
      <w:r w:rsidR="001576E1">
        <w:t xml:space="preserve">for </w:t>
      </w:r>
      <w:r w:rsidR="001576E1" w:rsidRPr="00D10842">
        <w:rPr>
          <w:i/>
        </w:rPr>
        <w:t>all</w:t>
      </w:r>
      <w:r w:rsidR="001576E1">
        <w:t xml:space="preserve"> sanitation </w:t>
      </w:r>
      <w:r w:rsidR="00250EBD">
        <w:t xml:space="preserve">suggested by </w:t>
      </w:r>
      <w:r w:rsidR="00F86E8B">
        <w:t>Gleick</w:t>
      </w:r>
      <w:r w:rsidR="006A2825" w:rsidRPr="006A2825">
        <w:rPr>
          <w:noProof/>
          <w:vertAlign w:val="superscript"/>
        </w:rPr>
        <w:t>9</w:t>
      </w:r>
      <w:r w:rsidR="00254861">
        <w:t xml:space="preserve">, </w:t>
      </w:r>
      <w:r w:rsidR="00253E8B">
        <w:t xml:space="preserve">and </w:t>
      </w:r>
      <w:r w:rsidR="00254861">
        <w:t>assuming only 25%</w:t>
      </w:r>
      <w:r w:rsidR="00B2426C">
        <w:t xml:space="preserve"> of this is heated; m</w:t>
      </w:r>
      <w:r w:rsidR="00250EBD">
        <w:t xml:space="preserve">uch of </w:t>
      </w:r>
      <w:r w:rsidR="00254861">
        <w:t xml:space="preserve">the </w:t>
      </w:r>
      <w:r w:rsidR="001A7A82">
        <w:t>remaining 15 litres</w:t>
      </w:r>
      <w:r w:rsidR="00254861">
        <w:t xml:space="preserve"> </w:t>
      </w:r>
      <w:r w:rsidR="00DB1B2A">
        <w:t>is for flushing toilets.</w:t>
      </w:r>
    </w:p>
    <w:p w14:paraId="47E0892A" w14:textId="77777777" w:rsidR="000A5765" w:rsidRDefault="000A5765" w:rsidP="000A5765">
      <w:pPr>
        <w:ind w:left="142" w:right="5765" w:hanging="142"/>
      </w:pPr>
      <w:r>
        <w:rPr>
          <w:b/>
        </w:rPr>
        <w:lastRenderedPageBreak/>
        <w:t xml:space="preserve">Figure 2:  </w:t>
      </w:r>
      <w:r>
        <w:t>Energy use requirements for water heating, and heating together with water supply to the home, plotted against each nations’ (current) average temperature.</w:t>
      </w:r>
    </w:p>
    <w:p w14:paraId="4BA080F5" w14:textId="77777777" w:rsidR="000A5765" w:rsidRDefault="000A5765" w:rsidP="008B2C0D"/>
    <w:p w14:paraId="541CEAF9" w14:textId="77777777" w:rsidR="000A5765" w:rsidRDefault="000A5765" w:rsidP="008B2C0D"/>
    <w:p w14:paraId="1349FC56" w14:textId="77777777" w:rsidR="000A5765" w:rsidRDefault="000A5765" w:rsidP="008B2C0D"/>
    <w:p w14:paraId="0C40DEA1" w14:textId="77777777" w:rsidR="000A5765" w:rsidRDefault="000A5765" w:rsidP="008B2C0D"/>
    <w:p w14:paraId="24E7E575" w14:textId="77777777" w:rsidR="000A5765" w:rsidRDefault="000A5765" w:rsidP="008B2C0D"/>
    <w:p w14:paraId="6FD46EC5" w14:textId="77777777" w:rsidR="000A5765" w:rsidRDefault="000A5765" w:rsidP="008B2C0D"/>
    <w:p w14:paraId="453527A2" w14:textId="5375E867" w:rsidR="00DB1B2A" w:rsidRDefault="000A5765" w:rsidP="008B2C0D">
      <w:r w:rsidRPr="00977681">
        <w:rPr>
          <w:noProof/>
          <w:lang w:eastAsia="en-GB"/>
        </w:rPr>
        <w:drawing>
          <wp:anchor distT="0" distB="0" distL="114300" distR="114300" simplePos="0" relativeHeight="251666432" behindDoc="0" locked="0" layoutInCell="1" allowOverlap="1" wp14:anchorId="3BDD84A1" wp14:editId="05A4DC3A">
            <wp:simplePos x="0" y="0"/>
            <wp:positionH relativeFrom="margin">
              <wp:align>right</wp:align>
            </wp:positionH>
            <wp:positionV relativeFrom="margin">
              <wp:posOffset>8689</wp:posOffset>
            </wp:positionV>
            <wp:extent cx="3494021" cy="255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2562"/>
                    <a:stretch/>
                  </pic:blipFill>
                  <pic:spPr bwMode="auto">
                    <a:xfrm>
                      <a:off x="0" y="0"/>
                      <a:ext cx="3494021" cy="25560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4DF0">
        <w:t>Next, the energy use required to heat a given volume of water is needed. This requires the water’s starting and target temperatures (</w:t>
      </w:r>
      <w:r w:rsidR="00104DF0">
        <w:rPr>
          <w:i/>
        </w:rPr>
        <w:t>T</w:t>
      </w:r>
      <w:r w:rsidR="00104DF0" w:rsidRPr="00104DF0">
        <w:rPr>
          <w:vertAlign w:val="subscript"/>
        </w:rPr>
        <w:t>in</w:t>
      </w:r>
      <w:r w:rsidR="00104DF0" w:rsidRPr="00104DF0">
        <w:t xml:space="preserve"> and </w:t>
      </w:r>
      <w:r w:rsidR="00104DF0">
        <w:rPr>
          <w:i/>
        </w:rPr>
        <w:t>T</w:t>
      </w:r>
      <w:r w:rsidR="00104DF0" w:rsidRPr="00104DF0">
        <w:rPr>
          <w:vertAlign w:val="subscript"/>
        </w:rPr>
        <w:t>out</w:t>
      </w:r>
      <w:r w:rsidR="00104DF0">
        <w:t>), heat losses</w:t>
      </w:r>
      <w:r w:rsidR="00330CF0">
        <w:t xml:space="preserve"> in storage and distribution</w:t>
      </w:r>
      <w:r w:rsidR="00104DF0">
        <w:t xml:space="preserve">, and heat transfer efficiency. </w:t>
      </w:r>
      <w:r w:rsidR="00B2426C" w:rsidRPr="00B2426C">
        <w:t>Cullen, Allwood and Borgstein</w:t>
      </w:r>
      <w:r w:rsidR="006A2825" w:rsidRPr="006A2825">
        <w:rPr>
          <w:noProof/>
          <w:vertAlign w:val="superscript"/>
        </w:rPr>
        <w:t>6</w:t>
      </w:r>
      <w:r w:rsidR="00330CF0">
        <w:t xml:space="preserve"> use</w:t>
      </w:r>
      <w:r w:rsidR="0097413C">
        <w:t xml:space="preserve"> </w:t>
      </w:r>
      <w:r w:rsidR="0097413C">
        <w:rPr>
          <w:i/>
        </w:rPr>
        <w:t>T</w:t>
      </w:r>
      <w:r w:rsidR="0097413C">
        <w:rPr>
          <w:vertAlign w:val="subscript"/>
        </w:rPr>
        <w:t>out</w:t>
      </w:r>
      <w:r w:rsidR="0097413C">
        <w:t xml:space="preserve"> </w:t>
      </w:r>
      <w:r w:rsidR="00330CF0">
        <w:t>= 50</w:t>
      </w:r>
      <w:r w:rsidR="00330CF0" w:rsidRPr="00330CF0">
        <w:t>°c</w:t>
      </w:r>
      <w:r w:rsidR="00330CF0">
        <w:t xml:space="preserve">, and highlight that </w:t>
      </w:r>
      <w:r w:rsidR="00C66408">
        <w:t xml:space="preserve">storage and distribution </w:t>
      </w:r>
      <w:r w:rsidR="00330CF0">
        <w:t xml:space="preserve">losses can be eliminated by using point-of-use </w:t>
      </w:r>
      <w:r w:rsidR="00C66408">
        <w:t xml:space="preserve">boilers, </w:t>
      </w:r>
      <w:r w:rsidR="00B2426C">
        <w:t>leading</w:t>
      </w:r>
      <w:r w:rsidR="00D13B83">
        <w:t xml:space="preserve"> to a</w:t>
      </w:r>
      <w:r w:rsidR="00330CF0">
        <w:t xml:space="preserve"> simple equation</w:t>
      </w:r>
      <w:r w:rsidR="00D13B83">
        <w:t xml:space="preserve"> </w:t>
      </w:r>
      <w:r w:rsidR="00B2426C">
        <w:t>for the energy required</w:t>
      </w:r>
      <w:r w:rsidR="00D13B83">
        <w:t xml:space="preserve"> to heat a given volume of water</w:t>
      </w:r>
      <w:r w:rsidR="00330CF0">
        <w:t>:</w:t>
      </w:r>
    </w:p>
    <w:p w14:paraId="233E5476" w14:textId="00B6676C" w:rsidR="00330CF0" w:rsidRPr="00AC3883" w:rsidRDefault="00330CF0" w:rsidP="00330CF0">
      <w:pPr>
        <w:jc w:val="center"/>
      </w:pPr>
      <w:r w:rsidRPr="006E0364">
        <w:rPr>
          <w:i/>
        </w:rPr>
        <w:t>E</w:t>
      </w:r>
      <w:r w:rsidR="006E0364" w:rsidRPr="006E0364">
        <w:rPr>
          <w:i/>
        </w:rPr>
        <w:t>nergy use</w:t>
      </w:r>
      <w:r>
        <w:t xml:space="preserve"> = </w:t>
      </w:r>
      <w:proofErr w:type="spellStart"/>
      <w:r>
        <w:t>C</w:t>
      </w:r>
      <w:r w:rsidRPr="00330CF0">
        <w:rPr>
          <w:vertAlign w:val="subscript"/>
        </w:rPr>
        <w:t>p</w:t>
      </w:r>
      <w:r w:rsidR="00711A35">
        <w:rPr>
          <w:i/>
        </w:rPr>
        <w:t>V</w:t>
      </w:r>
      <w:proofErr w:type="gramStart"/>
      <w:r w:rsidR="00711A35">
        <w:rPr>
          <w:rFonts w:cstheme="minorHAnsi"/>
          <w:i/>
        </w:rPr>
        <w:t>ρ</w:t>
      </w:r>
      <w:proofErr w:type="spellEnd"/>
      <w:r>
        <w:t>(</w:t>
      </w:r>
      <w:proofErr w:type="gramEnd"/>
      <w:r>
        <w:rPr>
          <w:i/>
        </w:rPr>
        <w:t>T</w:t>
      </w:r>
      <w:r>
        <w:rPr>
          <w:vertAlign w:val="subscript"/>
        </w:rPr>
        <w:t>out</w:t>
      </w:r>
      <w:r w:rsidRPr="00104DF0">
        <w:t xml:space="preserve"> </w:t>
      </w:r>
      <w:r>
        <w:t>-</w:t>
      </w:r>
      <w:r w:rsidRPr="00104DF0">
        <w:t xml:space="preserve"> </w:t>
      </w:r>
      <w:r>
        <w:rPr>
          <w:i/>
        </w:rPr>
        <w:t>T</w:t>
      </w:r>
      <w:r>
        <w:rPr>
          <w:vertAlign w:val="subscript"/>
        </w:rPr>
        <w:t>in</w:t>
      </w:r>
      <w:r>
        <w:t xml:space="preserve">) / </w:t>
      </w:r>
      <w:r w:rsidRPr="00330CF0">
        <w:rPr>
          <w:i/>
        </w:rPr>
        <w:t>Eff</w:t>
      </w:r>
      <w:r w:rsidR="00AC3883">
        <w:t>,</w:t>
      </w:r>
    </w:p>
    <w:p w14:paraId="293AE7D8" w14:textId="337FCEEC" w:rsidR="007E0B11" w:rsidRDefault="00AC3883" w:rsidP="00330CF0">
      <w:r>
        <w:t>w</w:t>
      </w:r>
      <w:r w:rsidR="00330CF0">
        <w:t>here</w:t>
      </w:r>
      <w:r w:rsidR="00711A35">
        <w:t xml:space="preserve"> </w:t>
      </w:r>
      <w:r w:rsidR="00711A35">
        <w:rPr>
          <w:i/>
        </w:rPr>
        <w:t>V</w:t>
      </w:r>
      <w:r w:rsidR="00711A35">
        <w:t xml:space="preserve"> is the volume of water and</w:t>
      </w:r>
      <w:r w:rsidR="00330CF0">
        <w:t xml:space="preserve"> </w:t>
      </w:r>
      <w:r w:rsidR="00711A35">
        <w:rPr>
          <w:rFonts w:cstheme="minorHAnsi"/>
          <w:i/>
        </w:rPr>
        <w:t>ρ</w:t>
      </w:r>
      <w:r w:rsidR="00330CF0">
        <w:t xml:space="preserve"> the </w:t>
      </w:r>
      <w:r w:rsidR="00711A35">
        <w:t>density</w:t>
      </w:r>
      <w:r w:rsidR="00330CF0">
        <w:t xml:space="preserve"> (</w:t>
      </w:r>
      <w:r w:rsidR="00711A35">
        <w:t>0.997 kg/L</w:t>
      </w:r>
      <w:r w:rsidR="00330CF0">
        <w:t>), C</w:t>
      </w:r>
      <w:r w:rsidR="00330CF0" w:rsidRPr="00330CF0">
        <w:rPr>
          <w:vertAlign w:val="subscript"/>
        </w:rPr>
        <w:t>p</w:t>
      </w:r>
      <w:r w:rsidR="00330CF0">
        <w:t xml:space="preserve"> is the specific heat capacity of water (</w:t>
      </w:r>
      <w:r w:rsidR="00330CF0" w:rsidRPr="00330CF0">
        <w:t>4</w:t>
      </w:r>
      <w:r w:rsidR="00330CF0">
        <w:t>,</w:t>
      </w:r>
      <w:r w:rsidR="00330CF0" w:rsidRPr="00330CF0">
        <w:t xml:space="preserve">184 </w:t>
      </w:r>
      <w:r w:rsidR="00B2426C">
        <w:t>J/</w:t>
      </w:r>
      <w:proofErr w:type="spellStart"/>
      <w:proofErr w:type="gramStart"/>
      <w:r w:rsidR="00B2426C">
        <w:t>kg.K</w:t>
      </w:r>
      <w:proofErr w:type="spellEnd"/>
      <w:proofErr w:type="gramEnd"/>
      <w:r w:rsidR="00B2426C">
        <w:t>) and</w:t>
      </w:r>
      <w:r w:rsidR="00330CF0">
        <w:t xml:space="preserve"> </w:t>
      </w:r>
      <w:r w:rsidR="00330CF0" w:rsidRPr="00330CF0">
        <w:rPr>
          <w:i/>
        </w:rPr>
        <w:t>E</w:t>
      </w:r>
      <w:r w:rsidR="00330CF0">
        <w:rPr>
          <w:i/>
        </w:rPr>
        <w:t>ff</w:t>
      </w:r>
      <w:r w:rsidR="00330CF0">
        <w:t xml:space="preserve"> is the heat transfer efficiency</w:t>
      </w:r>
      <w:r w:rsidR="00711A35">
        <w:t xml:space="preserve"> of the boiler</w:t>
      </w:r>
      <w:r w:rsidR="00330CF0">
        <w:t xml:space="preserve">. </w:t>
      </w:r>
    </w:p>
    <w:p w14:paraId="2202163C" w14:textId="0C67AB07" w:rsidR="00ED0868" w:rsidRDefault="00B2426C" w:rsidP="00D13B83">
      <w:pPr>
        <w:spacing w:after="240"/>
      </w:pPr>
      <w:r>
        <w:t>Taking</w:t>
      </w:r>
      <w:r w:rsidR="00711A35">
        <w:t xml:space="preserve"> </w:t>
      </w:r>
      <w:r w:rsidR="00711A35">
        <w:rPr>
          <w:i/>
        </w:rPr>
        <w:t>Eff</w:t>
      </w:r>
      <w:r w:rsidR="00711A35">
        <w:t xml:space="preserve"> = 95%, </w:t>
      </w:r>
      <w:r w:rsidR="00330CF0">
        <w:t>a</w:t>
      </w:r>
      <w:r w:rsidR="006E0364">
        <w:t>n intensity</w:t>
      </w:r>
      <w:r w:rsidR="00330CF0">
        <w:t xml:space="preserve"> of </w:t>
      </w:r>
      <w:r w:rsidR="00A83D7B">
        <w:t>4.42</w:t>
      </w:r>
      <w:r w:rsidR="00711A35">
        <w:t xml:space="preserve"> </w:t>
      </w:r>
      <w:r w:rsidR="00A83D7B">
        <w:t>M</w:t>
      </w:r>
      <w:r w:rsidR="00711A35">
        <w:t>J/L/K is obtained. To get total annual energy use per capita for each country, this is multiplied by the total hot water demand (7,300 L) and the required change in temperature, 50</w:t>
      </w:r>
      <w:r w:rsidR="00711A35" w:rsidRPr="00330CF0">
        <w:t>°c</w:t>
      </w:r>
      <w:r w:rsidR="00711A35">
        <w:t xml:space="preserve"> – </w:t>
      </w:r>
      <w:r w:rsidR="00711A35">
        <w:rPr>
          <w:i/>
        </w:rPr>
        <w:t>T</w:t>
      </w:r>
      <w:r w:rsidR="00711A35" w:rsidRPr="00711A35">
        <w:rPr>
          <w:vertAlign w:val="subscript"/>
        </w:rPr>
        <w:t>in</w:t>
      </w:r>
      <w:r w:rsidR="00711A35">
        <w:t>. F</w:t>
      </w:r>
      <w:r w:rsidR="00A83D7B">
        <w:t>inally, f</w:t>
      </w:r>
      <w:r w:rsidR="00711A35">
        <w:t xml:space="preserve">or each country, we simply take the annual average temperature as </w:t>
      </w:r>
      <w:r w:rsidR="00711A35">
        <w:rPr>
          <w:i/>
        </w:rPr>
        <w:t>T</w:t>
      </w:r>
      <w:r w:rsidR="00711A35">
        <w:rPr>
          <w:vertAlign w:val="subscript"/>
        </w:rPr>
        <w:t>in</w:t>
      </w:r>
      <w:r w:rsidR="007E0B11">
        <w:t xml:space="preserve">. </w:t>
      </w:r>
      <w:r w:rsidR="00AC3883">
        <w:t xml:space="preserve">This gives </w:t>
      </w:r>
      <w:r w:rsidR="00977681">
        <w:t xml:space="preserve">the values shown in Figure 2, where </w:t>
      </w:r>
      <w:r w:rsidR="00AC3883">
        <w:t xml:space="preserve">maximum and minimum </w:t>
      </w:r>
      <w:r w:rsidR="00977681">
        <w:t>energy usage for water heating are</w:t>
      </w:r>
      <w:r w:rsidR="00AC3883">
        <w:t xml:space="preserve"> </w:t>
      </w:r>
      <w:r w:rsidR="00AC3883" w:rsidRPr="007614EA">
        <w:rPr>
          <w:b/>
        </w:rPr>
        <w:t>1.</w:t>
      </w:r>
      <w:r w:rsidR="007614EA" w:rsidRPr="007614EA">
        <w:rPr>
          <w:b/>
        </w:rPr>
        <w:t>6</w:t>
      </w:r>
      <w:r w:rsidR="00AC3883" w:rsidRPr="007614EA">
        <w:rPr>
          <w:b/>
        </w:rPr>
        <w:t xml:space="preserve"> GJ</w:t>
      </w:r>
      <w:r w:rsidR="00AC3883" w:rsidRPr="003E5367">
        <w:rPr>
          <w:b/>
        </w:rPr>
        <w:t>/</w:t>
      </w:r>
      <w:proofErr w:type="spellStart"/>
      <w:r w:rsidR="00AC3883" w:rsidRPr="003E5367">
        <w:rPr>
          <w:b/>
        </w:rPr>
        <w:t>yr</w:t>
      </w:r>
      <w:proofErr w:type="spellEnd"/>
      <w:r w:rsidR="00AC3883" w:rsidRPr="003E5367">
        <w:rPr>
          <w:b/>
        </w:rPr>
        <w:t>/cap</w:t>
      </w:r>
      <w:r w:rsidR="00AC3883" w:rsidRPr="007614EA">
        <w:t xml:space="preserve"> (</w:t>
      </w:r>
      <w:r w:rsidR="00977681">
        <w:t xml:space="preserve">e.g. </w:t>
      </w:r>
      <w:r w:rsidR="00AC3883" w:rsidRPr="007614EA">
        <w:t xml:space="preserve">Canada) and </w:t>
      </w:r>
      <w:r w:rsidR="00AC3883" w:rsidRPr="007614EA">
        <w:rPr>
          <w:b/>
        </w:rPr>
        <w:t>0.7 GJ</w:t>
      </w:r>
      <w:r w:rsidR="00AC3883" w:rsidRPr="003E5367">
        <w:rPr>
          <w:b/>
        </w:rPr>
        <w:t>/</w:t>
      </w:r>
      <w:proofErr w:type="spellStart"/>
      <w:r w:rsidR="00AC3883" w:rsidRPr="003E5367">
        <w:rPr>
          <w:b/>
        </w:rPr>
        <w:t>yr</w:t>
      </w:r>
      <w:proofErr w:type="spellEnd"/>
      <w:r w:rsidR="00AC3883" w:rsidRPr="003E5367">
        <w:rPr>
          <w:b/>
        </w:rPr>
        <w:t>/cap</w:t>
      </w:r>
      <w:r w:rsidR="00AC3883" w:rsidRPr="007614EA">
        <w:t xml:space="preserve"> (</w:t>
      </w:r>
      <w:r w:rsidR="00977681">
        <w:t xml:space="preserve">e.g. </w:t>
      </w:r>
      <w:r w:rsidR="00AC3883" w:rsidRPr="007614EA">
        <w:t>Burkina Faso).</w:t>
      </w:r>
      <w:r w:rsidR="005C23C0">
        <w:t xml:space="preserve"> This appears reasonable, as research suggests</w:t>
      </w:r>
      <w:r>
        <w:t xml:space="preserve"> water end-use</w:t>
      </w:r>
      <w:r w:rsidR="005C23C0">
        <w:t xml:space="preserve"> in the home ha</w:t>
      </w:r>
      <w:r>
        <w:t>s</w:t>
      </w:r>
      <w:r w:rsidR="005C23C0">
        <w:t xml:space="preserve"> a much larger carbon footprint than water supply</w:t>
      </w:r>
      <w:r w:rsidR="006A2825" w:rsidRPr="006A2825">
        <w:rPr>
          <w:noProof/>
          <w:vertAlign w:val="superscript"/>
        </w:rPr>
        <w:t>13</w:t>
      </w:r>
      <w:r w:rsidR="005C23C0">
        <w:t>.</w:t>
      </w:r>
    </w:p>
    <w:p w14:paraId="125B0A2F" w14:textId="61C1F788" w:rsidR="000F0AE9" w:rsidRDefault="00F94083" w:rsidP="000F0AE9">
      <w:pPr>
        <w:pStyle w:val="Heading2"/>
      </w:pPr>
      <w:r w:rsidRPr="00AB4B9F">
        <w:t>H</w:t>
      </w:r>
      <w:r w:rsidR="000F0AE9" w:rsidRPr="00AB4B9F">
        <w:t>ousing infrastructure</w:t>
      </w:r>
    </w:p>
    <w:p w14:paraId="49A25B4E" w14:textId="191A6777" w:rsidR="000F0AE9" w:rsidRDefault="00874877" w:rsidP="000F0AE9">
      <w:r>
        <w:t>With</w:t>
      </w:r>
      <w:r w:rsidR="00F94083">
        <w:t xml:space="preserve"> </w:t>
      </w:r>
      <w:r w:rsidR="000F0AE9">
        <w:t>residential floor space</w:t>
      </w:r>
      <w:r>
        <w:t xml:space="preserve"> already</w:t>
      </w:r>
      <w:r w:rsidR="000F0AE9">
        <w:t xml:space="preserve"> estimated, </w:t>
      </w:r>
      <w:r w:rsidR="00F94083">
        <w:t>the only further data required to calculate</w:t>
      </w:r>
      <w:r w:rsidR="000F0AE9">
        <w:t xml:space="preserve"> the energy embodied in residential </w:t>
      </w:r>
      <w:r w:rsidR="00F94083">
        <w:t>buildings is the</w:t>
      </w:r>
      <w:r w:rsidR="000F0AE9">
        <w:t xml:space="preserve"> energy intensity of construction (GJ/m</w:t>
      </w:r>
      <w:r w:rsidR="000F0AE9" w:rsidRPr="00F65D30">
        <w:rPr>
          <w:vertAlign w:val="superscript"/>
        </w:rPr>
        <w:t>2</w:t>
      </w:r>
      <w:r w:rsidR="000F0AE9" w:rsidRPr="00F65D30">
        <w:rPr>
          <w:i/>
        </w:rPr>
        <w:t xml:space="preserve"> </w:t>
      </w:r>
      <w:r w:rsidR="000F0AE9" w:rsidRPr="00F65D30">
        <w:t>built</w:t>
      </w:r>
      <w:r w:rsidR="000F0AE9">
        <w:t>)</w:t>
      </w:r>
      <w:r w:rsidR="00F94083">
        <w:t>,</w:t>
      </w:r>
      <w:r w:rsidR="000F0AE9">
        <w:t xml:space="preserve"> along with building lifetimes. However, data describing this intensity varies markedly due to a multitude of factors, particularly materially</w:t>
      </w:r>
      <w:r w:rsidR="004306E4">
        <w:t xml:space="preserve"> (in)</w:t>
      </w:r>
      <w:r w:rsidR="000F0AE9">
        <w:t>efficient design and choice of materials.</w:t>
      </w:r>
    </w:p>
    <w:p w14:paraId="37E395DC" w14:textId="1D93D56D" w:rsidR="00D13B83" w:rsidRPr="00D13B83" w:rsidRDefault="00977681" w:rsidP="000F0AE9">
      <w:r>
        <w:t>Figure 3</w:t>
      </w:r>
      <w:r w:rsidR="000F0AE9">
        <w:t xml:space="preserve"> shows data from the review of </w:t>
      </w:r>
      <w:r w:rsidR="00874877" w:rsidRPr="00874877">
        <w:t>Ramesh, Prakash and Shukla</w:t>
      </w:r>
      <w:r w:rsidR="006A2825" w:rsidRPr="006A2825">
        <w:rPr>
          <w:noProof/>
          <w:vertAlign w:val="superscript"/>
        </w:rPr>
        <w:t>14</w:t>
      </w:r>
      <w:r w:rsidR="000F0AE9">
        <w:t xml:space="preserve">, alongside values from </w:t>
      </w:r>
      <w:r w:rsidR="00874877" w:rsidRPr="00874877">
        <w:t>Cabeza et al</w:t>
      </w:r>
      <w:r w:rsidR="00874877">
        <w:t>.</w:t>
      </w:r>
      <w:r w:rsidR="006A2825" w:rsidRPr="006A2825">
        <w:rPr>
          <w:noProof/>
          <w:vertAlign w:val="superscript"/>
        </w:rPr>
        <w:t>15</w:t>
      </w:r>
      <w:r w:rsidR="000F0AE9">
        <w:t xml:space="preserve"> and </w:t>
      </w:r>
      <w:proofErr w:type="spellStart"/>
      <w:r w:rsidR="00874877">
        <w:t>Nässén</w:t>
      </w:r>
      <w:proofErr w:type="spellEnd"/>
      <w:r w:rsidR="00874877">
        <w:t xml:space="preserve"> et al.</w:t>
      </w:r>
      <w:r w:rsidR="006A2825" w:rsidRPr="006A2825">
        <w:rPr>
          <w:noProof/>
          <w:vertAlign w:val="superscript"/>
        </w:rPr>
        <w:t>16</w:t>
      </w:r>
      <w:r w:rsidR="000F0AE9">
        <w:t xml:space="preserve">. </w:t>
      </w:r>
      <w:r w:rsidR="00874877" w:rsidRPr="00874877">
        <w:t>Ramesh, Prakash and Shukla</w:t>
      </w:r>
      <w:r w:rsidR="000F0AE9">
        <w:t xml:space="preserve"> find residential construction intensities ranging from 35-500 MJ/m</w:t>
      </w:r>
      <w:r w:rsidR="000F0AE9" w:rsidRPr="00F65D30">
        <w:rPr>
          <w:vertAlign w:val="superscript"/>
        </w:rPr>
        <w:t>2</w:t>
      </w:r>
      <w:r w:rsidR="000F0AE9">
        <w:t>/</w:t>
      </w:r>
      <w:proofErr w:type="spellStart"/>
      <w:r w:rsidR="000F0AE9">
        <w:t>yr</w:t>
      </w:r>
      <w:proofErr w:type="spellEnd"/>
      <w:r w:rsidR="000F0AE9">
        <w:t>, with some concrete frames at 50 MJ/m</w:t>
      </w:r>
      <w:r w:rsidR="000F0AE9" w:rsidRPr="00F65D30">
        <w:rPr>
          <w:vertAlign w:val="superscript"/>
        </w:rPr>
        <w:t>2</w:t>
      </w:r>
      <w:r w:rsidR="000F0AE9">
        <w:t>/</w:t>
      </w:r>
      <w:proofErr w:type="spellStart"/>
      <w:r w:rsidR="000F0AE9">
        <w:t>yr</w:t>
      </w:r>
      <w:proofErr w:type="spellEnd"/>
      <w:r w:rsidR="000F0AE9">
        <w:t xml:space="preserve"> and timber at 33 MJ/m</w:t>
      </w:r>
      <w:r w:rsidR="000F0AE9" w:rsidRPr="00F65D30">
        <w:rPr>
          <w:vertAlign w:val="superscript"/>
        </w:rPr>
        <w:t>2</w:t>
      </w:r>
      <w:r w:rsidR="000F0AE9">
        <w:t xml:space="preserve">/yr. These are given annually as they’re normalised by buildings’ lifetimes (40-100 years in the studies they reviewed). </w:t>
      </w:r>
      <w:r w:rsidR="00874877" w:rsidRPr="00874877">
        <w:t>Cabeza et al.</w:t>
      </w:r>
      <w:r w:rsidR="00874877">
        <w:t xml:space="preserve"> </w:t>
      </w:r>
      <w:r w:rsidR="000F0AE9">
        <w:t xml:space="preserve">and </w:t>
      </w:r>
      <w:r w:rsidR="00874877">
        <w:rPr>
          <w:noProof/>
        </w:rPr>
        <w:t>Nässén</w:t>
      </w:r>
      <w:r w:rsidR="00874877" w:rsidRPr="00B20917">
        <w:rPr>
          <w:i/>
          <w:noProof/>
        </w:rPr>
        <w:t xml:space="preserve"> et al.</w:t>
      </w:r>
      <w:r w:rsidR="000F0AE9">
        <w:t xml:space="preserve"> offer energy intensities of 90-280 MJ/m</w:t>
      </w:r>
      <w:r w:rsidR="000F0AE9" w:rsidRPr="00F65D30">
        <w:rPr>
          <w:vertAlign w:val="superscript"/>
        </w:rPr>
        <w:t>2</w:t>
      </w:r>
      <w:r w:rsidR="000F0AE9">
        <w:t>/</w:t>
      </w:r>
      <w:proofErr w:type="spellStart"/>
      <w:r w:rsidR="000F0AE9">
        <w:t>yr</w:t>
      </w:r>
      <w:proofErr w:type="spellEnd"/>
      <w:r w:rsidR="000F0AE9">
        <w:t xml:space="preserve"> for multi-story residential complexes, with lower values for timber frames, higher for steel, and concrete close (or sometimes lower) than timber.</w:t>
      </w:r>
    </w:p>
    <w:p w14:paraId="2A8C803C" w14:textId="516044ED" w:rsidR="000F0AE9" w:rsidRDefault="009B18E8" w:rsidP="000F0AE9">
      <w:r>
        <w:t>T</w:t>
      </w:r>
      <w:r w:rsidR="000F0AE9">
        <w:t>imber is widely considered to be an attractive building material with respect to carbon emissions</w:t>
      </w:r>
      <w:r w:rsidR="006A2825" w:rsidRPr="006A2825">
        <w:rPr>
          <w:noProof/>
          <w:vertAlign w:val="superscript"/>
        </w:rPr>
        <w:t>17, 18, 19, 20</w:t>
      </w:r>
      <w:r w:rsidR="000F0AE9">
        <w:t xml:space="preserve">, </w:t>
      </w:r>
      <w:r>
        <w:t xml:space="preserve">but </w:t>
      </w:r>
      <w:r w:rsidR="004306E4">
        <w:t xml:space="preserve">reported </w:t>
      </w:r>
      <w:r w:rsidR="000F0AE9">
        <w:t xml:space="preserve">energy intensities </w:t>
      </w:r>
      <w:r w:rsidR="004306E4">
        <w:t xml:space="preserve">aren’t </w:t>
      </w:r>
      <w:r w:rsidR="000F0AE9">
        <w:t xml:space="preserve">substantially lower than </w:t>
      </w:r>
      <w:r w:rsidR="004306E4">
        <w:t xml:space="preserve">for </w:t>
      </w:r>
      <w:r w:rsidR="000F0AE9">
        <w:t xml:space="preserve">concrete </w:t>
      </w:r>
      <w:r>
        <w:t>constructions</w:t>
      </w:r>
      <w:r w:rsidR="000F0AE9">
        <w:t xml:space="preserve">. Further, timber </w:t>
      </w:r>
      <w:r>
        <w:t>isn’t</w:t>
      </w:r>
      <w:r w:rsidR="000F0AE9">
        <w:t xml:space="preserve"> practical where local availability is poor, as long-distance transport can be </w:t>
      </w:r>
      <w:r>
        <w:t>intensive</w:t>
      </w:r>
      <w:r w:rsidR="000F0AE9">
        <w:t xml:space="preserve"> for such a bulky material. The recent </w:t>
      </w:r>
      <w:r w:rsidR="000F0AE9" w:rsidRPr="00D64FB0">
        <w:rPr>
          <w:i/>
        </w:rPr>
        <w:t>Global Status Report</w:t>
      </w:r>
      <w:r w:rsidR="000F0AE9">
        <w:t xml:space="preserve"> from the Global Alliance for </w:t>
      </w:r>
      <w:r w:rsidR="000F0AE9">
        <w:lastRenderedPageBreak/>
        <w:t>Buildings and Construction</w:t>
      </w:r>
      <w:r w:rsidR="006A2825" w:rsidRPr="006A2825">
        <w:rPr>
          <w:noProof/>
          <w:vertAlign w:val="superscript"/>
        </w:rPr>
        <w:t>21</w:t>
      </w:r>
      <w:r w:rsidR="000F0AE9">
        <w:t xml:space="preserve"> suggests that timber buildings only dominate residential construction in three world regions: North America, Oceania, and Africa. In Europe, Asia and Latin America, concrete, masonry and steel construction dominate.</w:t>
      </w:r>
    </w:p>
    <w:p w14:paraId="52E5D8DA" w14:textId="190E950A" w:rsidR="000F0AE9" w:rsidRDefault="000A5765" w:rsidP="000F0AE9">
      <w:r w:rsidRPr="00A35EA1">
        <w:rPr>
          <w:noProof/>
          <w:lang w:eastAsia="en-GB"/>
        </w:rPr>
        <w:drawing>
          <wp:anchor distT="0" distB="0" distL="114300" distR="114300" simplePos="0" relativeHeight="251689984" behindDoc="0" locked="0" layoutInCell="1" allowOverlap="1" wp14:anchorId="5F5EC3E4" wp14:editId="2822721E">
            <wp:simplePos x="0" y="0"/>
            <wp:positionH relativeFrom="margin">
              <wp:posOffset>643255</wp:posOffset>
            </wp:positionH>
            <wp:positionV relativeFrom="paragraph">
              <wp:posOffset>2348865</wp:posOffset>
            </wp:positionV>
            <wp:extent cx="4427855" cy="22104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821" r="547"/>
                    <a:stretch/>
                  </pic:blipFill>
                  <pic:spPr bwMode="auto">
                    <a:xfrm>
                      <a:off x="0" y="0"/>
                      <a:ext cx="4427855" cy="221043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0F0AE9">
        <w:t>Our ap</w:t>
      </w:r>
      <w:r w:rsidR="009B18E8">
        <w:t>proach is thus as follows: (1) w</w:t>
      </w:r>
      <w:r w:rsidR="000F0AE9">
        <w:t xml:space="preserve">e consider residential construction in each country to be either </w:t>
      </w:r>
      <w:r w:rsidR="000F0AE9">
        <w:rPr>
          <w:i/>
        </w:rPr>
        <w:t>low</w:t>
      </w:r>
      <w:r w:rsidR="000F0AE9">
        <w:t xml:space="preserve"> or </w:t>
      </w:r>
      <w:r w:rsidR="000F0AE9">
        <w:rPr>
          <w:i/>
        </w:rPr>
        <w:t>high</w:t>
      </w:r>
      <w:r w:rsidR="009B18E8">
        <w:t xml:space="preserve"> intensity,</w:t>
      </w:r>
      <w:r w:rsidR="000F0AE9">
        <w:t xml:space="preserve"> (2) </w:t>
      </w:r>
      <w:r w:rsidR="009B18E8">
        <w:t>f</w:t>
      </w:r>
      <w:r w:rsidR="000F0AE9">
        <w:t xml:space="preserve">or </w:t>
      </w:r>
      <w:r w:rsidR="004306E4">
        <w:rPr>
          <w:i/>
        </w:rPr>
        <w:t>h</w:t>
      </w:r>
      <w:r w:rsidR="000F0AE9">
        <w:rPr>
          <w:i/>
        </w:rPr>
        <w:t>igh</w:t>
      </w:r>
      <w:r w:rsidR="000F0AE9" w:rsidRPr="0044420F">
        <w:rPr>
          <w:i/>
        </w:rPr>
        <w:t xml:space="preserve"> </w:t>
      </w:r>
      <w:r w:rsidR="000F0AE9">
        <w:t>intensities</w:t>
      </w:r>
      <w:r w:rsidR="004306E4">
        <w:t>,</w:t>
      </w:r>
      <w:r w:rsidR="000F0AE9">
        <w:t xml:space="preserve"> we assume a significant fraction of concrete and non-biomass materials are used</w:t>
      </w:r>
      <w:r w:rsidR="004306E4">
        <w:t>, giving construction intensity</w:t>
      </w:r>
      <w:r w:rsidR="000F0AE9">
        <w:t xml:space="preserve"> </w:t>
      </w:r>
      <w:r w:rsidR="004306E4">
        <w:t xml:space="preserve">of </w:t>
      </w:r>
      <w:r w:rsidR="000F0AE9">
        <w:t>50 MJ/m</w:t>
      </w:r>
      <w:r w:rsidR="000F0AE9" w:rsidRPr="0044420F">
        <w:rPr>
          <w:vertAlign w:val="superscript"/>
        </w:rPr>
        <w:t>2</w:t>
      </w:r>
      <w:r w:rsidR="009B18E8">
        <w:t>/</w:t>
      </w:r>
      <w:proofErr w:type="spellStart"/>
      <w:r w:rsidR="009B18E8">
        <w:t>yr</w:t>
      </w:r>
      <w:proofErr w:type="spellEnd"/>
      <w:r w:rsidR="004306E4">
        <w:t xml:space="preserve"> </w:t>
      </w:r>
      <w:r w:rsidR="009B18E8">
        <w:t>(</w:t>
      </w:r>
      <w:r w:rsidR="004306E4">
        <w:t xml:space="preserve">i.e. </w:t>
      </w:r>
      <w:r w:rsidR="000F0AE9">
        <w:t>the low end of Ramesh’s review</w:t>
      </w:r>
      <w:r w:rsidR="004306E4">
        <w:t xml:space="preserve"> for these materials,</w:t>
      </w:r>
      <w:r w:rsidR="000F0AE9">
        <w:t xml:space="preserve"> </w:t>
      </w:r>
      <w:r w:rsidR="004306E4">
        <w:t>which could likely be obtained with high</w:t>
      </w:r>
      <w:r w:rsidR="000F0AE9">
        <w:t xml:space="preserve"> material efficiency and</w:t>
      </w:r>
      <w:r w:rsidR="004306E4">
        <w:t>/or</w:t>
      </w:r>
      <w:r w:rsidR="000F0AE9">
        <w:t xml:space="preserve"> extension of b</w:t>
      </w:r>
      <w:r w:rsidR="003124A2">
        <w:t xml:space="preserve">uildings’ lifetimes to 80 </w:t>
      </w:r>
      <w:proofErr w:type="spellStart"/>
      <w:r w:rsidR="003124A2">
        <w:t>yrs</w:t>
      </w:r>
      <w:proofErr w:type="spellEnd"/>
      <w:r w:rsidR="009B18E8">
        <w:t>),</w:t>
      </w:r>
      <w:r w:rsidR="000F0AE9">
        <w:t xml:space="preserve"> (3) </w:t>
      </w:r>
      <w:r w:rsidR="009B18E8">
        <w:t>f</w:t>
      </w:r>
      <w:r w:rsidR="000F0AE9">
        <w:t xml:space="preserve">or </w:t>
      </w:r>
      <w:r w:rsidR="004306E4">
        <w:rPr>
          <w:i/>
        </w:rPr>
        <w:t>l</w:t>
      </w:r>
      <w:r w:rsidR="000F0AE9" w:rsidRPr="00A056A3">
        <w:rPr>
          <w:i/>
        </w:rPr>
        <w:t>ow</w:t>
      </w:r>
      <w:r w:rsidR="000F0AE9">
        <w:t xml:space="preserve"> intensities</w:t>
      </w:r>
      <w:r w:rsidR="003124A2">
        <w:t>,</w:t>
      </w:r>
      <w:r w:rsidR="000F0AE9">
        <w:t xml:space="preserve"> we assume </w:t>
      </w:r>
      <w:r w:rsidR="004306E4">
        <w:t xml:space="preserve">timber-framed buildings with an intensity of </w:t>
      </w:r>
      <w:r w:rsidR="000F0AE9">
        <w:t>30</w:t>
      </w:r>
      <w:r w:rsidR="000F0AE9" w:rsidRPr="00A056A3">
        <w:t xml:space="preserve"> MJ/m</w:t>
      </w:r>
      <w:r w:rsidR="000F0AE9" w:rsidRPr="00056A88">
        <w:rPr>
          <w:vertAlign w:val="superscript"/>
        </w:rPr>
        <w:t>2</w:t>
      </w:r>
      <w:r w:rsidR="000F0AE9" w:rsidRPr="00A056A3">
        <w:t>/</w:t>
      </w:r>
      <w:proofErr w:type="spellStart"/>
      <w:r w:rsidR="000F0AE9" w:rsidRPr="00A056A3">
        <w:t>yr</w:t>
      </w:r>
      <w:proofErr w:type="spellEnd"/>
      <w:r w:rsidR="004306E4">
        <w:t xml:space="preserve"> – again</w:t>
      </w:r>
      <w:r w:rsidR="000F0AE9">
        <w:t xml:space="preserve"> </w:t>
      </w:r>
      <w:r w:rsidR="000F0AE9" w:rsidRPr="00A056A3">
        <w:t>at the low end of Ramesh’s review</w:t>
      </w:r>
      <w:r w:rsidR="004306E4">
        <w:t xml:space="preserve"> this mater</w:t>
      </w:r>
      <w:r w:rsidR="009B18E8">
        <w:t>ial and</w:t>
      </w:r>
      <w:r w:rsidR="000F0AE9">
        <w:t xml:space="preserve"> </w:t>
      </w:r>
      <w:r w:rsidR="009B18E8">
        <w:t>finally (4)</w:t>
      </w:r>
      <w:r w:rsidR="000F0AE9">
        <w:t xml:space="preserve"> energy intensities are </w:t>
      </w:r>
      <w:r w:rsidR="00F94083">
        <w:t xml:space="preserve">set to </w:t>
      </w:r>
      <w:r w:rsidR="004306E4">
        <w:rPr>
          <w:i/>
        </w:rPr>
        <w:t>h</w:t>
      </w:r>
      <w:r w:rsidR="00F94083">
        <w:rPr>
          <w:i/>
        </w:rPr>
        <w:t>igh</w:t>
      </w:r>
      <w:r w:rsidR="00F94083">
        <w:t xml:space="preserve"> i</w:t>
      </w:r>
      <w:r w:rsidR="00F94083" w:rsidRPr="003953EB">
        <w:t>n Europe</w:t>
      </w:r>
      <w:r w:rsidR="004306E4">
        <w:t>, Asia</w:t>
      </w:r>
      <w:r w:rsidR="00F94083">
        <w:t xml:space="preserve"> </w:t>
      </w:r>
      <w:r w:rsidR="00F94083" w:rsidRPr="003953EB">
        <w:t xml:space="preserve">and Latin America </w:t>
      </w:r>
      <w:r w:rsidR="00F94083">
        <w:t xml:space="preserve">and </w:t>
      </w:r>
      <w:r w:rsidR="004306E4">
        <w:rPr>
          <w:i/>
        </w:rPr>
        <w:t>l</w:t>
      </w:r>
      <w:r w:rsidR="00F94083" w:rsidRPr="0044420F">
        <w:rPr>
          <w:i/>
        </w:rPr>
        <w:t>ow</w:t>
      </w:r>
      <w:r w:rsidR="004306E4">
        <w:t xml:space="preserve"> in North America, Oceania, and Africa</w:t>
      </w:r>
      <w:r w:rsidR="009B18E8">
        <w:t>. Clearly this is crude – e.g.,</w:t>
      </w:r>
      <w:r w:rsidR="00F94083">
        <w:t xml:space="preserve"> in various European countries residential buildings are predominantly timber</w:t>
      </w:r>
      <w:r w:rsidR="004306E4">
        <w:t xml:space="preserve"> (Scandinavian)</w:t>
      </w:r>
      <w:r w:rsidR="00F94083">
        <w:t>, even if timber plays a less significant role</w:t>
      </w:r>
      <w:r w:rsidR="009B18E8" w:rsidRPr="009B18E8">
        <w:t xml:space="preserve"> </w:t>
      </w:r>
      <w:r w:rsidR="009B18E8">
        <w:t>continent-wide</w:t>
      </w:r>
      <w:r w:rsidR="00F94083">
        <w:t xml:space="preserve">. But this has little impact on the results, especially global totals. Overall </w:t>
      </w:r>
      <w:r w:rsidR="004306E4">
        <w:t xml:space="preserve">we </w:t>
      </w:r>
      <w:r w:rsidR="003124A2">
        <w:t xml:space="preserve">estimate regionally-dependent </w:t>
      </w:r>
      <w:r w:rsidR="004306E4">
        <w:t xml:space="preserve">energy use </w:t>
      </w:r>
      <w:r w:rsidR="003124A2">
        <w:t>to be</w:t>
      </w:r>
      <w:r w:rsidR="004306E4">
        <w:t xml:space="preserve"> </w:t>
      </w:r>
      <w:r w:rsidR="00F94083" w:rsidRPr="003B25BB">
        <w:rPr>
          <w:b/>
        </w:rPr>
        <w:t>0.</w:t>
      </w:r>
      <w:r w:rsidR="003124A2">
        <w:rPr>
          <w:b/>
        </w:rPr>
        <w:t>4</w:t>
      </w:r>
      <w:r w:rsidR="00F94083">
        <w:rPr>
          <w:b/>
        </w:rPr>
        <w:t>5</w:t>
      </w:r>
      <w:r w:rsidR="003124A2">
        <w:rPr>
          <w:b/>
        </w:rPr>
        <w:t>-0.75</w:t>
      </w:r>
      <w:r w:rsidR="00F94083" w:rsidRPr="003E5367">
        <w:rPr>
          <w:b/>
        </w:rPr>
        <w:t xml:space="preserve"> GJ/</w:t>
      </w:r>
      <w:proofErr w:type="spellStart"/>
      <w:r w:rsidR="00F94083" w:rsidRPr="003E5367">
        <w:rPr>
          <w:b/>
        </w:rPr>
        <w:t>yr</w:t>
      </w:r>
      <w:proofErr w:type="spellEnd"/>
      <w:r w:rsidR="00F94083" w:rsidRPr="003E5367">
        <w:rPr>
          <w:b/>
        </w:rPr>
        <w:t>/cap</w:t>
      </w:r>
      <w:r w:rsidR="00F94083">
        <w:t xml:space="preserve"> for residential construction</w:t>
      </w:r>
      <w:r w:rsidR="003124A2">
        <w:t xml:space="preserve"> (with a household size of 4)</w:t>
      </w:r>
      <w:r w:rsidR="001177F5">
        <w:t>.</w:t>
      </w:r>
    </w:p>
    <w:p w14:paraId="56BD0221" w14:textId="5F96036F" w:rsidR="000F0AE9" w:rsidRPr="004306E4" w:rsidRDefault="000F0AE9" w:rsidP="008243D4">
      <w:pPr>
        <w:rPr>
          <w:sz w:val="10"/>
        </w:rPr>
      </w:pPr>
    </w:p>
    <w:p w14:paraId="2C078B26" w14:textId="085E9D74" w:rsidR="000F0AE9" w:rsidRDefault="000F0AE9" w:rsidP="008243D4">
      <w:pPr>
        <w:spacing w:after="0"/>
        <w:ind w:left="142" w:hanging="142"/>
      </w:pPr>
      <w:r>
        <w:rPr>
          <w:b/>
        </w:rPr>
        <w:t>Figure</w:t>
      </w:r>
      <w:r w:rsidR="00A5581F">
        <w:rPr>
          <w:b/>
        </w:rPr>
        <w:t xml:space="preserve"> </w:t>
      </w:r>
      <w:r w:rsidR="00977681">
        <w:rPr>
          <w:b/>
        </w:rPr>
        <w:t>3</w:t>
      </w:r>
      <w:r w:rsidR="00F94083">
        <w:rPr>
          <w:b/>
        </w:rPr>
        <w:t xml:space="preserve">: </w:t>
      </w:r>
      <w:r w:rsidR="00F94083" w:rsidRPr="00F94083">
        <w:t>E</w:t>
      </w:r>
      <w:r w:rsidR="00F94083">
        <w:t xml:space="preserve">nergy </w:t>
      </w:r>
      <w:r w:rsidR="00A5581F">
        <w:t>e</w:t>
      </w:r>
      <w:r>
        <w:t xml:space="preserve">mbodied in construction for different buildings and materials, from </w:t>
      </w:r>
      <w:r w:rsidR="001D3F71">
        <w:rPr>
          <w:noProof/>
        </w:rPr>
        <w:t>Ramesh, Prakash and Shukla</w:t>
      </w:r>
      <w:r w:rsidR="006A2825" w:rsidRPr="006A2825">
        <w:rPr>
          <w:noProof/>
          <w:vertAlign w:val="superscript"/>
        </w:rPr>
        <w:t>14</w:t>
      </w:r>
      <w:r>
        <w:t xml:space="preserve"> (Ref.1), </w:t>
      </w:r>
      <w:r w:rsidR="001D3F71">
        <w:rPr>
          <w:noProof/>
        </w:rPr>
        <w:t>Cabeza</w:t>
      </w:r>
      <w:r w:rsidR="001D3F71" w:rsidRPr="00B20917">
        <w:rPr>
          <w:i/>
          <w:noProof/>
        </w:rPr>
        <w:t xml:space="preserve"> et al.</w:t>
      </w:r>
      <w:r w:rsidR="006A2825" w:rsidRPr="006A2825">
        <w:rPr>
          <w:noProof/>
          <w:vertAlign w:val="superscript"/>
        </w:rPr>
        <w:t>15</w:t>
      </w:r>
      <w:r>
        <w:t xml:space="preserve"> (Ref.2) and </w:t>
      </w:r>
      <w:r w:rsidR="001D3F71">
        <w:rPr>
          <w:noProof/>
        </w:rPr>
        <w:t>Nässén</w:t>
      </w:r>
      <w:r w:rsidR="001D3F71" w:rsidRPr="00B20917">
        <w:rPr>
          <w:i/>
          <w:noProof/>
        </w:rPr>
        <w:t xml:space="preserve"> et al.</w:t>
      </w:r>
      <w:r w:rsidR="006A2825" w:rsidRPr="006A2825">
        <w:rPr>
          <w:noProof/>
          <w:vertAlign w:val="superscript"/>
        </w:rPr>
        <w:t>16</w:t>
      </w:r>
      <w:r>
        <w:t xml:space="preserve"> (Ref.3).</w:t>
      </w:r>
    </w:p>
    <w:p w14:paraId="40524DAD" w14:textId="77777777" w:rsidR="00853883" w:rsidRDefault="00853883" w:rsidP="00853883"/>
    <w:p w14:paraId="36DE3284" w14:textId="3B712429" w:rsidR="0038734E" w:rsidRDefault="0038734E" w:rsidP="00C91A23">
      <w:pPr>
        <w:pStyle w:val="Heading1"/>
      </w:pPr>
      <w:r>
        <w:t>Nutrition</w:t>
      </w:r>
    </w:p>
    <w:p w14:paraId="02837CA1" w14:textId="5F75A13A" w:rsidR="0038734E" w:rsidRDefault="0038734E" w:rsidP="00A5581F">
      <w:pPr>
        <w:pStyle w:val="Heading2"/>
        <w:spacing w:before="80"/>
      </w:pPr>
      <w:r>
        <w:t>Food</w:t>
      </w:r>
      <w:r w:rsidR="008174D8">
        <w:t xml:space="preserve"> production</w:t>
      </w:r>
    </w:p>
    <w:p w14:paraId="6C8D07F4" w14:textId="3C9BF1E0" w:rsidR="00984418" w:rsidRDefault="00984418" w:rsidP="0038734E">
      <w:r>
        <w:t>To gain an aggregate estimate</w:t>
      </w:r>
      <w:r w:rsidR="00AC6053">
        <w:t xml:space="preserve"> of</w:t>
      </w:r>
      <w:r>
        <w:t xml:space="preserve"> the energy requirement of food </w:t>
      </w:r>
      <w:r w:rsidR="00FB0757">
        <w:t>production</w:t>
      </w:r>
      <w:r w:rsidR="00BA6608">
        <w:t xml:space="preserve"> –</w:t>
      </w:r>
      <w:r w:rsidR="006A79A9">
        <w:t xml:space="preserve"> </w:t>
      </w:r>
      <w:r w:rsidR="00BA6608">
        <w:t>all stages of the supply chain ‘up to the farm gate’ –</w:t>
      </w:r>
      <w:r w:rsidR="006F53C5">
        <w:t xml:space="preserve"> three</w:t>
      </w:r>
      <w:r>
        <w:t xml:space="preserve"> things are required:</w:t>
      </w:r>
    </w:p>
    <w:p w14:paraId="040C9FBA" w14:textId="27FD09A3" w:rsidR="00984418" w:rsidRDefault="00984418" w:rsidP="004F7B93">
      <w:pPr>
        <w:pStyle w:val="ListParagraph"/>
        <w:numPr>
          <w:ilvl w:val="0"/>
          <w:numId w:val="2"/>
        </w:numPr>
        <w:ind w:left="567" w:hanging="283"/>
      </w:pPr>
      <w:r>
        <w:t xml:space="preserve">An estimate of the average </w:t>
      </w:r>
      <w:r w:rsidR="007E401B">
        <w:t>food-energy</w:t>
      </w:r>
      <w:r>
        <w:t xml:space="preserve"> requirements in a given country (</w:t>
      </w:r>
      <w:r w:rsidR="00B865A7">
        <w:rPr>
          <w:i/>
        </w:rPr>
        <w:t>kcal</w:t>
      </w:r>
      <w:r w:rsidRPr="00984418">
        <w:rPr>
          <w:i/>
        </w:rPr>
        <w:t>/person/day</w:t>
      </w:r>
      <w:r>
        <w:t>)</w:t>
      </w:r>
      <w:r w:rsidR="00A43A3A">
        <w:t>,</w:t>
      </w:r>
    </w:p>
    <w:p w14:paraId="05B18AB1" w14:textId="58CB64D8" w:rsidR="008174D8" w:rsidRDefault="00790324" w:rsidP="004F7B93">
      <w:pPr>
        <w:pStyle w:val="ListParagraph"/>
        <w:numPr>
          <w:ilvl w:val="0"/>
          <w:numId w:val="2"/>
        </w:numPr>
        <w:ind w:left="567" w:hanging="283"/>
      </w:pPr>
      <w:r>
        <w:t>T</w:t>
      </w:r>
      <w:r w:rsidR="00984418">
        <w:t xml:space="preserve">he </w:t>
      </w:r>
      <w:r w:rsidR="006F53C5">
        <w:t xml:space="preserve">average </w:t>
      </w:r>
      <w:r w:rsidR="00984418">
        <w:t xml:space="preserve">energy </w:t>
      </w:r>
      <w:r>
        <w:t>intensity</w:t>
      </w:r>
      <w:r w:rsidR="00984418">
        <w:t xml:space="preserve"> o</w:t>
      </w:r>
      <w:r>
        <w:t>f producing</w:t>
      </w:r>
      <w:r w:rsidR="00984418">
        <w:t xml:space="preserve"> </w:t>
      </w:r>
      <w:r w:rsidR="006F53C5">
        <w:t xml:space="preserve">different </w:t>
      </w:r>
      <w:r w:rsidR="00984418">
        <w:t xml:space="preserve">food </w:t>
      </w:r>
      <w:r w:rsidR="006F53C5">
        <w:t xml:space="preserve">types </w:t>
      </w:r>
      <w:r w:rsidR="00984418">
        <w:t>(</w:t>
      </w:r>
      <w:r w:rsidR="00984418" w:rsidRPr="00984418">
        <w:rPr>
          <w:i/>
        </w:rPr>
        <w:t>MJ</w:t>
      </w:r>
      <w:r w:rsidR="002B5697">
        <w:rPr>
          <w:i/>
        </w:rPr>
        <w:t xml:space="preserve"> in</w:t>
      </w:r>
      <w:r w:rsidR="00984418" w:rsidRPr="00984418">
        <w:rPr>
          <w:i/>
        </w:rPr>
        <w:t>/</w:t>
      </w:r>
      <w:r w:rsidR="00B865A7">
        <w:rPr>
          <w:i/>
        </w:rPr>
        <w:t>kcal</w:t>
      </w:r>
      <w:r w:rsidR="002B5697">
        <w:rPr>
          <w:i/>
        </w:rPr>
        <w:t xml:space="preserve"> out</w:t>
      </w:r>
      <w:r w:rsidR="00984418">
        <w:t>)</w:t>
      </w:r>
      <w:r w:rsidR="00A43A3A">
        <w:t>,</w:t>
      </w:r>
    </w:p>
    <w:p w14:paraId="6BE365A5" w14:textId="66D291DD" w:rsidR="006F53C5" w:rsidRDefault="006F53C5" w:rsidP="004F7B93">
      <w:pPr>
        <w:pStyle w:val="ListParagraph"/>
        <w:numPr>
          <w:ilvl w:val="0"/>
          <w:numId w:val="2"/>
        </w:numPr>
        <w:ind w:left="567" w:hanging="283"/>
      </w:pPr>
      <w:r>
        <w:t xml:space="preserve">The composition of food types </w:t>
      </w:r>
      <w:r w:rsidR="00790324">
        <w:t>consume</w:t>
      </w:r>
      <w:r w:rsidR="006A79A9">
        <w:t>d</w:t>
      </w:r>
      <w:r w:rsidR="00790324">
        <w:t xml:space="preserve"> (i.e. </w:t>
      </w:r>
      <w:r w:rsidR="006A79A9">
        <w:t xml:space="preserve">average </w:t>
      </w:r>
      <w:r w:rsidR="00790324">
        <w:t>dietary composition).</w:t>
      </w:r>
    </w:p>
    <w:p w14:paraId="724B3C91" w14:textId="10415C03" w:rsidR="000A5765" w:rsidRDefault="007E401B" w:rsidP="00372E55">
      <w:r w:rsidRPr="00372E55">
        <w:rPr>
          <w:b/>
        </w:rPr>
        <w:t>Food-energy intake:</w:t>
      </w:r>
      <w:r>
        <w:t xml:space="preserve">  </w:t>
      </w:r>
      <w:r w:rsidR="000B3C6D">
        <w:t>E</w:t>
      </w:r>
      <w:r w:rsidR="00984418">
        <w:t xml:space="preserve">stimating (1) is </w:t>
      </w:r>
      <w:r w:rsidR="000B3C6D">
        <w:t>straightforward</w:t>
      </w:r>
      <w:r w:rsidR="00984418">
        <w:t xml:space="preserve">. We start with daily calories requirements per person from the </w:t>
      </w:r>
      <w:r w:rsidR="00984418" w:rsidRPr="00984418">
        <w:rPr>
          <w:i/>
        </w:rPr>
        <w:t>Dietary Guidelines for Americans: 2015-2020</w:t>
      </w:r>
      <w:r w:rsidR="00984418">
        <w:rPr>
          <w:rStyle w:val="FootnoteReference"/>
          <w:i/>
        </w:rPr>
        <w:footnoteReference w:id="2"/>
      </w:r>
      <w:r w:rsidR="006A79A9">
        <w:t>,</w:t>
      </w:r>
      <w:r w:rsidR="00984418">
        <w:t xml:space="preserve"> for 30 diff</w:t>
      </w:r>
      <w:r w:rsidR="00893FB8">
        <w:t>erent age ban</w:t>
      </w:r>
      <w:r w:rsidR="000B3C6D">
        <w:t xml:space="preserve">ds (from 2 to 76+ years of age), three different activity levels, and </w:t>
      </w:r>
      <w:r w:rsidR="00893FB8">
        <w:t>separately for females and males. We</w:t>
      </w:r>
      <w:r w:rsidR="000B3C6D">
        <w:t xml:space="preserve"> focus on the central </w:t>
      </w:r>
      <w:r w:rsidR="000B3C6D">
        <w:rPr>
          <w:i/>
        </w:rPr>
        <w:t xml:space="preserve">moderately active </w:t>
      </w:r>
      <w:r w:rsidR="000B3C6D">
        <w:t>data, and then</w:t>
      </w:r>
      <w:r w:rsidR="00893FB8">
        <w:t xml:space="preserve"> aggregate th</w:t>
      </w:r>
      <w:r w:rsidR="000B3C6D">
        <w:t>is</w:t>
      </w:r>
      <w:r w:rsidR="00893FB8">
        <w:t xml:space="preserve"> to six age bands, as in </w:t>
      </w:r>
      <w:r w:rsidR="00471003">
        <w:t>Table S7</w:t>
      </w:r>
      <w:r w:rsidR="00893FB8">
        <w:t xml:space="preserve">. </w:t>
      </w:r>
      <w:r w:rsidR="000B3C6D">
        <w:t>We t</w:t>
      </w:r>
      <w:r w:rsidR="00893FB8">
        <w:t xml:space="preserve">hen average across females and males, partially as sex ratios across nations are generally close to 50-50, and partially as energy requirements for each sex </w:t>
      </w:r>
      <w:r w:rsidR="006A79A9">
        <w:t>may become more similar</w:t>
      </w:r>
      <w:r w:rsidR="006A79A9" w:rsidRPr="00893FB8">
        <w:t xml:space="preserve"> </w:t>
      </w:r>
      <w:r w:rsidR="00893FB8">
        <w:t xml:space="preserve">if divisions of labour </w:t>
      </w:r>
      <w:r w:rsidR="006A79A9">
        <w:t xml:space="preserve">are </w:t>
      </w:r>
    </w:p>
    <w:p w14:paraId="22C1384B" w14:textId="371AD2FD" w:rsidR="005454F4" w:rsidRPr="00236B9D" w:rsidRDefault="00893FB8" w:rsidP="000A5765">
      <w:pPr>
        <w:spacing w:after="240"/>
        <w:rPr>
          <w:sz w:val="14"/>
        </w:rPr>
      </w:pPr>
      <w:r>
        <w:lastRenderedPageBreak/>
        <w:t>reduce</w:t>
      </w:r>
      <w:r w:rsidR="006A79A9">
        <w:t>d</w:t>
      </w:r>
      <w:r>
        <w:t xml:space="preserve">. Using these sex-independent, </w:t>
      </w:r>
      <w:r w:rsidR="006A79A9">
        <w:t>age-</w:t>
      </w:r>
      <w:r>
        <w:t xml:space="preserve">dependent </w:t>
      </w:r>
      <w:r w:rsidR="006A79A9">
        <w:t>data</w:t>
      </w:r>
      <w:r>
        <w:t xml:space="preserve">, we </w:t>
      </w:r>
      <w:r w:rsidR="00D27F73">
        <w:t>calculate</w:t>
      </w:r>
      <w:r>
        <w:t xml:space="preserve"> calorie requirements per capita for each nation</w:t>
      </w:r>
      <w:r w:rsidR="00D27F73">
        <w:t xml:space="preserve"> from</w:t>
      </w:r>
      <w:r w:rsidR="006A79A9">
        <w:t xml:space="preserve"> </w:t>
      </w:r>
      <w:r>
        <w:t xml:space="preserve">weighted averages </w:t>
      </w:r>
      <w:r w:rsidR="00D27F73">
        <w:t>utilising</w:t>
      </w:r>
      <w:r>
        <w:t xml:space="preserve"> each nation</w:t>
      </w:r>
      <w:r w:rsidR="000B3C6D">
        <w:t>’</w:t>
      </w:r>
      <w:r>
        <w:t xml:space="preserve">s total population by age group. Population data is from the </w:t>
      </w:r>
      <w:r w:rsidRPr="00893FB8">
        <w:rPr>
          <w:i/>
        </w:rPr>
        <w:t xml:space="preserve">UN </w:t>
      </w:r>
      <w:r>
        <w:rPr>
          <w:i/>
        </w:rPr>
        <w:t>World</w:t>
      </w:r>
      <w:r w:rsidRPr="00893FB8">
        <w:rPr>
          <w:i/>
        </w:rPr>
        <w:t xml:space="preserve"> Population Prospects</w:t>
      </w:r>
      <w:r>
        <w:rPr>
          <w:i/>
        </w:rPr>
        <w:t xml:space="preserve"> 2019</w:t>
      </w:r>
      <w:r>
        <w:t>.</w:t>
      </w:r>
      <w:r w:rsidR="008C0EDC">
        <w:t xml:space="preserve"> </w:t>
      </w:r>
      <w:r w:rsidR="006A79A9">
        <w:t>We obtain</w:t>
      </w:r>
      <w:r w:rsidR="008C0EDC">
        <w:t xml:space="preserve"> </w:t>
      </w:r>
      <w:r w:rsidR="006A79A9">
        <w:t xml:space="preserve">fairly similar </w:t>
      </w:r>
      <w:r w:rsidR="008C0EDC">
        <w:t xml:space="preserve">daily average food requirements </w:t>
      </w:r>
      <w:r w:rsidR="006A79A9">
        <w:t>across</w:t>
      </w:r>
      <w:r w:rsidR="006E5D7A">
        <w:t xml:space="preserve"> all</w:t>
      </w:r>
      <w:r w:rsidR="006A79A9">
        <w:t xml:space="preserve"> nations;</w:t>
      </w:r>
      <w:r w:rsidR="007C2EAE">
        <w:t xml:space="preserve"> </w:t>
      </w:r>
      <w:r w:rsidR="008C0EDC">
        <w:t xml:space="preserve">from </w:t>
      </w:r>
      <w:r w:rsidR="006A79A9">
        <w:t>~</w:t>
      </w:r>
      <w:r w:rsidR="008C0EDC">
        <w:t>2,000 to 2,150</w:t>
      </w:r>
      <w:r w:rsidR="008C0EDC" w:rsidRPr="008C0EDC">
        <w:t xml:space="preserve"> </w:t>
      </w:r>
      <w:r w:rsidR="00B865A7">
        <w:t>kcal</w:t>
      </w:r>
      <w:r w:rsidR="008C0EDC">
        <w:t>/person.</w:t>
      </w:r>
    </w:p>
    <w:tbl>
      <w:tblPr>
        <w:tblW w:w="8931" w:type="dxa"/>
        <w:jc w:val="center"/>
        <w:shd w:val="clear" w:color="auto" w:fill="262626" w:themeFill="text1" w:themeFillTint="D9"/>
        <w:tblLook w:val="04A0" w:firstRow="1" w:lastRow="0" w:firstColumn="1" w:lastColumn="0" w:noHBand="0" w:noVBand="1"/>
      </w:tblPr>
      <w:tblGrid>
        <w:gridCol w:w="2660"/>
        <w:gridCol w:w="998"/>
        <w:gridCol w:w="851"/>
        <w:gridCol w:w="850"/>
        <w:gridCol w:w="948"/>
        <w:gridCol w:w="923"/>
        <w:gridCol w:w="850"/>
        <w:gridCol w:w="851"/>
      </w:tblGrid>
      <w:tr w:rsidR="000A5765" w:rsidRPr="00F22487" w14:paraId="1AD61B04" w14:textId="77777777" w:rsidTr="000A5765">
        <w:trPr>
          <w:trHeight w:val="197"/>
          <w:jc w:val="center"/>
        </w:trPr>
        <w:tc>
          <w:tcPr>
            <w:tcW w:w="2660" w:type="dxa"/>
            <w:vMerge w:val="restart"/>
            <w:shd w:val="clear" w:color="auto" w:fill="auto"/>
          </w:tcPr>
          <w:p w14:paraId="39012F38" w14:textId="0CFDFD01" w:rsidR="000A5765" w:rsidRPr="00AC44CE" w:rsidRDefault="00471003" w:rsidP="000A5765">
            <w:pPr>
              <w:spacing w:after="0" w:line="240" w:lineRule="auto"/>
              <w:ind w:left="142" w:hanging="142"/>
            </w:pPr>
            <w:r>
              <w:rPr>
                <w:b/>
              </w:rPr>
              <w:t>Table S7</w:t>
            </w:r>
            <w:r w:rsidR="000A5765" w:rsidRPr="002B6878">
              <w:rPr>
                <w:b/>
              </w:rPr>
              <w:t>:</w:t>
            </w:r>
            <w:r w:rsidR="000A5765">
              <w:t xml:space="preserve">  Daily food requirements (kcal/cap) for six age bands (from the </w:t>
            </w:r>
            <w:r w:rsidR="000A5765" w:rsidRPr="00984418">
              <w:rPr>
                <w:i/>
              </w:rPr>
              <w:t>Dietary Guidelines</w:t>
            </w:r>
            <w:r w:rsidR="000A5765">
              <w:rPr>
                <w:i/>
              </w:rPr>
              <w:t xml:space="preserve"> for </w:t>
            </w:r>
            <w:r w:rsidR="000A5765" w:rsidRPr="00984418">
              <w:rPr>
                <w:i/>
              </w:rPr>
              <w:t>Americans: 2015-2020</w:t>
            </w:r>
            <w:r w:rsidR="000A5765">
              <w:t>)</w:t>
            </w:r>
          </w:p>
        </w:tc>
        <w:tc>
          <w:tcPr>
            <w:tcW w:w="998" w:type="dxa"/>
            <w:shd w:val="clear" w:color="auto" w:fill="F2F2F2" w:themeFill="background1" w:themeFillShade="F2"/>
            <w:noWrap/>
            <w:vAlign w:val="bottom"/>
          </w:tcPr>
          <w:p w14:paraId="7D7D3BD3" w14:textId="77777777" w:rsidR="000A5765" w:rsidRPr="00F22487" w:rsidRDefault="000A5765" w:rsidP="000A5765">
            <w:pPr>
              <w:spacing w:after="0" w:line="240" w:lineRule="auto"/>
              <w:jc w:val="right"/>
              <w:rPr>
                <w:rFonts w:ascii="Arial" w:eastAsia="Times New Roman" w:hAnsi="Arial" w:cs="Arial"/>
                <w:b/>
                <w:bCs/>
                <w:color w:val="000000"/>
                <w:sz w:val="20"/>
                <w:szCs w:val="20"/>
                <w:lang w:eastAsia="en-GB"/>
              </w:rPr>
            </w:pPr>
          </w:p>
        </w:tc>
        <w:tc>
          <w:tcPr>
            <w:tcW w:w="5273" w:type="dxa"/>
            <w:gridSpan w:val="6"/>
            <w:shd w:val="clear" w:color="auto" w:fill="262626" w:themeFill="text1" w:themeFillTint="D9"/>
            <w:noWrap/>
            <w:vAlign w:val="bottom"/>
          </w:tcPr>
          <w:p w14:paraId="486D0E9B" w14:textId="77777777" w:rsidR="000A5765" w:rsidRPr="00AC44CE" w:rsidRDefault="000A5765" w:rsidP="000A5765">
            <w:pPr>
              <w:spacing w:after="0" w:line="240" w:lineRule="auto"/>
              <w:jc w:val="center"/>
              <w:rPr>
                <w:rFonts w:eastAsia="Times New Roman" w:cstheme="minorHAnsi"/>
                <w:b/>
                <w:bCs/>
                <w:color w:val="FFFFFF" w:themeColor="background1"/>
                <w:szCs w:val="20"/>
                <w:lang w:eastAsia="en-GB"/>
              </w:rPr>
            </w:pPr>
            <w:r w:rsidRPr="00AC44CE">
              <w:rPr>
                <w:rFonts w:eastAsia="Times New Roman" w:cstheme="minorHAnsi"/>
                <w:b/>
                <w:bCs/>
                <w:color w:val="FFFFFF" w:themeColor="background1"/>
                <w:szCs w:val="20"/>
                <w:lang w:eastAsia="en-GB"/>
              </w:rPr>
              <w:t>Age</w:t>
            </w:r>
          </w:p>
        </w:tc>
      </w:tr>
      <w:tr w:rsidR="000A5765" w:rsidRPr="00F22487" w14:paraId="086A2134" w14:textId="77777777" w:rsidTr="000A5765">
        <w:trPr>
          <w:trHeight w:val="255"/>
          <w:jc w:val="center"/>
        </w:trPr>
        <w:tc>
          <w:tcPr>
            <w:tcW w:w="2660" w:type="dxa"/>
            <w:vMerge/>
            <w:shd w:val="clear" w:color="auto" w:fill="auto"/>
          </w:tcPr>
          <w:p w14:paraId="22D71F9A" w14:textId="77777777" w:rsidR="000A5765" w:rsidRPr="00F22487" w:rsidRDefault="000A5765" w:rsidP="000A5765">
            <w:pPr>
              <w:spacing w:after="0" w:line="240" w:lineRule="auto"/>
              <w:jc w:val="right"/>
              <w:rPr>
                <w:rFonts w:ascii="Arial" w:eastAsia="Times New Roman" w:hAnsi="Arial" w:cs="Arial"/>
                <w:b/>
                <w:bCs/>
                <w:color w:val="000000"/>
                <w:sz w:val="20"/>
                <w:szCs w:val="20"/>
                <w:lang w:eastAsia="en-GB"/>
              </w:rPr>
            </w:pPr>
          </w:p>
        </w:tc>
        <w:tc>
          <w:tcPr>
            <w:tcW w:w="998" w:type="dxa"/>
            <w:shd w:val="clear" w:color="auto" w:fill="F2F2F2" w:themeFill="background1" w:themeFillShade="F2"/>
            <w:noWrap/>
            <w:vAlign w:val="bottom"/>
            <w:hideMark/>
          </w:tcPr>
          <w:p w14:paraId="31E424CC" w14:textId="77777777" w:rsidR="000A5765" w:rsidRPr="00F22487" w:rsidRDefault="000A5765" w:rsidP="000A5765">
            <w:pPr>
              <w:spacing w:after="0" w:line="240" w:lineRule="auto"/>
              <w:jc w:val="right"/>
              <w:rPr>
                <w:rFonts w:ascii="Arial" w:eastAsia="Times New Roman" w:hAnsi="Arial" w:cs="Arial"/>
                <w:b/>
                <w:bCs/>
                <w:color w:val="000000"/>
                <w:sz w:val="20"/>
                <w:szCs w:val="20"/>
                <w:lang w:eastAsia="en-GB"/>
              </w:rPr>
            </w:pPr>
          </w:p>
        </w:tc>
        <w:tc>
          <w:tcPr>
            <w:tcW w:w="851" w:type="dxa"/>
            <w:shd w:val="clear" w:color="auto" w:fill="595959" w:themeFill="text1" w:themeFillTint="A6"/>
            <w:noWrap/>
            <w:vAlign w:val="bottom"/>
            <w:hideMark/>
          </w:tcPr>
          <w:p w14:paraId="18647563" w14:textId="77777777" w:rsidR="000A5765" w:rsidRPr="00AC44CE" w:rsidRDefault="000A5765" w:rsidP="000A5765">
            <w:pPr>
              <w:spacing w:after="0" w:line="240" w:lineRule="auto"/>
              <w:jc w:val="center"/>
              <w:rPr>
                <w:rFonts w:eastAsia="Times New Roman" w:cstheme="minorHAnsi"/>
                <w:b/>
                <w:bCs/>
                <w:color w:val="FFFFFF" w:themeColor="background1"/>
                <w:szCs w:val="20"/>
                <w:lang w:eastAsia="en-GB"/>
              </w:rPr>
            </w:pPr>
            <w:r w:rsidRPr="00AC44CE">
              <w:rPr>
                <w:rFonts w:eastAsia="Times New Roman" w:cstheme="minorHAnsi"/>
                <w:b/>
                <w:bCs/>
                <w:color w:val="FFFFFF" w:themeColor="background1"/>
                <w:szCs w:val="20"/>
                <w:lang w:eastAsia="en-GB"/>
              </w:rPr>
              <w:t>0-4</w:t>
            </w:r>
          </w:p>
        </w:tc>
        <w:tc>
          <w:tcPr>
            <w:tcW w:w="850" w:type="dxa"/>
            <w:shd w:val="clear" w:color="auto" w:fill="404040" w:themeFill="text1" w:themeFillTint="BF"/>
            <w:noWrap/>
            <w:vAlign w:val="bottom"/>
            <w:hideMark/>
          </w:tcPr>
          <w:p w14:paraId="60F8112F" w14:textId="77777777" w:rsidR="000A5765" w:rsidRPr="00AC44CE" w:rsidRDefault="000A5765" w:rsidP="000A5765">
            <w:pPr>
              <w:spacing w:after="0" w:line="240" w:lineRule="auto"/>
              <w:jc w:val="center"/>
              <w:rPr>
                <w:rFonts w:eastAsia="Times New Roman" w:cstheme="minorHAnsi"/>
                <w:b/>
                <w:bCs/>
                <w:color w:val="FFFFFF" w:themeColor="background1"/>
                <w:szCs w:val="20"/>
                <w:lang w:eastAsia="en-GB"/>
              </w:rPr>
            </w:pPr>
            <w:r w:rsidRPr="00AC44CE">
              <w:rPr>
                <w:rFonts w:eastAsia="Times New Roman" w:cstheme="minorHAnsi"/>
                <w:b/>
                <w:bCs/>
                <w:color w:val="FFFFFF" w:themeColor="background1"/>
                <w:szCs w:val="20"/>
                <w:lang w:eastAsia="en-GB"/>
              </w:rPr>
              <w:t>5-9</w:t>
            </w:r>
          </w:p>
        </w:tc>
        <w:tc>
          <w:tcPr>
            <w:tcW w:w="948" w:type="dxa"/>
            <w:shd w:val="clear" w:color="auto" w:fill="595959" w:themeFill="text1" w:themeFillTint="A6"/>
            <w:noWrap/>
            <w:vAlign w:val="bottom"/>
            <w:hideMark/>
          </w:tcPr>
          <w:p w14:paraId="27B81716" w14:textId="77777777" w:rsidR="000A5765" w:rsidRPr="00AC44CE" w:rsidRDefault="000A5765" w:rsidP="000A5765">
            <w:pPr>
              <w:spacing w:after="0" w:line="240" w:lineRule="auto"/>
              <w:jc w:val="center"/>
              <w:rPr>
                <w:rFonts w:eastAsia="Times New Roman" w:cstheme="minorHAnsi"/>
                <w:b/>
                <w:bCs/>
                <w:color w:val="FFFFFF" w:themeColor="background1"/>
                <w:szCs w:val="20"/>
                <w:lang w:eastAsia="en-GB"/>
              </w:rPr>
            </w:pPr>
            <w:r w:rsidRPr="00AC44CE">
              <w:rPr>
                <w:rFonts w:eastAsia="Times New Roman" w:cstheme="minorHAnsi"/>
                <w:b/>
                <w:bCs/>
                <w:color w:val="FFFFFF" w:themeColor="background1"/>
                <w:szCs w:val="20"/>
                <w:lang w:eastAsia="en-GB"/>
              </w:rPr>
              <w:t>10-14</w:t>
            </w:r>
          </w:p>
        </w:tc>
        <w:tc>
          <w:tcPr>
            <w:tcW w:w="923" w:type="dxa"/>
            <w:shd w:val="clear" w:color="auto" w:fill="404040" w:themeFill="text1" w:themeFillTint="BF"/>
            <w:noWrap/>
            <w:vAlign w:val="bottom"/>
            <w:hideMark/>
          </w:tcPr>
          <w:p w14:paraId="5C5A66C1" w14:textId="77777777" w:rsidR="000A5765" w:rsidRPr="00AC44CE" w:rsidRDefault="000A5765" w:rsidP="000A5765">
            <w:pPr>
              <w:spacing w:after="0" w:line="240" w:lineRule="auto"/>
              <w:jc w:val="center"/>
              <w:rPr>
                <w:rFonts w:eastAsia="Times New Roman" w:cstheme="minorHAnsi"/>
                <w:b/>
                <w:bCs/>
                <w:color w:val="FFFFFF" w:themeColor="background1"/>
                <w:szCs w:val="20"/>
                <w:lang w:eastAsia="en-GB"/>
              </w:rPr>
            </w:pPr>
            <w:r w:rsidRPr="00AC44CE">
              <w:rPr>
                <w:rFonts w:eastAsia="Times New Roman" w:cstheme="minorHAnsi"/>
                <w:b/>
                <w:bCs/>
                <w:color w:val="FFFFFF" w:themeColor="background1"/>
                <w:szCs w:val="20"/>
                <w:lang w:eastAsia="en-GB"/>
              </w:rPr>
              <w:t>15-19</w:t>
            </w:r>
          </w:p>
        </w:tc>
        <w:tc>
          <w:tcPr>
            <w:tcW w:w="850" w:type="dxa"/>
            <w:shd w:val="clear" w:color="auto" w:fill="595959" w:themeFill="text1" w:themeFillTint="A6"/>
            <w:noWrap/>
            <w:vAlign w:val="bottom"/>
            <w:hideMark/>
          </w:tcPr>
          <w:p w14:paraId="1324EA0F" w14:textId="77777777" w:rsidR="000A5765" w:rsidRPr="00AC44CE" w:rsidRDefault="000A5765" w:rsidP="000A5765">
            <w:pPr>
              <w:spacing w:after="0" w:line="240" w:lineRule="auto"/>
              <w:jc w:val="center"/>
              <w:rPr>
                <w:rFonts w:eastAsia="Times New Roman" w:cstheme="minorHAnsi"/>
                <w:b/>
                <w:bCs/>
                <w:color w:val="FFFFFF" w:themeColor="background1"/>
                <w:szCs w:val="20"/>
                <w:lang w:eastAsia="en-GB"/>
              </w:rPr>
            </w:pPr>
            <w:r w:rsidRPr="00AC44CE">
              <w:rPr>
                <w:rFonts w:eastAsia="Times New Roman" w:cstheme="minorHAnsi"/>
                <w:b/>
                <w:bCs/>
                <w:color w:val="FFFFFF" w:themeColor="background1"/>
                <w:szCs w:val="20"/>
                <w:lang w:eastAsia="en-GB"/>
              </w:rPr>
              <w:t>20-49</w:t>
            </w:r>
          </w:p>
        </w:tc>
        <w:tc>
          <w:tcPr>
            <w:tcW w:w="851" w:type="dxa"/>
            <w:shd w:val="clear" w:color="auto" w:fill="404040" w:themeFill="text1" w:themeFillTint="BF"/>
            <w:noWrap/>
            <w:vAlign w:val="bottom"/>
            <w:hideMark/>
          </w:tcPr>
          <w:p w14:paraId="0A34032A" w14:textId="77777777" w:rsidR="000A5765" w:rsidRPr="00AC44CE" w:rsidRDefault="000A5765" w:rsidP="000A5765">
            <w:pPr>
              <w:spacing w:after="0" w:line="240" w:lineRule="auto"/>
              <w:jc w:val="center"/>
              <w:rPr>
                <w:rFonts w:eastAsia="Times New Roman" w:cstheme="minorHAnsi"/>
                <w:b/>
                <w:bCs/>
                <w:color w:val="FFFFFF" w:themeColor="background1"/>
                <w:szCs w:val="20"/>
                <w:lang w:eastAsia="en-GB"/>
              </w:rPr>
            </w:pPr>
            <w:r w:rsidRPr="00AC44CE">
              <w:rPr>
                <w:rFonts w:eastAsia="Times New Roman" w:cstheme="minorHAnsi"/>
                <w:b/>
                <w:bCs/>
                <w:color w:val="FFFFFF" w:themeColor="background1"/>
                <w:szCs w:val="20"/>
                <w:lang w:eastAsia="en-GB"/>
              </w:rPr>
              <w:t>50+</w:t>
            </w:r>
          </w:p>
        </w:tc>
      </w:tr>
      <w:tr w:rsidR="000A5765" w:rsidRPr="00F22487" w14:paraId="4D43C636" w14:textId="77777777" w:rsidTr="000A5765">
        <w:trPr>
          <w:trHeight w:val="255"/>
          <w:jc w:val="center"/>
        </w:trPr>
        <w:tc>
          <w:tcPr>
            <w:tcW w:w="2660" w:type="dxa"/>
            <w:vMerge/>
            <w:shd w:val="clear" w:color="auto" w:fill="auto"/>
          </w:tcPr>
          <w:p w14:paraId="6A886B2E" w14:textId="77777777" w:rsidR="000A5765" w:rsidRPr="00F22487" w:rsidRDefault="000A5765" w:rsidP="000A5765">
            <w:pPr>
              <w:spacing w:after="0" w:line="240" w:lineRule="auto"/>
              <w:rPr>
                <w:rFonts w:ascii="Arial" w:eastAsia="Times New Roman" w:hAnsi="Arial" w:cs="Arial"/>
                <w:bCs/>
                <w:sz w:val="20"/>
                <w:szCs w:val="20"/>
                <w:lang w:eastAsia="en-GB"/>
              </w:rPr>
            </w:pPr>
          </w:p>
        </w:tc>
        <w:tc>
          <w:tcPr>
            <w:tcW w:w="998" w:type="dxa"/>
            <w:shd w:val="clear" w:color="auto" w:fill="BFBFBF" w:themeFill="background1" w:themeFillShade="BF"/>
            <w:noWrap/>
            <w:vAlign w:val="center"/>
            <w:hideMark/>
          </w:tcPr>
          <w:p w14:paraId="0E84B2C2" w14:textId="77777777" w:rsidR="000A5765" w:rsidRPr="00AC44CE" w:rsidRDefault="000A5765" w:rsidP="000A5765">
            <w:pPr>
              <w:spacing w:after="0" w:line="240" w:lineRule="auto"/>
              <w:ind w:left="-103"/>
              <w:rPr>
                <w:rFonts w:eastAsia="Times New Roman" w:cstheme="minorHAnsi"/>
                <w:bCs/>
                <w:szCs w:val="20"/>
                <w:lang w:eastAsia="en-GB"/>
              </w:rPr>
            </w:pPr>
            <w:r w:rsidRPr="00AC44CE">
              <w:rPr>
                <w:rFonts w:eastAsia="Times New Roman" w:cstheme="minorHAnsi"/>
                <w:bCs/>
                <w:szCs w:val="20"/>
                <w:lang w:eastAsia="en-GB"/>
              </w:rPr>
              <w:t xml:space="preserve"> Males</w:t>
            </w:r>
          </w:p>
        </w:tc>
        <w:tc>
          <w:tcPr>
            <w:tcW w:w="851" w:type="dxa"/>
            <w:shd w:val="clear" w:color="auto" w:fill="F2F2F2" w:themeFill="background1" w:themeFillShade="F2"/>
            <w:noWrap/>
            <w:vAlign w:val="center"/>
            <w:hideMark/>
          </w:tcPr>
          <w:p w14:paraId="13CA774C" w14:textId="77777777" w:rsidR="000A5765" w:rsidRPr="00AC44CE" w:rsidRDefault="000A5765" w:rsidP="000A5765">
            <w:pPr>
              <w:spacing w:after="0" w:line="240" w:lineRule="auto"/>
              <w:jc w:val="center"/>
              <w:rPr>
                <w:rFonts w:eastAsia="Times New Roman" w:cstheme="minorHAnsi"/>
                <w:color w:val="000000"/>
                <w:szCs w:val="20"/>
                <w:lang w:eastAsia="en-GB"/>
              </w:rPr>
            </w:pPr>
            <w:r w:rsidRPr="00AC44CE">
              <w:rPr>
                <w:rFonts w:eastAsia="Times New Roman" w:cstheme="minorHAnsi"/>
                <w:color w:val="000000"/>
                <w:szCs w:val="20"/>
                <w:lang w:eastAsia="en-GB"/>
              </w:rPr>
              <w:t>1,267</w:t>
            </w:r>
          </w:p>
        </w:tc>
        <w:tc>
          <w:tcPr>
            <w:tcW w:w="850" w:type="dxa"/>
            <w:shd w:val="clear" w:color="auto" w:fill="D9D9D9" w:themeFill="background1" w:themeFillShade="D9"/>
            <w:noWrap/>
            <w:vAlign w:val="center"/>
            <w:hideMark/>
          </w:tcPr>
          <w:p w14:paraId="594F68A3" w14:textId="77777777" w:rsidR="000A5765" w:rsidRPr="00AC44CE" w:rsidRDefault="000A5765" w:rsidP="000A5765">
            <w:pPr>
              <w:spacing w:after="0" w:line="240" w:lineRule="auto"/>
              <w:jc w:val="center"/>
              <w:rPr>
                <w:rFonts w:eastAsia="Times New Roman" w:cstheme="minorHAnsi"/>
                <w:color w:val="000000"/>
                <w:szCs w:val="20"/>
                <w:lang w:eastAsia="en-GB"/>
              </w:rPr>
            </w:pPr>
            <w:r w:rsidRPr="00AC44CE">
              <w:rPr>
                <w:rFonts w:eastAsia="Times New Roman" w:cstheme="minorHAnsi"/>
                <w:color w:val="000000"/>
                <w:szCs w:val="20"/>
                <w:lang w:eastAsia="en-GB"/>
              </w:rPr>
              <w:t>1,600</w:t>
            </w:r>
          </w:p>
        </w:tc>
        <w:tc>
          <w:tcPr>
            <w:tcW w:w="948" w:type="dxa"/>
            <w:shd w:val="clear" w:color="auto" w:fill="F2F2F2" w:themeFill="background1" w:themeFillShade="F2"/>
            <w:noWrap/>
            <w:vAlign w:val="center"/>
            <w:hideMark/>
          </w:tcPr>
          <w:p w14:paraId="566E20BC" w14:textId="77777777" w:rsidR="000A5765" w:rsidRPr="00AC44CE" w:rsidRDefault="000A5765" w:rsidP="000A5765">
            <w:pPr>
              <w:spacing w:after="0" w:line="240" w:lineRule="auto"/>
              <w:jc w:val="center"/>
              <w:rPr>
                <w:rFonts w:eastAsia="Times New Roman" w:cstheme="minorHAnsi"/>
                <w:color w:val="000000"/>
                <w:szCs w:val="20"/>
                <w:lang w:eastAsia="en-GB"/>
              </w:rPr>
            </w:pPr>
            <w:r w:rsidRPr="00AC44CE">
              <w:rPr>
                <w:rFonts w:eastAsia="Times New Roman" w:cstheme="minorHAnsi"/>
                <w:color w:val="000000"/>
                <w:szCs w:val="20"/>
                <w:lang w:eastAsia="en-GB"/>
              </w:rPr>
              <w:t>2,120</w:t>
            </w:r>
          </w:p>
        </w:tc>
        <w:tc>
          <w:tcPr>
            <w:tcW w:w="923" w:type="dxa"/>
            <w:shd w:val="clear" w:color="auto" w:fill="D9D9D9" w:themeFill="background1" w:themeFillShade="D9"/>
            <w:noWrap/>
            <w:vAlign w:val="center"/>
            <w:hideMark/>
          </w:tcPr>
          <w:p w14:paraId="59EABF3C" w14:textId="77777777" w:rsidR="000A5765" w:rsidRPr="00AC44CE" w:rsidRDefault="000A5765" w:rsidP="000A5765">
            <w:pPr>
              <w:spacing w:after="0" w:line="240" w:lineRule="auto"/>
              <w:jc w:val="center"/>
              <w:rPr>
                <w:rFonts w:eastAsia="Times New Roman" w:cstheme="minorHAnsi"/>
                <w:color w:val="000000"/>
                <w:szCs w:val="20"/>
                <w:lang w:eastAsia="en-GB"/>
              </w:rPr>
            </w:pPr>
            <w:r w:rsidRPr="00AC44CE">
              <w:rPr>
                <w:rFonts w:eastAsia="Times New Roman" w:cstheme="minorHAnsi"/>
                <w:color w:val="000000"/>
                <w:szCs w:val="20"/>
                <w:lang w:eastAsia="en-GB"/>
              </w:rPr>
              <w:t>2,760</w:t>
            </w:r>
          </w:p>
        </w:tc>
        <w:tc>
          <w:tcPr>
            <w:tcW w:w="850" w:type="dxa"/>
            <w:shd w:val="clear" w:color="auto" w:fill="F2F2F2" w:themeFill="background1" w:themeFillShade="F2"/>
            <w:noWrap/>
            <w:vAlign w:val="center"/>
            <w:hideMark/>
          </w:tcPr>
          <w:p w14:paraId="1DB75311" w14:textId="77777777" w:rsidR="000A5765" w:rsidRPr="00AC44CE" w:rsidRDefault="000A5765" w:rsidP="000A5765">
            <w:pPr>
              <w:spacing w:after="0" w:line="240" w:lineRule="auto"/>
              <w:jc w:val="center"/>
              <w:rPr>
                <w:rFonts w:eastAsia="Times New Roman" w:cstheme="minorHAnsi"/>
                <w:color w:val="000000"/>
                <w:szCs w:val="20"/>
                <w:lang w:eastAsia="en-GB"/>
              </w:rPr>
            </w:pPr>
            <w:r w:rsidRPr="00AC44CE">
              <w:rPr>
                <w:rFonts w:eastAsia="Times New Roman" w:cstheme="minorHAnsi"/>
                <w:color w:val="000000"/>
                <w:szCs w:val="20"/>
                <w:lang w:eastAsia="en-GB"/>
              </w:rPr>
              <w:t>2,600</w:t>
            </w:r>
          </w:p>
        </w:tc>
        <w:tc>
          <w:tcPr>
            <w:tcW w:w="851" w:type="dxa"/>
            <w:shd w:val="clear" w:color="auto" w:fill="D9D9D9" w:themeFill="background1" w:themeFillShade="D9"/>
            <w:noWrap/>
            <w:vAlign w:val="center"/>
            <w:hideMark/>
          </w:tcPr>
          <w:p w14:paraId="1CFA66BB" w14:textId="77777777" w:rsidR="000A5765" w:rsidRPr="00AC44CE" w:rsidRDefault="000A5765" w:rsidP="000A5765">
            <w:pPr>
              <w:spacing w:after="0" w:line="240" w:lineRule="auto"/>
              <w:jc w:val="center"/>
              <w:rPr>
                <w:rFonts w:eastAsia="Times New Roman" w:cstheme="minorHAnsi"/>
                <w:color w:val="000000"/>
                <w:szCs w:val="20"/>
                <w:lang w:eastAsia="en-GB"/>
              </w:rPr>
            </w:pPr>
            <w:r w:rsidRPr="00AC44CE">
              <w:rPr>
                <w:rFonts w:eastAsia="Times New Roman" w:cstheme="minorHAnsi"/>
                <w:color w:val="000000"/>
                <w:szCs w:val="20"/>
                <w:lang w:eastAsia="en-GB"/>
              </w:rPr>
              <w:t>2,300</w:t>
            </w:r>
          </w:p>
        </w:tc>
      </w:tr>
      <w:tr w:rsidR="000A5765" w:rsidRPr="00F22487" w14:paraId="6A234369" w14:textId="77777777" w:rsidTr="000A5765">
        <w:trPr>
          <w:trHeight w:val="255"/>
          <w:jc w:val="center"/>
        </w:trPr>
        <w:tc>
          <w:tcPr>
            <w:tcW w:w="2660" w:type="dxa"/>
            <w:vMerge/>
            <w:shd w:val="clear" w:color="auto" w:fill="auto"/>
          </w:tcPr>
          <w:p w14:paraId="3C17DAE3" w14:textId="77777777" w:rsidR="000A5765" w:rsidRPr="00F22487" w:rsidRDefault="000A5765" w:rsidP="000A5765">
            <w:pPr>
              <w:spacing w:after="0" w:line="240" w:lineRule="auto"/>
              <w:rPr>
                <w:rFonts w:ascii="Arial" w:eastAsia="Times New Roman" w:hAnsi="Arial" w:cs="Arial"/>
                <w:bCs/>
                <w:sz w:val="20"/>
                <w:szCs w:val="20"/>
                <w:lang w:eastAsia="en-GB"/>
              </w:rPr>
            </w:pPr>
          </w:p>
        </w:tc>
        <w:tc>
          <w:tcPr>
            <w:tcW w:w="998" w:type="dxa"/>
            <w:tcBorders>
              <w:bottom w:val="single" w:sz="4" w:space="0" w:color="auto"/>
            </w:tcBorders>
            <w:shd w:val="clear" w:color="auto" w:fill="BFBFBF" w:themeFill="background1" w:themeFillShade="BF"/>
            <w:noWrap/>
            <w:vAlign w:val="center"/>
            <w:hideMark/>
          </w:tcPr>
          <w:p w14:paraId="7A350510" w14:textId="77777777" w:rsidR="000A5765" w:rsidRPr="00AC44CE" w:rsidRDefault="000A5765" w:rsidP="000A5765">
            <w:pPr>
              <w:spacing w:after="0" w:line="240" w:lineRule="auto"/>
              <w:ind w:left="-103"/>
              <w:rPr>
                <w:rFonts w:eastAsia="Times New Roman" w:cstheme="minorHAnsi"/>
                <w:bCs/>
                <w:szCs w:val="20"/>
                <w:lang w:eastAsia="en-GB"/>
              </w:rPr>
            </w:pPr>
            <w:r w:rsidRPr="00AC44CE">
              <w:rPr>
                <w:rFonts w:eastAsia="Times New Roman" w:cstheme="minorHAnsi"/>
                <w:bCs/>
                <w:szCs w:val="20"/>
                <w:lang w:eastAsia="en-GB"/>
              </w:rPr>
              <w:t xml:space="preserve"> Females</w:t>
            </w:r>
          </w:p>
        </w:tc>
        <w:tc>
          <w:tcPr>
            <w:tcW w:w="851" w:type="dxa"/>
            <w:tcBorders>
              <w:bottom w:val="single" w:sz="4" w:space="0" w:color="auto"/>
            </w:tcBorders>
            <w:shd w:val="clear" w:color="auto" w:fill="F2F2F2" w:themeFill="background1" w:themeFillShade="F2"/>
            <w:noWrap/>
            <w:vAlign w:val="center"/>
            <w:hideMark/>
          </w:tcPr>
          <w:p w14:paraId="5F102568" w14:textId="77777777" w:rsidR="000A5765" w:rsidRPr="00AC44CE" w:rsidRDefault="000A5765" w:rsidP="000A5765">
            <w:pPr>
              <w:spacing w:after="0" w:line="240" w:lineRule="auto"/>
              <w:jc w:val="center"/>
              <w:rPr>
                <w:rFonts w:eastAsia="Times New Roman" w:cstheme="minorHAnsi"/>
                <w:color w:val="000000"/>
                <w:szCs w:val="20"/>
                <w:lang w:eastAsia="en-GB"/>
              </w:rPr>
            </w:pPr>
            <w:r w:rsidRPr="00AC44CE">
              <w:rPr>
                <w:rFonts w:eastAsia="Times New Roman" w:cstheme="minorHAnsi"/>
                <w:color w:val="000000"/>
                <w:szCs w:val="20"/>
                <w:lang w:eastAsia="en-GB"/>
              </w:rPr>
              <w:t>1,200</w:t>
            </w:r>
          </w:p>
        </w:tc>
        <w:tc>
          <w:tcPr>
            <w:tcW w:w="850" w:type="dxa"/>
            <w:tcBorders>
              <w:bottom w:val="single" w:sz="4" w:space="0" w:color="auto"/>
            </w:tcBorders>
            <w:shd w:val="clear" w:color="auto" w:fill="D9D9D9" w:themeFill="background1" w:themeFillShade="D9"/>
            <w:noWrap/>
            <w:vAlign w:val="center"/>
            <w:hideMark/>
          </w:tcPr>
          <w:p w14:paraId="0977E485" w14:textId="77777777" w:rsidR="000A5765" w:rsidRPr="00AC44CE" w:rsidRDefault="000A5765" w:rsidP="000A5765">
            <w:pPr>
              <w:spacing w:after="0" w:line="240" w:lineRule="auto"/>
              <w:jc w:val="center"/>
              <w:rPr>
                <w:rFonts w:eastAsia="Times New Roman" w:cstheme="minorHAnsi"/>
                <w:color w:val="000000"/>
                <w:szCs w:val="20"/>
                <w:lang w:eastAsia="en-GB"/>
              </w:rPr>
            </w:pPr>
            <w:r w:rsidRPr="00AC44CE">
              <w:rPr>
                <w:rFonts w:eastAsia="Times New Roman" w:cstheme="minorHAnsi"/>
                <w:color w:val="000000"/>
                <w:szCs w:val="20"/>
                <w:lang w:eastAsia="en-GB"/>
              </w:rPr>
              <w:t>1,520</w:t>
            </w:r>
          </w:p>
        </w:tc>
        <w:tc>
          <w:tcPr>
            <w:tcW w:w="948" w:type="dxa"/>
            <w:tcBorders>
              <w:bottom w:val="single" w:sz="4" w:space="0" w:color="auto"/>
            </w:tcBorders>
            <w:shd w:val="clear" w:color="auto" w:fill="F2F2F2" w:themeFill="background1" w:themeFillShade="F2"/>
            <w:noWrap/>
            <w:vAlign w:val="center"/>
            <w:hideMark/>
          </w:tcPr>
          <w:p w14:paraId="57867EB5" w14:textId="77777777" w:rsidR="000A5765" w:rsidRPr="00AC44CE" w:rsidRDefault="000A5765" w:rsidP="000A5765">
            <w:pPr>
              <w:spacing w:after="0" w:line="240" w:lineRule="auto"/>
              <w:jc w:val="center"/>
              <w:rPr>
                <w:rFonts w:eastAsia="Times New Roman" w:cstheme="minorHAnsi"/>
                <w:color w:val="000000"/>
                <w:szCs w:val="20"/>
                <w:lang w:eastAsia="en-GB"/>
              </w:rPr>
            </w:pPr>
            <w:r w:rsidRPr="00AC44CE">
              <w:rPr>
                <w:rFonts w:eastAsia="Times New Roman" w:cstheme="minorHAnsi"/>
                <w:color w:val="000000"/>
                <w:szCs w:val="20"/>
                <w:lang w:eastAsia="en-GB"/>
              </w:rPr>
              <w:t>1,920</w:t>
            </w:r>
          </w:p>
        </w:tc>
        <w:tc>
          <w:tcPr>
            <w:tcW w:w="923" w:type="dxa"/>
            <w:tcBorders>
              <w:bottom w:val="single" w:sz="4" w:space="0" w:color="auto"/>
            </w:tcBorders>
            <w:shd w:val="clear" w:color="auto" w:fill="D9D9D9" w:themeFill="background1" w:themeFillShade="D9"/>
            <w:noWrap/>
            <w:vAlign w:val="center"/>
            <w:hideMark/>
          </w:tcPr>
          <w:p w14:paraId="5DB7CF07" w14:textId="77777777" w:rsidR="000A5765" w:rsidRPr="00AC44CE" w:rsidRDefault="000A5765" w:rsidP="000A5765">
            <w:pPr>
              <w:spacing w:after="0" w:line="240" w:lineRule="auto"/>
              <w:jc w:val="center"/>
              <w:rPr>
                <w:rFonts w:eastAsia="Times New Roman" w:cstheme="minorHAnsi"/>
                <w:color w:val="000000"/>
                <w:szCs w:val="20"/>
                <w:lang w:eastAsia="en-GB"/>
              </w:rPr>
            </w:pPr>
            <w:r w:rsidRPr="00AC44CE">
              <w:rPr>
                <w:rFonts w:eastAsia="Times New Roman" w:cstheme="minorHAnsi"/>
                <w:color w:val="000000"/>
                <w:szCs w:val="20"/>
                <w:lang w:eastAsia="en-GB"/>
              </w:rPr>
              <w:t>2,040</w:t>
            </w:r>
          </w:p>
        </w:tc>
        <w:tc>
          <w:tcPr>
            <w:tcW w:w="850" w:type="dxa"/>
            <w:tcBorders>
              <w:bottom w:val="single" w:sz="4" w:space="0" w:color="auto"/>
            </w:tcBorders>
            <w:shd w:val="clear" w:color="auto" w:fill="F2F2F2" w:themeFill="background1" w:themeFillShade="F2"/>
            <w:noWrap/>
            <w:vAlign w:val="center"/>
            <w:hideMark/>
          </w:tcPr>
          <w:p w14:paraId="6F8E213F" w14:textId="77777777" w:rsidR="000A5765" w:rsidRPr="00AC44CE" w:rsidRDefault="000A5765" w:rsidP="000A5765">
            <w:pPr>
              <w:spacing w:after="0" w:line="240" w:lineRule="auto"/>
              <w:jc w:val="center"/>
              <w:rPr>
                <w:rFonts w:eastAsia="Times New Roman" w:cstheme="minorHAnsi"/>
                <w:color w:val="000000"/>
                <w:szCs w:val="20"/>
                <w:lang w:eastAsia="en-GB"/>
              </w:rPr>
            </w:pPr>
            <w:r w:rsidRPr="00AC44CE">
              <w:rPr>
                <w:rFonts w:eastAsia="Times New Roman" w:cstheme="minorHAnsi"/>
                <w:color w:val="000000"/>
                <w:szCs w:val="20"/>
                <w:lang w:eastAsia="en-GB"/>
              </w:rPr>
              <w:t>2,033</w:t>
            </w:r>
          </w:p>
        </w:tc>
        <w:tc>
          <w:tcPr>
            <w:tcW w:w="851" w:type="dxa"/>
            <w:tcBorders>
              <w:bottom w:val="single" w:sz="4" w:space="0" w:color="auto"/>
            </w:tcBorders>
            <w:shd w:val="clear" w:color="auto" w:fill="D9D9D9" w:themeFill="background1" w:themeFillShade="D9"/>
            <w:noWrap/>
            <w:vAlign w:val="center"/>
            <w:hideMark/>
          </w:tcPr>
          <w:p w14:paraId="3A9E68B2" w14:textId="77777777" w:rsidR="000A5765" w:rsidRPr="00AC44CE" w:rsidRDefault="000A5765" w:rsidP="000A5765">
            <w:pPr>
              <w:spacing w:after="0" w:line="240" w:lineRule="auto"/>
              <w:jc w:val="center"/>
              <w:rPr>
                <w:rFonts w:eastAsia="Times New Roman" w:cstheme="minorHAnsi"/>
                <w:color w:val="000000"/>
                <w:szCs w:val="20"/>
                <w:lang w:eastAsia="en-GB"/>
              </w:rPr>
            </w:pPr>
            <w:r w:rsidRPr="00AC44CE">
              <w:rPr>
                <w:rFonts w:eastAsia="Times New Roman" w:cstheme="minorHAnsi"/>
                <w:color w:val="000000"/>
                <w:szCs w:val="20"/>
                <w:lang w:eastAsia="en-GB"/>
              </w:rPr>
              <w:t>1,800</w:t>
            </w:r>
          </w:p>
        </w:tc>
      </w:tr>
      <w:tr w:rsidR="000A5765" w:rsidRPr="00F22487" w14:paraId="36310B61" w14:textId="77777777" w:rsidTr="000A5765">
        <w:trPr>
          <w:trHeight w:val="219"/>
          <w:jc w:val="center"/>
        </w:trPr>
        <w:tc>
          <w:tcPr>
            <w:tcW w:w="2660" w:type="dxa"/>
            <w:vMerge/>
            <w:shd w:val="clear" w:color="auto" w:fill="auto"/>
          </w:tcPr>
          <w:p w14:paraId="65DE0FAC" w14:textId="77777777" w:rsidR="000A5765" w:rsidRPr="00F22487" w:rsidRDefault="000A5765" w:rsidP="000A5765">
            <w:pPr>
              <w:spacing w:after="0" w:line="240" w:lineRule="auto"/>
              <w:rPr>
                <w:rFonts w:ascii="Arial" w:eastAsia="Times New Roman" w:hAnsi="Arial" w:cs="Arial"/>
                <w:b/>
                <w:bCs/>
                <w:iCs/>
                <w:sz w:val="20"/>
                <w:szCs w:val="20"/>
                <w:lang w:eastAsia="en-GB"/>
              </w:rPr>
            </w:pPr>
          </w:p>
        </w:tc>
        <w:tc>
          <w:tcPr>
            <w:tcW w:w="998" w:type="dxa"/>
            <w:tcBorders>
              <w:top w:val="single" w:sz="4" w:space="0" w:color="auto"/>
            </w:tcBorders>
            <w:shd w:val="clear" w:color="auto" w:fill="BFBFBF" w:themeFill="background1" w:themeFillShade="BF"/>
            <w:noWrap/>
            <w:vAlign w:val="center"/>
            <w:hideMark/>
          </w:tcPr>
          <w:p w14:paraId="130C3558" w14:textId="77777777" w:rsidR="000A5765" w:rsidRPr="00AC44CE" w:rsidRDefault="000A5765" w:rsidP="000A5765">
            <w:pPr>
              <w:spacing w:after="0" w:line="240" w:lineRule="auto"/>
              <w:ind w:left="-103"/>
              <w:rPr>
                <w:rFonts w:eastAsia="Times New Roman" w:cstheme="minorHAnsi"/>
                <w:b/>
                <w:bCs/>
                <w:iCs/>
                <w:szCs w:val="20"/>
                <w:lang w:eastAsia="en-GB"/>
              </w:rPr>
            </w:pPr>
            <w:r>
              <w:rPr>
                <w:rFonts w:eastAsia="Times New Roman" w:cstheme="minorHAnsi"/>
                <w:b/>
                <w:bCs/>
                <w:iCs/>
                <w:szCs w:val="20"/>
                <w:lang w:eastAsia="en-GB"/>
              </w:rPr>
              <w:t>A</w:t>
            </w:r>
            <w:r w:rsidRPr="00AC44CE">
              <w:rPr>
                <w:rFonts w:eastAsia="Times New Roman" w:cstheme="minorHAnsi"/>
                <w:b/>
                <w:bCs/>
                <w:iCs/>
                <w:szCs w:val="20"/>
                <w:lang w:eastAsia="en-GB"/>
              </w:rPr>
              <w:t>verages</w:t>
            </w:r>
          </w:p>
        </w:tc>
        <w:tc>
          <w:tcPr>
            <w:tcW w:w="851" w:type="dxa"/>
            <w:tcBorders>
              <w:top w:val="single" w:sz="4" w:space="0" w:color="auto"/>
            </w:tcBorders>
            <w:shd w:val="clear" w:color="auto" w:fill="F2F2F2" w:themeFill="background1" w:themeFillShade="F2"/>
            <w:noWrap/>
            <w:vAlign w:val="center"/>
            <w:hideMark/>
          </w:tcPr>
          <w:p w14:paraId="56672E1C" w14:textId="77777777" w:rsidR="000A5765" w:rsidRPr="00AC44CE" w:rsidRDefault="000A5765" w:rsidP="000A5765">
            <w:pPr>
              <w:spacing w:after="0" w:line="240" w:lineRule="auto"/>
              <w:jc w:val="center"/>
              <w:rPr>
                <w:rFonts w:eastAsia="Times New Roman" w:cstheme="minorHAnsi"/>
                <w:b/>
                <w:iCs/>
                <w:color w:val="000000"/>
                <w:szCs w:val="20"/>
                <w:lang w:eastAsia="en-GB"/>
              </w:rPr>
            </w:pPr>
            <w:r w:rsidRPr="00AC44CE">
              <w:rPr>
                <w:rFonts w:eastAsia="Times New Roman" w:cstheme="minorHAnsi"/>
                <w:b/>
                <w:iCs/>
                <w:color w:val="000000"/>
                <w:szCs w:val="20"/>
                <w:lang w:eastAsia="en-GB"/>
              </w:rPr>
              <w:t>1,233</w:t>
            </w:r>
          </w:p>
        </w:tc>
        <w:tc>
          <w:tcPr>
            <w:tcW w:w="850" w:type="dxa"/>
            <w:tcBorders>
              <w:top w:val="single" w:sz="4" w:space="0" w:color="auto"/>
            </w:tcBorders>
            <w:shd w:val="clear" w:color="auto" w:fill="D9D9D9" w:themeFill="background1" w:themeFillShade="D9"/>
            <w:noWrap/>
            <w:vAlign w:val="center"/>
            <w:hideMark/>
          </w:tcPr>
          <w:p w14:paraId="4F60CA67" w14:textId="77777777" w:rsidR="000A5765" w:rsidRPr="00AC44CE" w:rsidRDefault="000A5765" w:rsidP="000A5765">
            <w:pPr>
              <w:spacing w:after="0" w:line="240" w:lineRule="auto"/>
              <w:jc w:val="center"/>
              <w:rPr>
                <w:rFonts w:eastAsia="Times New Roman" w:cstheme="minorHAnsi"/>
                <w:b/>
                <w:iCs/>
                <w:color w:val="000000"/>
                <w:szCs w:val="20"/>
                <w:lang w:eastAsia="en-GB"/>
              </w:rPr>
            </w:pPr>
            <w:r w:rsidRPr="00AC44CE">
              <w:rPr>
                <w:rFonts w:eastAsia="Times New Roman" w:cstheme="minorHAnsi"/>
                <w:b/>
                <w:iCs/>
                <w:color w:val="000000"/>
                <w:szCs w:val="20"/>
                <w:lang w:eastAsia="en-GB"/>
              </w:rPr>
              <w:t>1,560</w:t>
            </w:r>
          </w:p>
        </w:tc>
        <w:tc>
          <w:tcPr>
            <w:tcW w:w="948" w:type="dxa"/>
            <w:tcBorders>
              <w:top w:val="single" w:sz="4" w:space="0" w:color="auto"/>
            </w:tcBorders>
            <w:shd w:val="clear" w:color="auto" w:fill="F2F2F2" w:themeFill="background1" w:themeFillShade="F2"/>
            <w:noWrap/>
            <w:vAlign w:val="center"/>
            <w:hideMark/>
          </w:tcPr>
          <w:p w14:paraId="4F41B047" w14:textId="77777777" w:rsidR="000A5765" w:rsidRPr="00AC44CE" w:rsidRDefault="000A5765" w:rsidP="000A5765">
            <w:pPr>
              <w:spacing w:after="0" w:line="240" w:lineRule="auto"/>
              <w:jc w:val="center"/>
              <w:rPr>
                <w:rFonts w:eastAsia="Times New Roman" w:cstheme="minorHAnsi"/>
                <w:b/>
                <w:iCs/>
                <w:color w:val="000000"/>
                <w:szCs w:val="20"/>
                <w:lang w:eastAsia="en-GB"/>
              </w:rPr>
            </w:pPr>
            <w:r w:rsidRPr="00AC44CE">
              <w:rPr>
                <w:rFonts w:eastAsia="Times New Roman" w:cstheme="minorHAnsi"/>
                <w:b/>
                <w:iCs/>
                <w:color w:val="000000"/>
                <w:szCs w:val="20"/>
                <w:lang w:eastAsia="en-GB"/>
              </w:rPr>
              <w:t>2,020</w:t>
            </w:r>
          </w:p>
        </w:tc>
        <w:tc>
          <w:tcPr>
            <w:tcW w:w="923" w:type="dxa"/>
            <w:tcBorders>
              <w:top w:val="single" w:sz="4" w:space="0" w:color="auto"/>
            </w:tcBorders>
            <w:shd w:val="clear" w:color="auto" w:fill="D9D9D9" w:themeFill="background1" w:themeFillShade="D9"/>
            <w:noWrap/>
            <w:vAlign w:val="center"/>
            <w:hideMark/>
          </w:tcPr>
          <w:p w14:paraId="26146BFC" w14:textId="77777777" w:rsidR="000A5765" w:rsidRPr="00AC44CE" w:rsidRDefault="000A5765" w:rsidP="000A5765">
            <w:pPr>
              <w:spacing w:after="0" w:line="240" w:lineRule="auto"/>
              <w:jc w:val="center"/>
              <w:rPr>
                <w:rFonts w:eastAsia="Times New Roman" w:cstheme="minorHAnsi"/>
                <w:b/>
                <w:iCs/>
                <w:color w:val="000000"/>
                <w:szCs w:val="20"/>
                <w:lang w:eastAsia="en-GB"/>
              </w:rPr>
            </w:pPr>
            <w:r w:rsidRPr="00AC44CE">
              <w:rPr>
                <w:rFonts w:eastAsia="Times New Roman" w:cstheme="minorHAnsi"/>
                <w:b/>
                <w:iCs/>
                <w:color w:val="000000"/>
                <w:szCs w:val="20"/>
                <w:lang w:eastAsia="en-GB"/>
              </w:rPr>
              <w:t>2,400</w:t>
            </w:r>
          </w:p>
        </w:tc>
        <w:tc>
          <w:tcPr>
            <w:tcW w:w="850" w:type="dxa"/>
            <w:tcBorders>
              <w:top w:val="single" w:sz="4" w:space="0" w:color="auto"/>
            </w:tcBorders>
            <w:shd w:val="clear" w:color="auto" w:fill="F2F2F2" w:themeFill="background1" w:themeFillShade="F2"/>
            <w:noWrap/>
            <w:vAlign w:val="center"/>
            <w:hideMark/>
          </w:tcPr>
          <w:p w14:paraId="787F745E" w14:textId="77777777" w:rsidR="000A5765" w:rsidRPr="00AC44CE" w:rsidRDefault="000A5765" w:rsidP="000A5765">
            <w:pPr>
              <w:spacing w:after="0" w:line="240" w:lineRule="auto"/>
              <w:jc w:val="center"/>
              <w:rPr>
                <w:rFonts w:eastAsia="Times New Roman" w:cstheme="minorHAnsi"/>
                <w:b/>
                <w:iCs/>
                <w:color w:val="000000"/>
                <w:szCs w:val="20"/>
                <w:lang w:eastAsia="en-GB"/>
              </w:rPr>
            </w:pPr>
            <w:r w:rsidRPr="00AC44CE">
              <w:rPr>
                <w:rFonts w:eastAsia="Times New Roman" w:cstheme="minorHAnsi"/>
                <w:b/>
                <w:iCs/>
                <w:color w:val="000000"/>
                <w:szCs w:val="20"/>
                <w:lang w:eastAsia="en-GB"/>
              </w:rPr>
              <w:t>2,317</w:t>
            </w:r>
          </w:p>
        </w:tc>
        <w:tc>
          <w:tcPr>
            <w:tcW w:w="851" w:type="dxa"/>
            <w:tcBorders>
              <w:top w:val="single" w:sz="4" w:space="0" w:color="auto"/>
            </w:tcBorders>
            <w:shd w:val="clear" w:color="auto" w:fill="D9D9D9" w:themeFill="background1" w:themeFillShade="D9"/>
            <w:noWrap/>
            <w:vAlign w:val="center"/>
            <w:hideMark/>
          </w:tcPr>
          <w:p w14:paraId="4CA02179" w14:textId="77777777" w:rsidR="000A5765" w:rsidRPr="00AC44CE" w:rsidRDefault="000A5765" w:rsidP="000A5765">
            <w:pPr>
              <w:spacing w:after="0" w:line="240" w:lineRule="auto"/>
              <w:jc w:val="center"/>
              <w:rPr>
                <w:rFonts w:eastAsia="Times New Roman" w:cstheme="minorHAnsi"/>
                <w:b/>
                <w:iCs/>
                <w:color w:val="000000"/>
                <w:szCs w:val="20"/>
                <w:lang w:eastAsia="en-GB"/>
              </w:rPr>
            </w:pPr>
            <w:r w:rsidRPr="00AC44CE">
              <w:rPr>
                <w:rFonts w:eastAsia="Times New Roman" w:cstheme="minorHAnsi"/>
                <w:b/>
                <w:iCs/>
                <w:color w:val="000000"/>
                <w:szCs w:val="20"/>
                <w:lang w:eastAsia="en-GB"/>
              </w:rPr>
              <w:t>2,050</w:t>
            </w:r>
          </w:p>
        </w:tc>
      </w:tr>
    </w:tbl>
    <w:p w14:paraId="68600178" w14:textId="47C5A194" w:rsidR="002A52FF" w:rsidRDefault="007E401B" w:rsidP="000A5765">
      <w:pPr>
        <w:spacing w:before="360"/>
      </w:pPr>
      <w:r w:rsidRPr="00372E55">
        <w:rPr>
          <w:b/>
        </w:rPr>
        <w:t xml:space="preserve">Energy intensity of food production:  </w:t>
      </w:r>
      <w:r w:rsidR="00F15E50" w:rsidRPr="00471003">
        <w:t>E</w:t>
      </w:r>
      <w:r w:rsidR="00F15E50">
        <w:t>stimating (2) is particularly uncertain, and</w:t>
      </w:r>
      <w:r w:rsidR="000B3C6D">
        <w:t xml:space="preserve"> </w:t>
      </w:r>
      <w:r w:rsidR="00F15E50">
        <w:t>a</w:t>
      </w:r>
      <w:r w:rsidR="000B3C6D">
        <w:t xml:space="preserve"> decision must be made as to whether </w:t>
      </w:r>
      <w:r w:rsidR="00F15E50">
        <w:t xml:space="preserve">to </w:t>
      </w:r>
      <w:r w:rsidR="000B3C6D">
        <w:t xml:space="preserve">include </w:t>
      </w:r>
      <w:r w:rsidR="00D65F0F">
        <w:t>solar energy fixed by the sun</w:t>
      </w:r>
      <w:r w:rsidR="000B3C6D">
        <w:t xml:space="preserve">. </w:t>
      </w:r>
      <w:r w:rsidR="00F15E50">
        <w:t>We</w:t>
      </w:r>
      <w:r w:rsidR="000B3C6D">
        <w:t xml:space="preserve"> do </w:t>
      </w:r>
      <w:r w:rsidR="000B3C6D" w:rsidRPr="00984418">
        <w:rPr>
          <w:i/>
        </w:rPr>
        <w:t>not</w:t>
      </w:r>
      <w:r w:rsidR="00544B76">
        <w:t>:</w:t>
      </w:r>
      <w:r w:rsidR="000B3C6D">
        <w:t xml:space="preserve"> we include only industrial energy inputs</w:t>
      </w:r>
      <w:r w:rsidR="00FB0757">
        <w:t xml:space="preserve"> for food production itself</w:t>
      </w:r>
      <w:r w:rsidR="000B3C6D">
        <w:t>.</w:t>
      </w:r>
      <w:r w:rsidR="00441538">
        <w:t xml:space="preserve"> </w:t>
      </w:r>
    </w:p>
    <w:p w14:paraId="4D7FC0B1" w14:textId="631D94FD" w:rsidR="002A52FF" w:rsidRDefault="00A43A3A" w:rsidP="00A43A3A">
      <w:r>
        <w:t>For plant-based products, w</w:t>
      </w:r>
      <w:r w:rsidR="007B4DF9">
        <w:t xml:space="preserve">e </w:t>
      </w:r>
      <w:r w:rsidR="008174D8">
        <w:t>begin with</w:t>
      </w:r>
      <w:r w:rsidR="007B4DF9">
        <w:t xml:space="preserve"> data from</w:t>
      </w:r>
      <w:r w:rsidR="000B3C6D">
        <w:t xml:space="preserve"> </w:t>
      </w:r>
      <w:r w:rsidR="00F15E50" w:rsidRPr="00F15E50">
        <w:t>Pellegrini and Fernández</w:t>
      </w:r>
      <w:r w:rsidR="006A2825" w:rsidRPr="006A2825">
        <w:rPr>
          <w:noProof/>
          <w:vertAlign w:val="superscript"/>
        </w:rPr>
        <w:t>22</w:t>
      </w:r>
      <w:r>
        <w:t xml:space="preserve">. </w:t>
      </w:r>
      <w:r w:rsidR="00F15E50">
        <w:t>They</w:t>
      </w:r>
      <w:r w:rsidR="007C2EAE">
        <w:t xml:space="preserve"> </w:t>
      </w:r>
      <w:r w:rsidR="00780D6D">
        <w:t>estimate</w:t>
      </w:r>
      <w:r w:rsidR="007C2EAE">
        <w:t xml:space="preserve"> </w:t>
      </w:r>
      <w:r w:rsidR="007C2EAE">
        <w:rPr>
          <w:i/>
        </w:rPr>
        <w:t xml:space="preserve">Energy Use Efficiency </w:t>
      </w:r>
      <w:r w:rsidR="007C2EAE">
        <w:t xml:space="preserve">(EUE) of various crops, globally, </w:t>
      </w:r>
      <w:r w:rsidR="00FB0757">
        <w:t>from</w:t>
      </w:r>
      <w:r w:rsidR="007C2EAE">
        <w:t xml:space="preserve"> 1961 </w:t>
      </w:r>
      <w:r w:rsidR="00FB0757">
        <w:t xml:space="preserve">to </w:t>
      </w:r>
      <w:r w:rsidR="007C2EAE">
        <w:t xml:space="preserve">2014, with EUE defined as the ratio of energy fixed by crops to the energy embedded in all </w:t>
      </w:r>
      <w:r w:rsidR="00D511C7">
        <w:t>human inputs in the food production process. These human inputs are include: fertilizer, fuels and</w:t>
      </w:r>
      <w:r w:rsidR="000C4B03" w:rsidRPr="000C4B03">
        <w:t xml:space="preserve"> </w:t>
      </w:r>
      <w:r w:rsidR="000C4B03">
        <w:t xml:space="preserve">machinery. </w:t>
      </w:r>
      <w:r w:rsidR="00DF58D6">
        <w:t>They</w:t>
      </w:r>
      <w:r w:rsidR="000C4B03" w:rsidRPr="00FB0757">
        <w:t xml:space="preserve"> </w:t>
      </w:r>
      <w:r w:rsidR="000C4B03">
        <w:t>show that while EUE varied dramatically across the globe 50 years ago, it is now quite homogeneous due to standardised farming practices. Current values lie between 3 and 4 (note, for crops EUE &gt; 1</w:t>
      </w:r>
      <w:r w:rsidR="000C4B03" w:rsidRPr="00B81574">
        <w:t xml:space="preserve"> </w:t>
      </w:r>
      <w:r w:rsidR="000C4B03">
        <w:t xml:space="preserve">consistently). </w:t>
      </w:r>
      <w:r w:rsidR="00DF58D6">
        <w:rPr>
          <w:noProof/>
        </w:rPr>
        <w:t>As they</w:t>
      </w:r>
      <w:r w:rsidR="000C4B03">
        <w:t xml:space="preserve"> expect further improvements in EUE over the coming decades, we take a global value of </w:t>
      </w:r>
      <w:r w:rsidR="000C4B03" w:rsidRPr="006B2F8D">
        <w:t>EUE = 5</w:t>
      </w:r>
      <w:r w:rsidR="000C4B03">
        <w:t xml:space="preserve">. This means that for every 1 MJ (239 kcal) of food produced, </w:t>
      </w:r>
      <w:r w:rsidR="00DF58D6">
        <w:t xml:space="preserve">we assume </w:t>
      </w:r>
      <w:r w:rsidR="000C4B03">
        <w:t xml:space="preserve">0.2 GJ of energy inputs are required for production, </w:t>
      </w:r>
      <w:r w:rsidR="00DF58D6">
        <w:t>in</w:t>
      </w:r>
      <w:r w:rsidR="000C4B03">
        <w:t xml:space="preserve"> all countries (see </w:t>
      </w:r>
      <w:r w:rsidR="00471003">
        <w:t>Table S8</w:t>
      </w:r>
      <w:r w:rsidR="000C4B03">
        <w:t>).</w:t>
      </w:r>
      <w:r w:rsidR="000C4B03" w:rsidRPr="00B76014">
        <w:t xml:space="preserve"> </w:t>
      </w:r>
      <w:r w:rsidR="000C4B03">
        <w:t xml:space="preserve">Note that this matches the data of </w:t>
      </w:r>
      <w:r w:rsidR="00DF58D6" w:rsidRPr="00DF58D6">
        <w:t>Woods et al.</w:t>
      </w:r>
      <w:r w:rsidR="006A2825" w:rsidRPr="006A2825">
        <w:rPr>
          <w:noProof/>
          <w:vertAlign w:val="superscript"/>
        </w:rPr>
        <w:t>23</w:t>
      </w:r>
      <w:r w:rsidR="000C4B03">
        <w:t xml:space="preserve"> for UK-produced wheat, potatoes, and soy.</w:t>
      </w:r>
      <w:r w:rsidR="00441538">
        <w:t xml:space="preserve"> </w:t>
      </w:r>
    </w:p>
    <w:p w14:paraId="182361C9" w14:textId="7C9594AA" w:rsidR="00A43A3A" w:rsidRDefault="005454F4" w:rsidP="00327856">
      <w:pPr>
        <w:spacing w:after="240"/>
      </w:pPr>
      <w:r>
        <w:t xml:space="preserve">For animal-based foods, we also use data from </w:t>
      </w:r>
      <w:r w:rsidR="00DF58D6">
        <w:rPr>
          <w:noProof/>
        </w:rPr>
        <w:t>Woods</w:t>
      </w:r>
      <w:r w:rsidR="00DF58D6" w:rsidRPr="00B20917">
        <w:rPr>
          <w:i/>
          <w:noProof/>
        </w:rPr>
        <w:t xml:space="preserve"> et al.</w:t>
      </w:r>
      <w:r w:rsidR="006A2825" w:rsidRPr="006A2825">
        <w:rPr>
          <w:noProof/>
          <w:vertAlign w:val="superscript"/>
        </w:rPr>
        <w:t>23</w:t>
      </w:r>
      <w:r>
        <w:t>. They</w:t>
      </w:r>
      <w:r w:rsidR="00A43A3A">
        <w:t xml:space="preserve"> estimate the energy inputs required in the UK to produce a tonne of various foods, including milk, eggs, beef and poultry. Using the FAO’s </w:t>
      </w:r>
      <w:r w:rsidR="00A43A3A" w:rsidRPr="00932BEB">
        <w:rPr>
          <w:i/>
        </w:rPr>
        <w:t>Food Balance Sheets</w:t>
      </w:r>
      <w:r w:rsidR="00A43A3A">
        <w:rPr>
          <w:rStyle w:val="FootnoteReference"/>
          <w:i/>
        </w:rPr>
        <w:footnoteReference w:id="3"/>
      </w:r>
      <w:r w:rsidR="00A43A3A">
        <w:t xml:space="preserve">, these can be converted to the energy </w:t>
      </w:r>
      <w:r w:rsidR="00A43A3A" w:rsidRPr="000C4B03">
        <w:t>input required per food-energy output (EUE</w:t>
      </w:r>
      <w:r w:rsidR="00A43A3A" w:rsidRPr="000C4B03">
        <w:rPr>
          <w:vertAlign w:val="superscript"/>
        </w:rPr>
        <w:t>-1</w:t>
      </w:r>
      <w:r w:rsidR="00A43A3A" w:rsidRPr="000C4B03">
        <w:t>). The resulting</w:t>
      </w:r>
      <w:r>
        <w:t xml:space="preserve"> plant- and animal-based food</w:t>
      </w:r>
      <w:r w:rsidR="00A43A3A" w:rsidRPr="000C4B03">
        <w:t xml:space="preserve"> </w:t>
      </w:r>
      <w:r>
        <w:t xml:space="preserve">data </w:t>
      </w:r>
      <w:r w:rsidR="00A43A3A" w:rsidRPr="000C4B03">
        <w:t xml:space="preserve">are recorded in </w:t>
      </w:r>
      <w:r w:rsidR="00471003">
        <w:t>Table S8</w:t>
      </w:r>
      <w:r w:rsidR="00A43A3A" w:rsidRPr="000C4B03">
        <w:t>. Again, we use these same values globally.</w:t>
      </w:r>
    </w:p>
    <w:tbl>
      <w:tblPr>
        <w:tblW w:w="8873" w:type="dxa"/>
        <w:jc w:val="center"/>
        <w:tblCellMar>
          <w:top w:w="6" w:type="dxa"/>
          <w:left w:w="57" w:type="dxa"/>
          <w:bottom w:w="6" w:type="dxa"/>
          <w:right w:w="57" w:type="dxa"/>
        </w:tblCellMar>
        <w:tblLook w:val="04A0" w:firstRow="1" w:lastRow="0" w:firstColumn="1" w:lastColumn="0" w:noHBand="0" w:noVBand="1"/>
      </w:tblPr>
      <w:tblGrid>
        <w:gridCol w:w="5529"/>
        <w:gridCol w:w="1076"/>
        <w:gridCol w:w="2268"/>
      </w:tblGrid>
      <w:tr w:rsidR="000C4B03" w:rsidRPr="006B2F8D" w14:paraId="6B410CD2" w14:textId="77777777" w:rsidTr="000A5765">
        <w:trPr>
          <w:trHeight w:val="278"/>
          <w:jc w:val="center"/>
        </w:trPr>
        <w:tc>
          <w:tcPr>
            <w:tcW w:w="5529" w:type="dxa"/>
            <w:vMerge w:val="restart"/>
            <w:shd w:val="clear" w:color="auto" w:fill="auto"/>
            <w:noWrap/>
          </w:tcPr>
          <w:p w14:paraId="6377B163" w14:textId="2589B0BC" w:rsidR="000C4B03" w:rsidRPr="004F7534" w:rsidRDefault="00471003" w:rsidP="006A2825">
            <w:pPr>
              <w:spacing w:after="0" w:line="240" w:lineRule="auto"/>
              <w:ind w:left="284" w:right="652" w:hanging="284"/>
              <w:rPr>
                <w:rFonts w:eastAsia="Times New Roman" w:cstheme="minorHAnsi"/>
                <w:color w:val="000000"/>
                <w:szCs w:val="20"/>
                <w:lang w:eastAsia="en-GB"/>
              </w:rPr>
            </w:pPr>
            <w:r>
              <w:rPr>
                <w:b/>
              </w:rPr>
              <w:t>Table S8</w:t>
            </w:r>
            <w:r w:rsidR="000C4B03" w:rsidRPr="002B6878">
              <w:rPr>
                <w:b/>
              </w:rPr>
              <w:t>:</w:t>
            </w:r>
            <w:r w:rsidR="000C4B03">
              <w:t xml:space="preserve">  Ratio of the required industrial e</w:t>
            </w:r>
            <w:r w:rsidR="000C4B03" w:rsidRPr="00AC44CE">
              <w:rPr>
                <w:rFonts w:eastAsia="Times New Roman" w:cstheme="minorHAnsi"/>
                <w:bCs/>
                <w:color w:val="000000"/>
                <w:szCs w:val="20"/>
                <w:lang w:eastAsia="en-GB"/>
              </w:rPr>
              <w:t>nergy inputs</w:t>
            </w:r>
            <w:r w:rsidR="000C4B03" w:rsidRPr="00AC44CE">
              <w:rPr>
                <w:rFonts w:eastAsia="Times New Roman" w:cstheme="minorHAnsi"/>
                <w:color w:val="000000"/>
                <w:szCs w:val="20"/>
                <w:lang w:eastAsia="en-GB"/>
              </w:rPr>
              <w:t xml:space="preserve"> </w:t>
            </w:r>
            <w:r w:rsidR="000C4B03">
              <w:rPr>
                <w:rFonts w:eastAsia="Times New Roman" w:cstheme="minorHAnsi"/>
                <w:color w:val="000000"/>
                <w:szCs w:val="20"/>
                <w:lang w:eastAsia="en-GB"/>
              </w:rPr>
              <w:t xml:space="preserve">for food production to the edible food-energy output. Note, values are assumed to be applicable globally. Data modified from </w:t>
            </w:r>
            <w:r w:rsidR="00DF58D6" w:rsidRPr="00DF58D6">
              <w:rPr>
                <w:rFonts w:eastAsia="Times New Roman" w:cstheme="minorHAnsi"/>
                <w:color w:val="000000"/>
                <w:szCs w:val="20"/>
                <w:lang w:eastAsia="en-GB"/>
              </w:rPr>
              <w:t>Pellegrini and Fernández</w:t>
            </w:r>
            <w:r w:rsidR="006A2825" w:rsidRPr="006A2825">
              <w:rPr>
                <w:noProof/>
                <w:vertAlign w:val="superscript"/>
              </w:rPr>
              <w:t>22</w:t>
            </w:r>
            <w:r w:rsidR="000C4B03">
              <w:t xml:space="preserve"> and </w:t>
            </w:r>
            <w:r w:rsidR="00DF58D6">
              <w:rPr>
                <w:noProof/>
              </w:rPr>
              <w:t>Woods</w:t>
            </w:r>
            <w:r w:rsidR="00DF58D6" w:rsidRPr="00B20917">
              <w:rPr>
                <w:i/>
                <w:noProof/>
              </w:rPr>
              <w:t xml:space="preserve"> et al.</w:t>
            </w:r>
            <w:r w:rsidR="006A2825" w:rsidRPr="006A2825">
              <w:rPr>
                <w:noProof/>
                <w:vertAlign w:val="superscript"/>
              </w:rPr>
              <w:t>23</w:t>
            </w:r>
            <w:r w:rsidR="000C4B03">
              <w:t>.</w:t>
            </w:r>
          </w:p>
        </w:tc>
        <w:tc>
          <w:tcPr>
            <w:tcW w:w="1076" w:type="dxa"/>
            <w:shd w:val="clear" w:color="auto" w:fill="F2F2F2" w:themeFill="background1" w:themeFillShade="F2"/>
            <w:noWrap/>
            <w:vAlign w:val="bottom"/>
          </w:tcPr>
          <w:p w14:paraId="01DD00C7" w14:textId="77777777" w:rsidR="000C4B03" w:rsidRPr="00AC44CE" w:rsidRDefault="000C4B03" w:rsidP="00AD1915">
            <w:pPr>
              <w:spacing w:after="0" w:line="240" w:lineRule="auto"/>
              <w:jc w:val="right"/>
              <w:rPr>
                <w:rFonts w:eastAsia="Times New Roman" w:cstheme="minorHAnsi"/>
                <w:color w:val="000000"/>
                <w:szCs w:val="20"/>
                <w:lang w:eastAsia="en-GB"/>
              </w:rPr>
            </w:pPr>
          </w:p>
        </w:tc>
        <w:tc>
          <w:tcPr>
            <w:tcW w:w="2268" w:type="dxa"/>
            <w:shd w:val="clear" w:color="auto" w:fill="000000" w:themeFill="text1"/>
            <w:noWrap/>
            <w:vAlign w:val="center"/>
          </w:tcPr>
          <w:p w14:paraId="167395A8" w14:textId="77777777" w:rsidR="000C4B03" w:rsidRPr="004F7534" w:rsidRDefault="000C4B03" w:rsidP="00AD1915">
            <w:pPr>
              <w:pStyle w:val="NoSpacing"/>
              <w:jc w:val="center"/>
              <w:rPr>
                <w:lang w:eastAsia="en-GB"/>
              </w:rPr>
            </w:pPr>
            <w:r>
              <w:rPr>
                <w:lang w:eastAsia="en-GB"/>
              </w:rPr>
              <w:t>E</w:t>
            </w:r>
            <w:r w:rsidRPr="004F7534">
              <w:rPr>
                <w:lang w:eastAsia="en-GB"/>
              </w:rPr>
              <w:t xml:space="preserve">nergy </w:t>
            </w:r>
            <w:r>
              <w:rPr>
                <w:lang w:eastAsia="en-GB"/>
              </w:rPr>
              <w:t>in</w:t>
            </w:r>
            <w:r w:rsidRPr="004F7534">
              <w:rPr>
                <w:lang w:eastAsia="en-GB"/>
              </w:rPr>
              <w:t xml:space="preserve"> </w:t>
            </w:r>
            <w:r>
              <w:rPr>
                <w:lang w:eastAsia="en-GB"/>
              </w:rPr>
              <w:t>/</w:t>
            </w:r>
            <w:r w:rsidRPr="004F7534">
              <w:rPr>
                <w:lang w:eastAsia="en-GB"/>
              </w:rPr>
              <w:t xml:space="preserve"> </w:t>
            </w:r>
            <w:r>
              <w:rPr>
                <w:lang w:eastAsia="en-GB"/>
              </w:rPr>
              <w:t>e</w:t>
            </w:r>
            <w:r w:rsidRPr="004F7534">
              <w:rPr>
                <w:lang w:eastAsia="en-GB"/>
              </w:rPr>
              <w:t>nergy out</w:t>
            </w:r>
          </w:p>
        </w:tc>
      </w:tr>
      <w:tr w:rsidR="000C4B03" w:rsidRPr="006B2F8D" w14:paraId="56A50ECC" w14:textId="77777777" w:rsidTr="000A5765">
        <w:trPr>
          <w:trHeight w:val="255"/>
          <w:jc w:val="center"/>
        </w:trPr>
        <w:tc>
          <w:tcPr>
            <w:tcW w:w="5529" w:type="dxa"/>
            <w:vMerge/>
            <w:shd w:val="clear" w:color="auto" w:fill="auto"/>
            <w:noWrap/>
            <w:vAlign w:val="bottom"/>
            <w:hideMark/>
          </w:tcPr>
          <w:p w14:paraId="3995CD60" w14:textId="77777777" w:rsidR="000C4B03" w:rsidRPr="00AC44CE" w:rsidRDefault="000C4B03" w:rsidP="00AD1915">
            <w:pPr>
              <w:spacing w:after="0" w:line="240" w:lineRule="auto"/>
              <w:rPr>
                <w:rFonts w:eastAsia="Times New Roman" w:cstheme="minorHAnsi"/>
                <w:color w:val="000000"/>
                <w:szCs w:val="20"/>
                <w:lang w:eastAsia="en-GB"/>
              </w:rPr>
            </w:pPr>
          </w:p>
        </w:tc>
        <w:tc>
          <w:tcPr>
            <w:tcW w:w="1076" w:type="dxa"/>
            <w:shd w:val="clear" w:color="auto" w:fill="BFBFBF" w:themeFill="background1" w:themeFillShade="BF"/>
            <w:noWrap/>
            <w:vAlign w:val="center"/>
            <w:hideMark/>
          </w:tcPr>
          <w:p w14:paraId="42F4A3BB" w14:textId="77777777" w:rsidR="000C4B03" w:rsidRPr="00AC44CE" w:rsidRDefault="000C4B03" w:rsidP="00AD1915">
            <w:pPr>
              <w:spacing w:after="0" w:line="240" w:lineRule="auto"/>
              <w:ind w:left="83"/>
              <w:rPr>
                <w:rFonts w:eastAsia="Times New Roman" w:cstheme="minorHAnsi"/>
                <w:b/>
                <w:color w:val="000000"/>
                <w:szCs w:val="20"/>
                <w:lang w:eastAsia="en-GB"/>
              </w:rPr>
            </w:pPr>
            <w:r w:rsidRPr="00AC44CE">
              <w:rPr>
                <w:rFonts w:eastAsia="Times New Roman" w:cstheme="minorHAnsi"/>
                <w:b/>
                <w:color w:val="000000"/>
                <w:szCs w:val="20"/>
                <w:lang w:eastAsia="en-GB"/>
              </w:rPr>
              <w:t>Crops</w:t>
            </w:r>
            <w:r w:rsidRPr="004F7534">
              <w:rPr>
                <w:rFonts w:eastAsia="Times New Roman" w:cstheme="minorHAnsi"/>
                <w:color w:val="000000"/>
                <w:szCs w:val="20"/>
                <w:vertAlign w:val="superscript"/>
                <w:lang w:eastAsia="en-GB"/>
              </w:rPr>
              <w:t>1</w:t>
            </w:r>
          </w:p>
        </w:tc>
        <w:tc>
          <w:tcPr>
            <w:tcW w:w="2268" w:type="dxa"/>
            <w:shd w:val="clear" w:color="auto" w:fill="F2F2F2" w:themeFill="background1" w:themeFillShade="F2"/>
            <w:noWrap/>
            <w:vAlign w:val="center"/>
            <w:hideMark/>
          </w:tcPr>
          <w:p w14:paraId="3E3A1E31" w14:textId="77777777" w:rsidR="000C4B03" w:rsidRPr="004F7534" w:rsidRDefault="000C4B03" w:rsidP="00AD1915">
            <w:pPr>
              <w:spacing w:after="0" w:line="240" w:lineRule="auto"/>
              <w:jc w:val="center"/>
              <w:rPr>
                <w:rFonts w:eastAsia="Times New Roman" w:cstheme="minorHAnsi"/>
                <w:bCs/>
                <w:color w:val="000000"/>
                <w:szCs w:val="20"/>
                <w:lang w:eastAsia="en-GB"/>
              </w:rPr>
            </w:pPr>
            <w:r w:rsidRPr="004F7534">
              <w:rPr>
                <w:rFonts w:eastAsia="Times New Roman" w:cstheme="minorHAnsi"/>
                <w:bCs/>
                <w:color w:val="000000"/>
                <w:szCs w:val="20"/>
                <w:lang w:eastAsia="en-GB"/>
              </w:rPr>
              <w:t>0.2</w:t>
            </w:r>
          </w:p>
        </w:tc>
      </w:tr>
      <w:tr w:rsidR="000C4B03" w:rsidRPr="006B2F8D" w14:paraId="61FC520C" w14:textId="77777777" w:rsidTr="000A5765">
        <w:trPr>
          <w:trHeight w:val="255"/>
          <w:jc w:val="center"/>
        </w:trPr>
        <w:tc>
          <w:tcPr>
            <w:tcW w:w="5529" w:type="dxa"/>
            <w:vMerge/>
            <w:shd w:val="clear" w:color="auto" w:fill="auto"/>
            <w:noWrap/>
            <w:vAlign w:val="bottom"/>
            <w:hideMark/>
          </w:tcPr>
          <w:p w14:paraId="15358F83" w14:textId="77777777" w:rsidR="000C4B03" w:rsidRPr="00AC44CE" w:rsidRDefault="000C4B03" w:rsidP="00AD1915">
            <w:pPr>
              <w:spacing w:after="0" w:line="240" w:lineRule="auto"/>
              <w:rPr>
                <w:rFonts w:eastAsia="Times New Roman" w:cstheme="minorHAnsi"/>
                <w:color w:val="000000"/>
                <w:szCs w:val="20"/>
                <w:lang w:eastAsia="en-GB"/>
              </w:rPr>
            </w:pPr>
          </w:p>
        </w:tc>
        <w:tc>
          <w:tcPr>
            <w:tcW w:w="1076" w:type="dxa"/>
            <w:shd w:val="clear" w:color="auto" w:fill="A6A6A6" w:themeFill="background1" w:themeFillShade="A6"/>
            <w:noWrap/>
            <w:vAlign w:val="center"/>
            <w:hideMark/>
          </w:tcPr>
          <w:p w14:paraId="42CF618B" w14:textId="77777777" w:rsidR="000C4B03" w:rsidRPr="00AC44CE" w:rsidRDefault="000C4B03" w:rsidP="00AD1915">
            <w:pPr>
              <w:spacing w:after="0" w:line="240" w:lineRule="auto"/>
              <w:ind w:left="83"/>
              <w:rPr>
                <w:rFonts w:eastAsia="Times New Roman" w:cstheme="minorHAnsi"/>
                <w:b/>
                <w:color w:val="000000"/>
                <w:szCs w:val="20"/>
                <w:lang w:eastAsia="en-GB"/>
              </w:rPr>
            </w:pPr>
            <w:r w:rsidRPr="00AC44CE">
              <w:rPr>
                <w:rFonts w:eastAsia="Times New Roman" w:cstheme="minorHAnsi"/>
                <w:b/>
                <w:color w:val="000000"/>
                <w:szCs w:val="20"/>
                <w:lang w:eastAsia="en-GB"/>
              </w:rPr>
              <w:t>Milk</w:t>
            </w:r>
            <w:r w:rsidRPr="004F7534">
              <w:rPr>
                <w:rFonts w:eastAsia="Times New Roman" w:cstheme="minorHAnsi"/>
                <w:color w:val="000000"/>
                <w:szCs w:val="20"/>
                <w:vertAlign w:val="superscript"/>
                <w:lang w:eastAsia="en-GB"/>
              </w:rPr>
              <w:t>2</w:t>
            </w:r>
          </w:p>
        </w:tc>
        <w:tc>
          <w:tcPr>
            <w:tcW w:w="2268" w:type="dxa"/>
            <w:shd w:val="clear" w:color="auto" w:fill="D9D9D9" w:themeFill="background1" w:themeFillShade="D9"/>
            <w:noWrap/>
            <w:vAlign w:val="center"/>
            <w:hideMark/>
          </w:tcPr>
          <w:p w14:paraId="28DDD9E1" w14:textId="77777777" w:rsidR="000C4B03" w:rsidRPr="004F7534" w:rsidRDefault="000C4B03" w:rsidP="00AD1915">
            <w:pPr>
              <w:spacing w:after="0" w:line="240" w:lineRule="auto"/>
              <w:jc w:val="center"/>
              <w:rPr>
                <w:rFonts w:eastAsia="Times New Roman" w:cstheme="minorHAnsi"/>
                <w:bCs/>
                <w:color w:val="000000"/>
                <w:szCs w:val="20"/>
                <w:lang w:eastAsia="en-GB"/>
              </w:rPr>
            </w:pPr>
            <w:r w:rsidRPr="004F7534">
              <w:rPr>
                <w:rFonts w:eastAsia="Times New Roman" w:cstheme="minorHAnsi"/>
                <w:bCs/>
                <w:color w:val="000000"/>
                <w:szCs w:val="20"/>
                <w:lang w:eastAsia="en-GB"/>
              </w:rPr>
              <w:t>1.3</w:t>
            </w:r>
          </w:p>
        </w:tc>
      </w:tr>
      <w:tr w:rsidR="000C4B03" w:rsidRPr="006B2F8D" w14:paraId="1103166D" w14:textId="77777777" w:rsidTr="000A5765">
        <w:trPr>
          <w:trHeight w:val="255"/>
          <w:jc w:val="center"/>
        </w:trPr>
        <w:tc>
          <w:tcPr>
            <w:tcW w:w="5529" w:type="dxa"/>
            <w:vMerge/>
            <w:shd w:val="clear" w:color="auto" w:fill="auto"/>
            <w:noWrap/>
            <w:vAlign w:val="bottom"/>
            <w:hideMark/>
          </w:tcPr>
          <w:p w14:paraId="27E470E0" w14:textId="77777777" w:rsidR="000C4B03" w:rsidRPr="00AC44CE" w:rsidRDefault="000C4B03" w:rsidP="00AD1915">
            <w:pPr>
              <w:spacing w:after="0" w:line="240" w:lineRule="auto"/>
              <w:rPr>
                <w:rFonts w:eastAsia="Times New Roman" w:cstheme="minorHAnsi"/>
                <w:color w:val="000000"/>
                <w:szCs w:val="20"/>
                <w:lang w:eastAsia="en-GB"/>
              </w:rPr>
            </w:pPr>
          </w:p>
        </w:tc>
        <w:tc>
          <w:tcPr>
            <w:tcW w:w="1076" w:type="dxa"/>
            <w:shd w:val="clear" w:color="auto" w:fill="BFBFBF" w:themeFill="background1" w:themeFillShade="BF"/>
            <w:noWrap/>
            <w:vAlign w:val="center"/>
            <w:hideMark/>
          </w:tcPr>
          <w:p w14:paraId="01CB050A" w14:textId="77777777" w:rsidR="000C4B03" w:rsidRPr="00AC44CE" w:rsidRDefault="000C4B03" w:rsidP="00AD1915">
            <w:pPr>
              <w:spacing w:after="0" w:line="240" w:lineRule="auto"/>
              <w:ind w:left="83"/>
              <w:rPr>
                <w:rFonts w:eastAsia="Times New Roman" w:cstheme="minorHAnsi"/>
                <w:b/>
                <w:color w:val="000000"/>
                <w:szCs w:val="20"/>
                <w:lang w:eastAsia="en-GB"/>
              </w:rPr>
            </w:pPr>
            <w:r w:rsidRPr="00AC44CE">
              <w:rPr>
                <w:rFonts w:eastAsia="Times New Roman" w:cstheme="minorHAnsi"/>
                <w:b/>
                <w:color w:val="000000"/>
                <w:szCs w:val="20"/>
                <w:lang w:eastAsia="en-GB"/>
              </w:rPr>
              <w:t>Eggs</w:t>
            </w:r>
            <w:r w:rsidRPr="004F7534">
              <w:rPr>
                <w:rFonts w:eastAsia="Times New Roman" w:cstheme="minorHAnsi"/>
                <w:color w:val="000000"/>
                <w:szCs w:val="20"/>
                <w:vertAlign w:val="superscript"/>
                <w:lang w:eastAsia="en-GB"/>
              </w:rPr>
              <w:t>2</w:t>
            </w:r>
          </w:p>
        </w:tc>
        <w:tc>
          <w:tcPr>
            <w:tcW w:w="2268" w:type="dxa"/>
            <w:shd w:val="clear" w:color="auto" w:fill="F2F2F2" w:themeFill="background1" w:themeFillShade="F2"/>
            <w:noWrap/>
            <w:vAlign w:val="center"/>
            <w:hideMark/>
          </w:tcPr>
          <w:p w14:paraId="648D04EE" w14:textId="77777777" w:rsidR="000C4B03" w:rsidRPr="004F7534" w:rsidRDefault="000C4B03" w:rsidP="00AD1915">
            <w:pPr>
              <w:spacing w:after="0" w:line="240" w:lineRule="auto"/>
              <w:jc w:val="center"/>
              <w:rPr>
                <w:rFonts w:eastAsia="Times New Roman" w:cstheme="minorHAnsi"/>
                <w:bCs/>
                <w:color w:val="000000"/>
                <w:szCs w:val="20"/>
                <w:lang w:eastAsia="en-GB"/>
              </w:rPr>
            </w:pPr>
            <w:r w:rsidRPr="004F7534">
              <w:rPr>
                <w:rFonts w:eastAsia="Times New Roman" w:cstheme="minorHAnsi"/>
                <w:bCs/>
                <w:color w:val="000000"/>
                <w:szCs w:val="20"/>
                <w:lang w:eastAsia="en-GB"/>
              </w:rPr>
              <w:t>2.1</w:t>
            </w:r>
          </w:p>
        </w:tc>
      </w:tr>
      <w:tr w:rsidR="000C4B03" w:rsidRPr="006B2F8D" w14:paraId="7ADE6125" w14:textId="77777777" w:rsidTr="000A5765">
        <w:trPr>
          <w:trHeight w:val="255"/>
          <w:jc w:val="center"/>
        </w:trPr>
        <w:tc>
          <w:tcPr>
            <w:tcW w:w="5529" w:type="dxa"/>
            <w:vMerge/>
            <w:shd w:val="clear" w:color="auto" w:fill="auto"/>
            <w:noWrap/>
            <w:vAlign w:val="bottom"/>
            <w:hideMark/>
          </w:tcPr>
          <w:p w14:paraId="3E8016A9" w14:textId="77777777" w:rsidR="000C4B03" w:rsidRPr="00AC44CE" w:rsidRDefault="000C4B03" w:rsidP="00AD1915">
            <w:pPr>
              <w:spacing w:after="0" w:line="240" w:lineRule="auto"/>
              <w:rPr>
                <w:rFonts w:eastAsia="Times New Roman" w:cstheme="minorHAnsi"/>
                <w:color w:val="000000"/>
                <w:szCs w:val="20"/>
                <w:lang w:eastAsia="en-GB"/>
              </w:rPr>
            </w:pPr>
          </w:p>
        </w:tc>
        <w:tc>
          <w:tcPr>
            <w:tcW w:w="1076" w:type="dxa"/>
            <w:shd w:val="clear" w:color="auto" w:fill="A6A6A6" w:themeFill="background1" w:themeFillShade="A6"/>
            <w:noWrap/>
            <w:vAlign w:val="center"/>
            <w:hideMark/>
          </w:tcPr>
          <w:p w14:paraId="52F21AAC" w14:textId="77777777" w:rsidR="000C4B03" w:rsidRPr="00AC44CE" w:rsidRDefault="000C4B03" w:rsidP="00AD1915">
            <w:pPr>
              <w:spacing w:after="0" w:line="240" w:lineRule="auto"/>
              <w:ind w:left="83"/>
              <w:rPr>
                <w:rFonts w:eastAsia="Times New Roman" w:cstheme="minorHAnsi"/>
                <w:b/>
                <w:color w:val="000000"/>
                <w:szCs w:val="20"/>
                <w:lang w:eastAsia="en-GB"/>
              </w:rPr>
            </w:pPr>
            <w:r w:rsidRPr="00AC44CE">
              <w:rPr>
                <w:rFonts w:eastAsia="Times New Roman" w:cstheme="minorHAnsi"/>
                <w:b/>
                <w:color w:val="000000"/>
                <w:szCs w:val="20"/>
                <w:lang w:eastAsia="en-GB"/>
              </w:rPr>
              <w:t>Beef</w:t>
            </w:r>
            <w:r w:rsidRPr="004F7534">
              <w:rPr>
                <w:rFonts w:eastAsia="Times New Roman" w:cstheme="minorHAnsi"/>
                <w:color w:val="000000"/>
                <w:szCs w:val="20"/>
                <w:vertAlign w:val="superscript"/>
                <w:lang w:eastAsia="en-GB"/>
              </w:rPr>
              <w:t>2</w:t>
            </w:r>
          </w:p>
        </w:tc>
        <w:tc>
          <w:tcPr>
            <w:tcW w:w="2268" w:type="dxa"/>
            <w:shd w:val="clear" w:color="auto" w:fill="D9D9D9" w:themeFill="background1" w:themeFillShade="D9"/>
            <w:noWrap/>
            <w:vAlign w:val="center"/>
            <w:hideMark/>
          </w:tcPr>
          <w:p w14:paraId="2CF62B0D" w14:textId="77777777" w:rsidR="000C4B03" w:rsidRPr="004F7534" w:rsidRDefault="000C4B03" w:rsidP="00AD1915">
            <w:pPr>
              <w:spacing w:after="0" w:line="240" w:lineRule="auto"/>
              <w:jc w:val="center"/>
              <w:rPr>
                <w:rFonts w:eastAsia="Times New Roman" w:cstheme="minorHAnsi"/>
                <w:bCs/>
                <w:color w:val="000000"/>
                <w:szCs w:val="20"/>
                <w:lang w:eastAsia="en-GB"/>
              </w:rPr>
            </w:pPr>
            <w:r w:rsidRPr="004F7534">
              <w:rPr>
                <w:rFonts w:eastAsia="Times New Roman" w:cstheme="minorHAnsi"/>
                <w:bCs/>
                <w:color w:val="000000"/>
                <w:szCs w:val="20"/>
                <w:lang w:eastAsia="en-GB"/>
              </w:rPr>
              <w:t>4.8</w:t>
            </w:r>
          </w:p>
        </w:tc>
      </w:tr>
      <w:tr w:rsidR="000C4B03" w:rsidRPr="006B2F8D" w14:paraId="7C2288DB" w14:textId="77777777" w:rsidTr="000A5765">
        <w:trPr>
          <w:trHeight w:val="173"/>
          <w:jc w:val="center"/>
        </w:trPr>
        <w:tc>
          <w:tcPr>
            <w:tcW w:w="5529" w:type="dxa"/>
            <w:vMerge/>
            <w:shd w:val="clear" w:color="auto" w:fill="auto"/>
            <w:noWrap/>
            <w:vAlign w:val="bottom"/>
            <w:hideMark/>
          </w:tcPr>
          <w:p w14:paraId="4041B6F6" w14:textId="77777777" w:rsidR="000C4B03" w:rsidRPr="00AC44CE" w:rsidRDefault="000C4B03" w:rsidP="00AD1915">
            <w:pPr>
              <w:spacing w:after="0" w:line="240" w:lineRule="auto"/>
              <w:rPr>
                <w:rFonts w:eastAsia="Times New Roman" w:cstheme="minorHAnsi"/>
                <w:color w:val="000000"/>
                <w:szCs w:val="20"/>
                <w:lang w:eastAsia="en-GB"/>
              </w:rPr>
            </w:pPr>
          </w:p>
        </w:tc>
        <w:tc>
          <w:tcPr>
            <w:tcW w:w="1076" w:type="dxa"/>
            <w:shd w:val="clear" w:color="auto" w:fill="BFBFBF" w:themeFill="background1" w:themeFillShade="BF"/>
            <w:noWrap/>
            <w:vAlign w:val="center"/>
            <w:hideMark/>
          </w:tcPr>
          <w:p w14:paraId="3414D236" w14:textId="77777777" w:rsidR="000C4B03" w:rsidRPr="00AC44CE" w:rsidRDefault="000C4B03" w:rsidP="00AD1915">
            <w:pPr>
              <w:spacing w:after="0" w:line="240" w:lineRule="auto"/>
              <w:ind w:left="83"/>
              <w:rPr>
                <w:rFonts w:eastAsia="Times New Roman" w:cstheme="minorHAnsi"/>
                <w:b/>
                <w:color w:val="000000"/>
                <w:szCs w:val="20"/>
                <w:lang w:eastAsia="en-GB"/>
              </w:rPr>
            </w:pPr>
            <w:r w:rsidRPr="00AC44CE">
              <w:rPr>
                <w:rFonts w:eastAsia="Times New Roman" w:cstheme="minorHAnsi"/>
                <w:b/>
                <w:color w:val="000000"/>
                <w:szCs w:val="20"/>
                <w:lang w:eastAsia="en-GB"/>
              </w:rPr>
              <w:t>Poultry</w:t>
            </w:r>
            <w:r w:rsidRPr="004F7534">
              <w:rPr>
                <w:rFonts w:eastAsia="Times New Roman" w:cstheme="minorHAnsi"/>
                <w:color w:val="000000"/>
                <w:szCs w:val="20"/>
                <w:vertAlign w:val="superscript"/>
                <w:lang w:eastAsia="en-GB"/>
              </w:rPr>
              <w:t>2</w:t>
            </w:r>
          </w:p>
        </w:tc>
        <w:tc>
          <w:tcPr>
            <w:tcW w:w="2268" w:type="dxa"/>
            <w:shd w:val="clear" w:color="auto" w:fill="F2F2F2" w:themeFill="background1" w:themeFillShade="F2"/>
            <w:noWrap/>
            <w:vAlign w:val="center"/>
            <w:hideMark/>
          </w:tcPr>
          <w:p w14:paraId="1DD1291A" w14:textId="77777777" w:rsidR="000C4B03" w:rsidRPr="004F7534" w:rsidRDefault="000C4B03" w:rsidP="00AD1915">
            <w:pPr>
              <w:spacing w:after="0" w:line="240" w:lineRule="auto"/>
              <w:jc w:val="center"/>
              <w:rPr>
                <w:rFonts w:eastAsia="Times New Roman" w:cstheme="minorHAnsi"/>
                <w:bCs/>
                <w:color w:val="000000"/>
                <w:szCs w:val="20"/>
                <w:lang w:eastAsia="en-GB"/>
              </w:rPr>
            </w:pPr>
            <w:r w:rsidRPr="004F7534">
              <w:rPr>
                <w:rFonts w:eastAsia="Times New Roman" w:cstheme="minorHAnsi"/>
                <w:bCs/>
                <w:color w:val="000000"/>
                <w:szCs w:val="20"/>
                <w:lang w:eastAsia="en-GB"/>
              </w:rPr>
              <w:t>2.2</w:t>
            </w:r>
          </w:p>
        </w:tc>
      </w:tr>
    </w:tbl>
    <w:p w14:paraId="02816FAE" w14:textId="2587956E" w:rsidR="00D511C7" w:rsidRDefault="00D511C7" w:rsidP="00327856">
      <w:pPr>
        <w:spacing w:before="360"/>
      </w:pPr>
      <w:r w:rsidRPr="000C4B03">
        <w:rPr>
          <w:b/>
        </w:rPr>
        <w:t xml:space="preserve">Dietary composition: </w:t>
      </w:r>
      <w:r w:rsidRPr="000C4B03">
        <w:t xml:space="preserve"> Regarding (3), there is of course huge variation in the diets that people</w:t>
      </w:r>
      <w:r>
        <w:t xml:space="preserve"> co</w:t>
      </w:r>
      <w:r w:rsidR="00531C95">
        <w:t>nsume</w:t>
      </w:r>
      <w:r>
        <w:t xml:space="preserve"> with</w:t>
      </w:r>
      <w:r w:rsidR="00531C95">
        <w:t>in</w:t>
      </w:r>
      <w:r>
        <w:t xml:space="preserve"> and across nations. Culture plays the critical role here, with low-meat consumption stemming from religious beliefs in countries like India, and high-meat consumption cultivated </w:t>
      </w:r>
      <w:r w:rsidRPr="000C4B03">
        <w:t>by secular dogma, among</w:t>
      </w:r>
      <w:r>
        <w:t xml:space="preserve"> other things, in countries like the USA. However, we do not wish to capture such cultural influences, </w:t>
      </w:r>
      <w:r w:rsidR="007728FD">
        <w:t>as we</w:t>
      </w:r>
      <w:r>
        <w:t xml:space="preserve"> aim to consider only whether nutritional needs are met. That said, we recognise that </w:t>
      </w:r>
      <w:r w:rsidR="005454F4">
        <w:t xml:space="preserve">the basic need of </w:t>
      </w:r>
      <w:r>
        <w:t xml:space="preserve">social participation can be hindered when one’s diet differs significantly from the norm – something many vegetarians and vegans </w:t>
      </w:r>
      <w:r w:rsidR="00236B9D">
        <w:t>are</w:t>
      </w:r>
      <w:r>
        <w:t xml:space="preserve"> all too aware of. But this is not a factor we consider here.</w:t>
      </w:r>
    </w:p>
    <w:p w14:paraId="38F80C5D" w14:textId="069F64A0" w:rsidR="00D511C7" w:rsidRDefault="00D511C7" w:rsidP="006B2F8D">
      <w:r>
        <w:lastRenderedPageBreak/>
        <w:t>Accordingly, we use a fixed composition of food consumption across nations, chosen to meet nutritional needs and minimise energy use</w:t>
      </w:r>
      <w:r>
        <w:rPr>
          <w:rStyle w:val="FootnoteReference"/>
        </w:rPr>
        <w:footnoteReference w:id="4"/>
      </w:r>
      <w:r>
        <w:t xml:space="preserve">. </w:t>
      </w:r>
      <w:r w:rsidR="00531C95">
        <w:t>W</w:t>
      </w:r>
      <w:r>
        <w:t xml:space="preserve">e start with data from </w:t>
      </w:r>
      <w:r w:rsidR="00531C95">
        <w:rPr>
          <w:noProof/>
        </w:rPr>
        <w:t>Springmann</w:t>
      </w:r>
      <w:r w:rsidR="00531C95" w:rsidRPr="00B20917">
        <w:rPr>
          <w:i/>
          <w:noProof/>
        </w:rPr>
        <w:t xml:space="preserve"> et al.</w:t>
      </w:r>
      <w:r w:rsidR="006A2825" w:rsidRPr="006A2825">
        <w:rPr>
          <w:noProof/>
          <w:vertAlign w:val="superscript"/>
        </w:rPr>
        <w:t>24</w:t>
      </w:r>
      <w:r>
        <w:t xml:space="preserve">, which corresponds closely to that of the recent </w:t>
      </w:r>
      <w:r>
        <w:rPr>
          <w:i/>
        </w:rPr>
        <w:t xml:space="preserve">Food in the Anthropocene </w:t>
      </w:r>
      <w:r>
        <w:t xml:space="preserve">report by the </w:t>
      </w:r>
      <w:r>
        <w:rPr>
          <w:i/>
        </w:rPr>
        <w:t>Lancet</w:t>
      </w:r>
      <w:r w:rsidR="006A2825" w:rsidRPr="006A2825">
        <w:rPr>
          <w:noProof/>
          <w:vertAlign w:val="superscript"/>
        </w:rPr>
        <w:t>25</w:t>
      </w:r>
      <w:r>
        <w:t xml:space="preserve">. </w:t>
      </w:r>
      <w:proofErr w:type="spellStart"/>
      <w:r>
        <w:t>Springmann</w:t>
      </w:r>
      <w:proofErr w:type="spellEnd"/>
      <w:r>
        <w:t xml:space="preserve"> et al. give recommended daily intakes (g/day) o</w:t>
      </w:r>
      <w:r w:rsidR="00531C95">
        <w:t>f</w:t>
      </w:r>
      <w:r>
        <w:t xml:space="preserve"> different food types for </w:t>
      </w:r>
      <w:r w:rsidRPr="00657CC2">
        <w:t>omnivores</w:t>
      </w:r>
      <w:r>
        <w:t xml:space="preserve">, based upon established healthy-eating guidelines (see </w:t>
      </w:r>
      <w:r w:rsidR="00471003">
        <w:t>Table S9</w:t>
      </w:r>
      <w:r w:rsidR="00531C95">
        <w:t>)</w:t>
      </w:r>
      <w:r>
        <w:t xml:space="preserve"> and world averages for 2005-2007. </w:t>
      </w:r>
      <w:r w:rsidR="00531C95">
        <w:t>T</w:t>
      </w:r>
      <w:r>
        <w:t xml:space="preserve">hey </w:t>
      </w:r>
      <w:r w:rsidR="00531C95">
        <w:t xml:space="preserve">also </w:t>
      </w:r>
      <w:r>
        <w:t xml:space="preserve">offer food intakes for </w:t>
      </w:r>
      <w:r w:rsidRPr="00657CC2">
        <w:t>vegetarian and vegan diets</w:t>
      </w:r>
      <w:r w:rsidR="00531C95">
        <w:t>, but w</w:t>
      </w:r>
      <w:r>
        <w:t xml:space="preserve">e don’t include these in </w:t>
      </w:r>
      <w:r w:rsidR="00471003">
        <w:t>Table S9</w:t>
      </w:r>
      <w:r w:rsidR="00531C95">
        <w:t>.</w:t>
      </w:r>
    </w:p>
    <w:p w14:paraId="60D9B448" w14:textId="1E3CB04F" w:rsidR="00236B9D" w:rsidRPr="00327856" w:rsidRDefault="00236B9D" w:rsidP="00327856">
      <w:pPr>
        <w:spacing w:after="240"/>
      </w:pPr>
      <w:r>
        <w:t>F</w:t>
      </w:r>
      <w:r w:rsidR="00372E55">
        <w:t>rom the perspective</w:t>
      </w:r>
      <w:r w:rsidR="007E401B">
        <w:t xml:space="preserve"> </w:t>
      </w:r>
      <w:r w:rsidR="00372E55">
        <w:t>of meeting nutritional needs</w:t>
      </w:r>
      <w:r>
        <w:t xml:space="preserve">, it’s reasonable </w:t>
      </w:r>
      <w:r w:rsidR="007E401B">
        <w:t xml:space="preserve">for us to </w:t>
      </w:r>
      <w:r>
        <w:t xml:space="preserve">use a </w:t>
      </w:r>
      <w:r w:rsidR="007E401B">
        <w:t>compositio</w:t>
      </w:r>
      <w:r w:rsidR="0013297F">
        <w:t xml:space="preserve">n of foods in our scenario </w:t>
      </w:r>
      <w:r>
        <w:t>by starting with the recommendations</w:t>
      </w:r>
      <w:r w:rsidR="0013297F">
        <w:t xml:space="preserve"> of </w:t>
      </w:r>
      <w:proofErr w:type="spellStart"/>
      <w:r w:rsidR="00F86E8B">
        <w:t>Springmann</w:t>
      </w:r>
      <w:proofErr w:type="spellEnd"/>
      <w:r w:rsidR="00F86E8B">
        <w:t xml:space="preserve"> et al.</w:t>
      </w:r>
      <w:r w:rsidR="006A2825" w:rsidRPr="006A2825">
        <w:rPr>
          <w:noProof/>
          <w:vertAlign w:val="superscript"/>
        </w:rPr>
        <w:t>24</w:t>
      </w:r>
      <w:r w:rsidR="0013297F">
        <w:t xml:space="preserve"> for omnivores, but </w:t>
      </w:r>
      <w:r>
        <w:t xml:space="preserve">further reducing </w:t>
      </w:r>
      <w:r w:rsidR="0013297F">
        <w:t>consumption of animal products</w:t>
      </w:r>
      <w:r w:rsidR="007E401B">
        <w:t>.</w:t>
      </w:r>
      <w:r w:rsidR="006474E0">
        <w:t xml:space="preserve"> </w:t>
      </w:r>
      <w:r>
        <w:t>W</w:t>
      </w:r>
      <w:r w:rsidR="005C057D">
        <w:t>e</w:t>
      </w:r>
      <w:r w:rsidR="006474E0">
        <w:t xml:space="preserve"> </w:t>
      </w:r>
      <w:r>
        <w:t xml:space="preserve">thus </w:t>
      </w:r>
      <w:r w:rsidR="006474E0">
        <w:t>first</w:t>
      </w:r>
      <w:r w:rsidR="005C057D">
        <w:t xml:space="preserve"> convert the</w:t>
      </w:r>
      <w:r w:rsidR="006474E0">
        <w:t>ir</w:t>
      </w:r>
      <w:r w:rsidR="005C057D">
        <w:t xml:space="preserve"> recommended values to a percentage contribution </w:t>
      </w:r>
      <w:r w:rsidR="006474E0">
        <w:t xml:space="preserve">to energy intake </w:t>
      </w:r>
      <w:r>
        <w:t xml:space="preserve">of each food type </w:t>
      </w:r>
      <w:r w:rsidR="006474E0">
        <w:t>(</w:t>
      </w:r>
      <w:r w:rsidR="005C057D">
        <w:t xml:space="preserve">again using the FAO’s </w:t>
      </w:r>
      <w:r w:rsidR="005C057D">
        <w:rPr>
          <w:i/>
        </w:rPr>
        <w:t>Food Balance Sheets</w:t>
      </w:r>
      <w:r w:rsidR="006474E0">
        <w:t>)</w:t>
      </w:r>
      <w:r>
        <w:t>. We</w:t>
      </w:r>
      <w:r w:rsidR="006474E0">
        <w:t xml:space="preserve"> then reduce consumption of animal-based products by </w:t>
      </w:r>
      <w:r w:rsidR="00531C95">
        <w:t>~</w:t>
      </w:r>
      <w:r w:rsidR="006474E0">
        <w:t>50%</w:t>
      </w:r>
      <w:r w:rsidR="006407D5">
        <w:t xml:space="preserve"> (rounding to one significant figure)</w:t>
      </w:r>
      <w:r w:rsidR="006474E0">
        <w:t>.</w:t>
      </w:r>
      <w:r w:rsidR="00621CB0">
        <w:t xml:space="preserve"> This gives the model inputs shown in </w:t>
      </w:r>
      <w:r w:rsidR="00471003">
        <w:t>Table S9</w:t>
      </w:r>
      <w:r w:rsidR="00621CB0">
        <w:t>.</w:t>
      </w:r>
      <w:r w:rsidR="00FC6716">
        <w:t xml:space="preserve"> Note that plant-based foods are all considered to have the energy intensity of </w:t>
      </w:r>
      <w:r w:rsidR="00FC6716" w:rsidRPr="00FC6716">
        <w:rPr>
          <w:i/>
        </w:rPr>
        <w:t>crops</w:t>
      </w:r>
      <w:r w:rsidR="00FC6716">
        <w:t>, so further disaggregation is unnecessary.</w:t>
      </w:r>
      <w:r>
        <w:t xml:space="preserve"> </w:t>
      </w:r>
      <w:r w:rsidR="00A44455">
        <w:t>Combine</w:t>
      </w:r>
      <w:r>
        <w:t>d with th</w:t>
      </w:r>
      <w:r w:rsidR="00A44455">
        <w:t>e</w:t>
      </w:r>
      <w:r>
        <w:t xml:space="preserve"> values</w:t>
      </w:r>
      <w:r w:rsidR="00A44455">
        <w:t xml:space="preserve"> of </w:t>
      </w:r>
      <w:r w:rsidR="00471003">
        <w:t>Table S8</w:t>
      </w:r>
      <w:r w:rsidR="00A44455">
        <w:t xml:space="preserve"> above, </w:t>
      </w:r>
      <w:r>
        <w:t xml:space="preserve">we </w:t>
      </w:r>
      <w:r w:rsidR="00531C95">
        <w:t>estimate that</w:t>
      </w:r>
      <w:r>
        <w:t xml:space="preserve"> </w:t>
      </w:r>
      <w:r w:rsidR="00531C95">
        <w:rPr>
          <w:i/>
        </w:rPr>
        <w:t>up to the farm gate</w:t>
      </w:r>
      <w:r>
        <w:t>,</w:t>
      </w:r>
      <w:r w:rsidR="0079286A">
        <w:t xml:space="preserve"> </w:t>
      </w:r>
      <w:r>
        <w:t xml:space="preserve">an </w:t>
      </w:r>
      <w:r w:rsidR="00A44455">
        <w:t xml:space="preserve">average of 0.23 GJ of input energy </w:t>
      </w:r>
      <w:r>
        <w:t xml:space="preserve">is </w:t>
      </w:r>
      <w:r w:rsidR="00A44455">
        <w:t>required to produce 1 GJ of human-edible food.</w:t>
      </w:r>
      <w:r w:rsidR="00080C52">
        <w:t xml:space="preserve"> Across countries, this gives </w:t>
      </w:r>
      <w:r w:rsidR="00080C52" w:rsidRPr="00080C52">
        <w:rPr>
          <w:b/>
        </w:rPr>
        <w:t>0.8-0.9 GJ/cap/yr</w:t>
      </w:r>
      <w:r w:rsidR="00080C52">
        <w:t>.</w:t>
      </w:r>
    </w:p>
    <w:tbl>
      <w:tblPr>
        <w:tblW w:w="9026" w:type="dxa"/>
        <w:jc w:val="center"/>
        <w:tblCellMar>
          <w:left w:w="57" w:type="dxa"/>
          <w:right w:w="57" w:type="dxa"/>
        </w:tblCellMar>
        <w:tblLook w:val="04A0" w:firstRow="1" w:lastRow="0" w:firstColumn="1" w:lastColumn="0" w:noHBand="0" w:noVBand="1"/>
      </w:tblPr>
      <w:tblGrid>
        <w:gridCol w:w="2977"/>
        <w:gridCol w:w="1276"/>
        <w:gridCol w:w="1417"/>
        <w:gridCol w:w="709"/>
        <w:gridCol w:w="1276"/>
        <w:gridCol w:w="1371"/>
      </w:tblGrid>
      <w:tr w:rsidR="00C12B3D" w:rsidRPr="00C03334" w14:paraId="71DF79B5" w14:textId="1477C9B1" w:rsidTr="00327856">
        <w:trPr>
          <w:trHeight w:val="255"/>
          <w:jc w:val="center"/>
        </w:trPr>
        <w:tc>
          <w:tcPr>
            <w:tcW w:w="2977" w:type="dxa"/>
            <w:vMerge w:val="restart"/>
            <w:shd w:val="clear" w:color="auto" w:fill="FFFFFF" w:themeFill="background1"/>
          </w:tcPr>
          <w:p w14:paraId="47684A6C" w14:textId="78D50A3A" w:rsidR="00C12B3D" w:rsidRPr="00C03334" w:rsidRDefault="00471003" w:rsidP="00A5581F">
            <w:pPr>
              <w:spacing w:after="0" w:line="240" w:lineRule="auto"/>
              <w:ind w:left="170" w:right="230" w:hanging="170"/>
              <w:rPr>
                <w:sz w:val="20"/>
                <w:lang w:eastAsia="en-GB"/>
              </w:rPr>
            </w:pPr>
            <w:r>
              <w:rPr>
                <w:b/>
              </w:rPr>
              <w:t>Table S9</w:t>
            </w:r>
            <w:r w:rsidR="00C12B3D" w:rsidRPr="002B6878">
              <w:rPr>
                <w:b/>
              </w:rPr>
              <w:t>:</w:t>
            </w:r>
            <w:r w:rsidR="00C12B3D">
              <w:t xml:space="preserve">  The composition of the average global diet in years 2005-07, alongside a recommended omnivore diet, and the composition (on an energy-content basis) of foods assumed in our model inputs</w:t>
            </w:r>
          </w:p>
        </w:tc>
        <w:tc>
          <w:tcPr>
            <w:tcW w:w="1276" w:type="dxa"/>
            <w:shd w:val="clear" w:color="auto" w:fill="auto"/>
            <w:noWrap/>
            <w:vAlign w:val="center"/>
          </w:tcPr>
          <w:p w14:paraId="2A983A2E" w14:textId="49FE9A0A" w:rsidR="00C12B3D" w:rsidRPr="00C03334" w:rsidRDefault="00C12B3D" w:rsidP="00C03334">
            <w:pPr>
              <w:spacing w:after="0" w:line="240" w:lineRule="auto"/>
              <w:ind w:left="225"/>
              <w:jc w:val="center"/>
              <w:rPr>
                <w:sz w:val="20"/>
                <w:lang w:eastAsia="en-GB"/>
              </w:rPr>
            </w:pPr>
          </w:p>
        </w:tc>
        <w:tc>
          <w:tcPr>
            <w:tcW w:w="1417" w:type="dxa"/>
            <w:tcBorders>
              <w:right w:val="single" w:sz="4" w:space="0" w:color="7F7F7F" w:themeColor="text1" w:themeTint="80"/>
            </w:tcBorders>
            <w:shd w:val="clear" w:color="auto" w:fill="000000" w:themeFill="text1"/>
            <w:noWrap/>
            <w:vAlign w:val="center"/>
          </w:tcPr>
          <w:p w14:paraId="2CFCCD1B" w14:textId="57183D7B" w:rsidR="00C12B3D" w:rsidRPr="00C03334" w:rsidRDefault="00C12B3D" w:rsidP="004850A3">
            <w:pPr>
              <w:spacing w:after="0" w:line="240" w:lineRule="auto"/>
              <w:jc w:val="center"/>
              <w:rPr>
                <w:b/>
                <w:sz w:val="20"/>
                <w:lang w:eastAsia="en-GB"/>
              </w:rPr>
            </w:pPr>
            <w:r>
              <w:rPr>
                <w:b/>
                <w:sz w:val="20"/>
                <w:lang w:eastAsia="en-GB"/>
              </w:rPr>
              <w:t>World average 2005-07</w:t>
            </w:r>
          </w:p>
        </w:tc>
        <w:tc>
          <w:tcPr>
            <w:tcW w:w="1985" w:type="dxa"/>
            <w:gridSpan w:val="2"/>
            <w:tcBorders>
              <w:left w:val="single" w:sz="4" w:space="0" w:color="7F7F7F" w:themeColor="text1" w:themeTint="80"/>
            </w:tcBorders>
            <w:shd w:val="clear" w:color="auto" w:fill="000000" w:themeFill="text1"/>
            <w:noWrap/>
            <w:vAlign w:val="center"/>
          </w:tcPr>
          <w:p w14:paraId="57D85D9C" w14:textId="74CA4A51" w:rsidR="00C12B3D" w:rsidRPr="00C03334" w:rsidRDefault="00C12B3D" w:rsidP="004850A3">
            <w:pPr>
              <w:spacing w:after="0" w:line="240" w:lineRule="auto"/>
              <w:jc w:val="center"/>
              <w:rPr>
                <w:b/>
                <w:sz w:val="20"/>
                <w:lang w:eastAsia="en-GB"/>
              </w:rPr>
            </w:pPr>
            <w:r w:rsidRPr="00C03334">
              <w:rPr>
                <w:b/>
                <w:sz w:val="20"/>
                <w:lang w:eastAsia="en-GB"/>
              </w:rPr>
              <w:t>Recommended</w:t>
            </w:r>
          </w:p>
        </w:tc>
        <w:tc>
          <w:tcPr>
            <w:tcW w:w="1371" w:type="dxa"/>
            <w:tcBorders>
              <w:left w:val="single" w:sz="4" w:space="0" w:color="7F7F7F" w:themeColor="text1" w:themeTint="80"/>
            </w:tcBorders>
            <w:shd w:val="clear" w:color="auto" w:fill="000000" w:themeFill="text1"/>
            <w:vAlign w:val="center"/>
          </w:tcPr>
          <w:p w14:paraId="528138C8" w14:textId="35A72297" w:rsidR="00C12B3D" w:rsidRPr="00C03334" w:rsidRDefault="00C12B3D" w:rsidP="004850A3">
            <w:pPr>
              <w:spacing w:after="0" w:line="240" w:lineRule="auto"/>
              <w:jc w:val="center"/>
              <w:rPr>
                <w:b/>
                <w:sz w:val="20"/>
                <w:lang w:eastAsia="en-GB"/>
              </w:rPr>
            </w:pPr>
            <w:r>
              <w:rPr>
                <w:b/>
                <w:sz w:val="20"/>
                <w:lang w:eastAsia="en-GB"/>
              </w:rPr>
              <w:t>Model input</w:t>
            </w:r>
          </w:p>
        </w:tc>
      </w:tr>
      <w:tr w:rsidR="00C12B3D" w:rsidRPr="00C03334" w14:paraId="56337347" w14:textId="426C3450" w:rsidTr="00327856">
        <w:trPr>
          <w:trHeight w:val="255"/>
          <w:jc w:val="center"/>
        </w:trPr>
        <w:tc>
          <w:tcPr>
            <w:tcW w:w="2977" w:type="dxa"/>
            <w:vMerge/>
            <w:shd w:val="clear" w:color="auto" w:fill="FFFFFF" w:themeFill="background1"/>
            <w:vAlign w:val="center"/>
          </w:tcPr>
          <w:p w14:paraId="0ADD5969" w14:textId="77777777" w:rsidR="00C12B3D" w:rsidRPr="00C03334" w:rsidRDefault="00C12B3D" w:rsidP="00C03334">
            <w:pPr>
              <w:spacing w:after="0" w:line="240" w:lineRule="auto"/>
              <w:ind w:left="225"/>
              <w:jc w:val="center"/>
              <w:rPr>
                <w:sz w:val="20"/>
                <w:lang w:eastAsia="en-GB"/>
              </w:rPr>
            </w:pPr>
          </w:p>
        </w:tc>
        <w:tc>
          <w:tcPr>
            <w:tcW w:w="1276" w:type="dxa"/>
            <w:shd w:val="clear" w:color="auto" w:fill="auto"/>
            <w:noWrap/>
            <w:vAlign w:val="center"/>
          </w:tcPr>
          <w:p w14:paraId="09E0F3B6" w14:textId="06FBF471" w:rsidR="00C12B3D" w:rsidRPr="00C03334" w:rsidRDefault="00C12B3D" w:rsidP="00C03334">
            <w:pPr>
              <w:spacing w:after="0" w:line="240" w:lineRule="auto"/>
              <w:ind w:left="225"/>
              <w:jc w:val="center"/>
              <w:rPr>
                <w:sz w:val="20"/>
                <w:lang w:eastAsia="en-GB"/>
              </w:rPr>
            </w:pPr>
          </w:p>
        </w:tc>
        <w:tc>
          <w:tcPr>
            <w:tcW w:w="1417" w:type="dxa"/>
            <w:tcBorders>
              <w:right w:val="single" w:sz="4" w:space="0" w:color="7F7F7F" w:themeColor="text1" w:themeTint="80"/>
            </w:tcBorders>
            <w:shd w:val="clear" w:color="auto" w:fill="404040" w:themeFill="text1" w:themeFillTint="BF"/>
            <w:noWrap/>
            <w:vAlign w:val="center"/>
          </w:tcPr>
          <w:p w14:paraId="15F23DC0" w14:textId="1F53B485" w:rsidR="00C12B3D" w:rsidRPr="006621E9" w:rsidRDefault="00C12B3D" w:rsidP="004850A3">
            <w:pPr>
              <w:spacing w:after="0" w:line="240" w:lineRule="auto"/>
              <w:jc w:val="center"/>
              <w:rPr>
                <w:color w:val="FFFFFF" w:themeColor="background1"/>
                <w:sz w:val="20"/>
                <w:lang w:eastAsia="en-GB"/>
              </w:rPr>
            </w:pPr>
            <w:r w:rsidRPr="006621E9">
              <w:rPr>
                <w:color w:val="FFFFFF" w:themeColor="background1"/>
                <w:sz w:val="20"/>
                <w:lang w:eastAsia="en-GB"/>
              </w:rPr>
              <w:t>g/day</w:t>
            </w:r>
          </w:p>
        </w:tc>
        <w:tc>
          <w:tcPr>
            <w:tcW w:w="709" w:type="dxa"/>
            <w:tcBorders>
              <w:left w:val="single" w:sz="4" w:space="0" w:color="7F7F7F" w:themeColor="text1" w:themeTint="80"/>
            </w:tcBorders>
            <w:shd w:val="clear" w:color="auto" w:fill="404040" w:themeFill="text1" w:themeFillTint="BF"/>
            <w:noWrap/>
            <w:vAlign w:val="center"/>
            <w:hideMark/>
          </w:tcPr>
          <w:p w14:paraId="09379DCF" w14:textId="51F47D61" w:rsidR="00C12B3D" w:rsidRPr="006621E9" w:rsidRDefault="00C12B3D" w:rsidP="004850A3">
            <w:pPr>
              <w:spacing w:after="0" w:line="240" w:lineRule="auto"/>
              <w:jc w:val="center"/>
              <w:rPr>
                <w:color w:val="FFFFFF" w:themeColor="background1"/>
                <w:sz w:val="20"/>
                <w:lang w:eastAsia="en-GB"/>
              </w:rPr>
            </w:pPr>
            <w:r w:rsidRPr="006621E9">
              <w:rPr>
                <w:color w:val="FFFFFF" w:themeColor="background1"/>
                <w:sz w:val="20"/>
                <w:lang w:eastAsia="en-GB"/>
              </w:rPr>
              <w:t>g/day</w:t>
            </w:r>
          </w:p>
        </w:tc>
        <w:tc>
          <w:tcPr>
            <w:tcW w:w="1276" w:type="dxa"/>
            <w:tcBorders>
              <w:right w:val="single" w:sz="4" w:space="0" w:color="7F7F7F" w:themeColor="text1" w:themeTint="80"/>
            </w:tcBorders>
            <w:shd w:val="clear" w:color="auto" w:fill="404040" w:themeFill="text1" w:themeFillTint="BF"/>
            <w:noWrap/>
            <w:vAlign w:val="center"/>
            <w:hideMark/>
          </w:tcPr>
          <w:p w14:paraId="665356DD" w14:textId="30433EE9" w:rsidR="00C12B3D" w:rsidRPr="006621E9" w:rsidRDefault="00C12B3D" w:rsidP="004850A3">
            <w:pPr>
              <w:spacing w:after="0" w:line="240" w:lineRule="auto"/>
              <w:jc w:val="center"/>
              <w:rPr>
                <w:color w:val="FFFFFF" w:themeColor="background1"/>
                <w:sz w:val="20"/>
                <w:lang w:eastAsia="en-GB"/>
              </w:rPr>
            </w:pPr>
            <w:r w:rsidRPr="006621E9">
              <w:rPr>
                <w:color w:val="FFFFFF" w:themeColor="background1"/>
                <w:sz w:val="20"/>
                <w:lang w:eastAsia="en-GB"/>
              </w:rPr>
              <w:t>Composition (energy basis)</w:t>
            </w:r>
          </w:p>
        </w:tc>
        <w:tc>
          <w:tcPr>
            <w:tcW w:w="1371" w:type="dxa"/>
            <w:tcBorders>
              <w:left w:val="single" w:sz="4" w:space="0" w:color="7F7F7F" w:themeColor="text1" w:themeTint="80"/>
            </w:tcBorders>
            <w:shd w:val="clear" w:color="auto" w:fill="404040" w:themeFill="text1" w:themeFillTint="BF"/>
            <w:vAlign w:val="center"/>
          </w:tcPr>
          <w:p w14:paraId="4C1FAADE" w14:textId="35711048" w:rsidR="00C12B3D" w:rsidRPr="006621E9" w:rsidRDefault="00C12B3D" w:rsidP="004850A3">
            <w:pPr>
              <w:spacing w:after="0" w:line="240" w:lineRule="auto"/>
              <w:jc w:val="center"/>
              <w:rPr>
                <w:color w:val="FFFFFF" w:themeColor="background1"/>
                <w:sz w:val="20"/>
                <w:lang w:eastAsia="en-GB"/>
              </w:rPr>
            </w:pPr>
            <w:r w:rsidRPr="006621E9">
              <w:rPr>
                <w:color w:val="FFFFFF" w:themeColor="background1"/>
                <w:sz w:val="20"/>
                <w:lang w:eastAsia="en-GB"/>
              </w:rPr>
              <w:t>Composition (energy basis)</w:t>
            </w:r>
          </w:p>
        </w:tc>
      </w:tr>
      <w:tr w:rsidR="00C12B3D" w:rsidRPr="00C03334" w14:paraId="2E21C73D" w14:textId="75EADD43" w:rsidTr="00327856">
        <w:trPr>
          <w:trHeight w:val="235"/>
          <w:jc w:val="center"/>
        </w:trPr>
        <w:tc>
          <w:tcPr>
            <w:tcW w:w="2977" w:type="dxa"/>
            <w:vMerge/>
            <w:shd w:val="clear" w:color="auto" w:fill="FFFFFF" w:themeFill="background1"/>
            <w:vAlign w:val="center"/>
          </w:tcPr>
          <w:p w14:paraId="7B4ACA9E" w14:textId="77777777" w:rsidR="00C12B3D" w:rsidRPr="00C03334" w:rsidRDefault="00C12B3D" w:rsidP="00C03334">
            <w:pPr>
              <w:spacing w:after="0" w:line="240" w:lineRule="auto"/>
              <w:ind w:left="225"/>
              <w:jc w:val="center"/>
              <w:rPr>
                <w:sz w:val="20"/>
                <w:lang w:eastAsia="en-GB"/>
              </w:rPr>
            </w:pPr>
          </w:p>
        </w:tc>
        <w:tc>
          <w:tcPr>
            <w:tcW w:w="1276" w:type="dxa"/>
            <w:shd w:val="clear" w:color="auto" w:fill="BFBFBF" w:themeFill="background1" w:themeFillShade="BF"/>
            <w:noWrap/>
          </w:tcPr>
          <w:p w14:paraId="7F4C069B" w14:textId="6E4199AB" w:rsidR="00C12B3D" w:rsidRPr="00C03334" w:rsidRDefault="00C12B3D" w:rsidP="00C03334">
            <w:pPr>
              <w:spacing w:after="0" w:line="240" w:lineRule="auto"/>
              <w:rPr>
                <w:b/>
                <w:sz w:val="20"/>
                <w:lang w:eastAsia="en-GB"/>
              </w:rPr>
            </w:pPr>
            <w:r>
              <w:rPr>
                <w:b/>
                <w:sz w:val="20"/>
                <w:lang w:eastAsia="en-GB"/>
              </w:rPr>
              <w:t>Animal-based</w:t>
            </w:r>
          </w:p>
        </w:tc>
        <w:tc>
          <w:tcPr>
            <w:tcW w:w="1417" w:type="dxa"/>
            <w:tcBorders>
              <w:right w:val="single" w:sz="4" w:space="0" w:color="BFBFBF" w:themeColor="background1" w:themeShade="BF"/>
            </w:tcBorders>
            <w:shd w:val="clear" w:color="auto" w:fill="F2F2F2" w:themeFill="background1" w:themeFillShade="F2"/>
            <w:noWrap/>
            <w:vAlign w:val="center"/>
          </w:tcPr>
          <w:p w14:paraId="22A66837" w14:textId="73D09DE3" w:rsidR="00C12B3D" w:rsidRPr="008B6F2A" w:rsidRDefault="00C12B3D" w:rsidP="006621E9">
            <w:pPr>
              <w:spacing w:after="0" w:line="240" w:lineRule="auto"/>
              <w:jc w:val="center"/>
              <w:rPr>
                <w:b/>
                <w:sz w:val="20"/>
                <w:lang w:eastAsia="en-GB"/>
              </w:rPr>
            </w:pPr>
            <w:r w:rsidRPr="008B6F2A">
              <w:rPr>
                <w:b/>
                <w:sz w:val="20"/>
                <w:lang w:eastAsia="en-GB"/>
              </w:rPr>
              <w:t>334</w:t>
            </w:r>
          </w:p>
        </w:tc>
        <w:tc>
          <w:tcPr>
            <w:tcW w:w="709" w:type="dxa"/>
            <w:tcBorders>
              <w:left w:val="single" w:sz="4" w:space="0" w:color="BFBFBF" w:themeColor="background1" w:themeShade="BF"/>
            </w:tcBorders>
            <w:shd w:val="clear" w:color="auto" w:fill="F2F2F2" w:themeFill="background1" w:themeFillShade="F2"/>
            <w:noWrap/>
            <w:vAlign w:val="center"/>
          </w:tcPr>
          <w:p w14:paraId="64F8BBDA" w14:textId="12CF673C" w:rsidR="00C12B3D" w:rsidRPr="006621E9" w:rsidRDefault="00C12B3D" w:rsidP="006621E9">
            <w:pPr>
              <w:spacing w:after="0" w:line="240" w:lineRule="auto"/>
              <w:jc w:val="center"/>
              <w:rPr>
                <w:b/>
                <w:sz w:val="20"/>
                <w:lang w:eastAsia="en-GB"/>
              </w:rPr>
            </w:pPr>
            <w:r w:rsidRPr="006621E9">
              <w:rPr>
                <w:b/>
                <w:sz w:val="20"/>
                <w:lang w:eastAsia="en-GB"/>
              </w:rPr>
              <w:t>369</w:t>
            </w:r>
          </w:p>
        </w:tc>
        <w:tc>
          <w:tcPr>
            <w:tcW w:w="1276" w:type="dxa"/>
            <w:tcBorders>
              <w:right w:val="single" w:sz="4" w:space="0" w:color="BFBFBF" w:themeColor="background1" w:themeShade="BF"/>
            </w:tcBorders>
            <w:shd w:val="clear" w:color="auto" w:fill="F2F2F2" w:themeFill="background1" w:themeFillShade="F2"/>
            <w:noWrap/>
            <w:vAlign w:val="center"/>
          </w:tcPr>
          <w:p w14:paraId="354B8B0A" w14:textId="41A17E37" w:rsidR="00C12B3D" w:rsidRPr="006621E9" w:rsidRDefault="00C12B3D" w:rsidP="006621E9">
            <w:pPr>
              <w:spacing w:after="0" w:line="240" w:lineRule="auto"/>
              <w:jc w:val="center"/>
              <w:rPr>
                <w:b/>
                <w:sz w:val="20"/>
                <w:lang w:eastAsia="en-GB"/>
              </w:rPr>
            </w:pPr>
            <w:r w:rsidRPr="006621E9">
              <w:rPr>
                <w:b/>
                <w:sz w:val="20"/>
                <w:lang w:eastAsia="en-GB"/>
              </w:rPr>
              <w:t>13%</w:t>
            </w:r>
          </w:p>
        </w:tc>
        <w:tc>
          <w:tcPr>
            <w:tcW w:w="1371" w:type="dxa"/>
            <w:tcBorders>
              <w:left w:val="single" w:sz="4" w:space="0" w:color="BFBFBF" w:themeColor="background1" w:themeShade="BF"/>
            </w:tcBorders>
            <w:shd w:val="clear" w:color="auto" w:fill="F2F2F2" w:themeFill="background1" w:themeFillShade="F2"/>
          </w:tcPr>
          <w:p w14:paraId="4E3752A4" w14:textId="7557C653" w:rsidR="00C12B3D" w:rsidRPr="006621E9" w:rsidRDefault="00697140" w:rsidP="006621E9">
            <w:pPr>
              <w:spacing w:after="0" w:line="240" w:lineRule="auto"/>
              <w:jc w:val="center"/>
              <w:rPr>
                <w:b/>
                <w:sz w:val="20"/>
                <w:lang w:eastAsia="en-GB"/>
              </w:rPr>
            </w:pPr>
            <w:r>
              <w:rPr>
                <w:b/>
                <w:sz w:val="20"/>
                <w:lang w:eastAsia="en-GB"/>
              </w:rPr>
              <w:t>7%</w:t>
            </w:r>
          </w:p>
        </w:tc>
      </w:tr>
      <w:tr w:rsidR="00C12B3D" w:rsidRPr="00C03334" w14:paraId="7CB255E2" w14:textId="3B6A4ECC" w:rsidTr="00327856">
        <w:trPr>
          <w:trHeight w:val="125"/>
          <w:jc w:val="center"/>
        </w:trPr>
        <w:tc>
          <w:tcPr>
            <w:tcW w:w="2977" w:type="dxa"/>
            <w:vMerge/>
            <w:shd w:val="clear" w:color="auto" w:fill="FFFFFF" w:themeFill="background1"/>
            <w:vAlign w:val="center"/>
          </w:tcPr>
          <w:p w14:paraId="09ABD452" w14:textId="77777777" w:rsidR="00C12B3D" w:rsidRPr="00C03334" w:rsidRDefault="00C12B3D" w:rsidP="00C03334">
            <w:pPr>
              <w:spacing w:after="0" w:line="240" w:lineRule="auto"/>
              <w:ind w:left="225"/>
              <w:jc w:val="center"/>
              <w:rPr>
                <w:sz w:val="20"/>
                <w:lang w:eastAsia="en-GB"/>
              </w:rPr>
            </w:pPr>
          </w:p>
        </w:tc>
        <w:tc>
          <w:tcPr>
            <w:tcW w:w="1276" w:type="dxa"/>
            <w:shd w:val="clear" w:color="auto" w:fill="BFBFBF" w:themeFill="background1" w:themeFillShade="BF"/>
            <w:noWrap/>
            <w:vAlign w:val="center"/>
            <w:hideMark/>
          </w:tcPr>
          <w:p w14:paraId="0EDA5139" w14:textId="68BBDA1F" w:rsidR="00C12B3D" w:rsidRPr="006621E9" w:rsidRDefault="00C12B3D" w:rsidP="00C03334">
            <w:pPr>
              <w:spacing w:after="0" w:line="240" w:lineRule="auto"/>
              <w:ind w:left="225"/>
              <w:rPr>
                <w:sz w:val="20"/>
                <w:lang w:eastAsia="en-GB"/>
              </w:rPr>
            </w:pPr>
            <w:r w:rsidRPr="006621E9">
              <w:rPr>
                <w:sz w:val="20"/>
                <w:lang w:eastAsia="en-GB"/>
              </w:rPr>
              <w:t>Red meat</w:t>
            </w:r>
          </w:p>
        </w:tc>
        <w:tc>
          <w:tcPr>
            <w:tcW w:w="1417" w:type="dxa"/>
            <w:tcBorders>
              <w:right w:val="single" w:sz="4" w:space="0" w:color="BFBFBF" w:themeColor="background1" w:themeShade="BF"/>
            </w:tcBorders>
            <w:shd w:val="clear" w:color="auto" w:fill="F2F2F2" w:themeFill="background1" w:themeFillShade="F2"/>
            <w:noWrap/>
            <w:vAlign w:val="center"/>
            <w:hideMark/>
          </w:tcPr>
          <w:p w14:paraId="686AB6CB" w14:textId="77777777" w:rsidR="00C12B3D" w:rsidRPr="00C03334" w:rsidRDefault="00C12B3D" w:rsidP="006621E9">
            <w:pPr>
              <w:spacing w:after="0" w:line="240" w:lineRule="auto"/>
              <w:jc w:val="center"/>
              <w:rPr>
                <w:sz w:val="20"/>
                <w:lang w:eastAsia="en-GB"/>
              </w:rPr>
            </w:pPr>
            <w:r w:rsidRPr="00C03334">
              <w:rPr>
                <w:sz w:val="20"/>
                <w:lang w:eastAsia="en-GB"/>
              </w:rPr>
              <w:t>66</w:t>
            </w:r>
          </w:p>
        </w:tc>
        <w:tc>
          <w:tcPr>
            <w:tcW w:w="709" w:type="dxa"/>
            <w:tcBorders>
              <w:left w:val="single" w:sz="4" w:space="0" w:color="BFBFBF" w:themeColor="background1" w:themeShade="BF"/>
            </w:tcBorders>
            <w:shd w:val="clear" w:color="auto" w:fill="F2F2F2" w:themeFill="background1" w:themeFillShade="F2"/>
            <w:noWrap/>
            <w:vAlign w:val="center"/>
            <w:hideMark/>
          </w:tcPr>
          <w:p w14:paraId="60F387B3" w14:textId="77777777" w:rsidR="00C12B3D" w:rsidRPr="00C03334" w:rsidRDefault="00C12B3D" w:rsidP="006621E9">
            <w:pPr>
              <w:spacing w:after="0" w:line="240" w:lineRule="auto"/>
              <w:jc w:val="center"/>
              <w:rPr>
                <w:sz w:val="20"/>
                <w:lang w:eastAsia="en-GB"/>
              </w:rPr>
            </w:pPr>
            <w:r w:rsidRPr="00C03334">
              <w:rPr>
                <w:sz w:val="20"/>
                <w:lang w:eastAsia="en-GB"/>
              </w:rPr>
              <w:t>33</w:t>
            </w:r>
          </w:p>
        </w:tc>
        <w:tc>
          <w:tcPr>
            <w:tcW w:w="1276" w:type="dxa"/>
            <w:tcBorders>
              <w:right w:val="single" w:sz="4" w:space="0" w:color="BFBFBF" w:themeColor="background1" w:themeShade="BF"/>
            </w:tcBorders>
            <w:shd w:val="clear" w:color="auto" w:fill="F2F2F2" w:themeFill="background1" w:themeFillShade="F2"/>
            <w:noWrap/>
            <w:vAlign w:val="center"/>
            <w:hideMark/>
          </w:tcPr>
          <w:p w14:paraId="00F0DAF3" w14:textId="77777777" w:rsidR="00C12B3D" w:rsidRPr="00C03334" w:rsidRDefault="00C12B3D" w:rsidP="006621E9">
            <w:pPr>
              <w:spacing w:after="0" w:line="240" w:lineRule="auto"/>
              <w:jc w:val="center"/>
              <w:rPr>
                <w:sz w:val="20"/>
                <w:lang w:eastAsia="en-GB"/>
              </w:rPr>
            </w:pPr>
            <w:r w:rsidRPr="00C03334">
              <w:rPr>
                <w:sz w:val="20"/>
                <w:lang w:eastAsia="en-GB"/>
              </w:rPr>
              <w:t>2.2%</w:t>
            </w:r>
          </w:p>
        </w:tc>
        <w:tc>
          <w:tcPr>
            <w:tcW w:w="1371" w:type="dxa"/>
            <w:tcBorders>
              <w:left w:val="single" w:sz="4" w:space="0" w:color="BFBFBF" w:themeColor="background1" w:themeShade="BF"/>
            </w:tcBorders>
            <w:shd w:val="clear" w:color="auto" w:fill="F2F2F2" w:themeFill="background1" w:themeFillShade="F2"/>
          </w:tcPr>
          <w:p w14:paraId="785DAD31" w14:textId="3B00320D" w:rsidR="00C12B3D" w:rsidRPr="00C03334" w:rsidRDefault="00697140" w:rsidP="006621E9">
            <w:pPr>
              <w:spacing w:after="0" w:line="240" w:lineRule="auto"/>
              <w:jc w:val="center"/>
              <w:rPr>
                <w:sz w:val="20"/>
                <w:lang w:eastAsia="en-GB"/>
              </w:rPr>
            </w:pPr>
            <w:r>
              <w:rPr>
                <w:sz w:val="20"/>
                <w:lang w:eastAsia="en-GB"/>
              </w:rPr>
              <w:t>1%</w:t>
            </w:r>
          </w:p>
        </w:tc>
      </w:tr>
      <w:tr w:rsidR="00C12B3D" w:rsidRPr="00C03334" w14:paraId="57F70652" w14:textId="3CCA1CC6" w:rsidTr="00327856">
        <w:trPr>
          <w:trHeight w:val="74"/>
          <w:jc w:val="center"/>
        </w:trPr>
        <w:tc>
          <w:tcPr>
            <w:tcW w:w="2977" w:type="dxa"/>
            <w:vMerge/>
            <w:shd w:val="clear" w:color="auto" w:fill="FFFFFF" w:themeFill="background1"/>
            <w:vAlign w:val="center"/>
          </w:tcPr>
          <w:p w14:paraId="62FC12BB" w14:textId="77777777" w:rsidR="00C12B3D" w:rsidRPr="00C03334" w:rsidRDefault="00C12B3D" w:rsidP="00C03334">
            <w:pPr>
              <w:spacing w:after="0" w:line="240" w:lineRule="auto"/>
              <w:ind w:left="225"/>
              <w:jc w:val="center"/>
              <w:rPr>
                <w:sz w:val="20"/>
                <w:lang w:eastAsia="en-GB"/>
              </w:rPr>
            </w:pPr>
          </w:p>
        </w:tc>
        <w:tc>
          <w:tcPr>
            <w:tcW w:w="1276" w:type="dxa"/>
            <w:shd w:val="clear" w:color="auto" w:fill="BFBFBF" w:themeFill="background1" w:themeFillShade="BF"/>
            <w:noWrap/>
            <w:vAlign w:val="center"/>
          </w:tcPr>
          <w:p w14:paraId="7B676D37" w14:textId="449E3076" w:rsidR="00C12B3D" w:rsidRPr="006621E9" w:rsidRDefault="00C12B3D" w:rsidP="00C03334">
            <w:pPr>
              <w:spacing w:after="0" w:line="240" w:lineRule="auto"/>
              <w:ind w:left="225"/>
              <w:rPr>
                <w:sz w:val="20"/>
                <w:lang w:eastAsia="en-GB"/>
              </w:rPr>
            </w:pPr>
            <w:r w:rsidRPr="006621E9">
              <w:rPr>
                <w:sz w:val="20"/>
                <w:lang w:eastAsia="en-GB"/>
              </w:rPr>
              <w:t>Poultry</w:t>
            </w:r>
          </w:p>
        </w:tc>
        <w:tc>
          <w:tcPr>
            <w:tcW w:w="1417" w:type="dxa"/>
            <w:tcBorders>
              <w:right w:val="single" w:sz="4" w:space="0" w:color="BFBFBF" w:themeColor="background1" w:themeShade="BF"/>
            </w:tcBorders>
            <w:shd w:val="clear" w:color="auto" w:fill="F2F2F2" w:themeFill="background1" w:themeFillShade="F2"/>
            <w:noWrap/>
            <w:vAlign w:val="center"/>
          </w:tcPr>
          <w:p w14:paraId="49D5DCA7" w14:textId="03B5E587" w:rsidR="00C12B3D" w:rsidRPr="00C03334" w:rsidRDefault="00C12B3D" w:rsidP="006621E9">
            <w:pPr>
              <w:spacing w:after="0" w:line="240" w:lineRule="auto"/>
              <w:jc w:val="center"/>
              <w:rPr>
                <w:sz w:val="20"/>
                <w:lang w:eastAsia="en-GB"/>
              </w:rPr>
            </w:pPr>
            <w:r w:rsidRPr="00C03334">
              <w:rPr>
                <w:sz w:val="20"/>
                <w:lang w:eastAsia="en-GB"/>
              </w:rPr>
              <w:t>31</w:t>
            </w:r>
          </w:p>
        </w:tc>
        <w:tc>
          <w:tcPr>
            <w:tcW w:w="709" w:type="dxa"/>
            <w:tcBorders>
              <w:left w:val="single" w:sz="4" w:space="0" w:color="BFBFBF" w:themeColor="background1" w:themeShade="BF"/>
            </w:tcBorders>
            <w:shd w:val="clear" w:color="auto" w:fill="F2F2F2" w:themeFill="background1" w:themeFillShade="F2"/>
            <w:noWrap/>
            <w:vAlign w:val="center"/>
          </w:tcPr>
          <w:p w14:paraId="2C7ECE4F" w14:textId="74332A88" w:rsidR="00C12B3D" w:rsidRPr="00C03334" w:rsidRDefault="00C12B3D" w:rsidP="006621E9">
            <w:pPr>
              <w:spacing w:after="0" w:line="240" w:lineRule="auto"/>
              <w:jc w:val="center"/>
              <w:rPr>
                <w:sz w:val="20"/>
                <w:lang w:eastAsia="en-GB"/>
              </w:rPr>
            </w:pPr>
            <w:r w:rsidRPr="00C03334">
              <w:rPr>
                <w:sz w:val="20"/>
                <w:lang w:eastAsia="en-GB"/>
              </w:rPr>
              <w:t>50</w:t>
            </w:r>
          </w:p>
        </w:tc>
        <w:tc>
          <w:tcPr>
            <w:tcW w:w="1276" w:type="dxa"/>
            <w:tcBorders>
              <w:right w:val="single" w:sz="4" w:space="0" w:color="BFBFBF" w:themeColor="background1" w:themeShade="BF"/>
            </w:tcBorders>
            <w:shd w:val="clear" w:color="auto" w:fill="F2F2F2" w:themeFill="background1" w:themeFillShade="F2"/>
            <w:noWrap/>
            <w:vAlign w:val="center"/>
          </w:tcPr>
          <w:p w14:paraId="17BD65CC" w14:textId="69F38FFA" w:rsidR="00C12B3D" w:rsidRPr="00C03334" w:rsidRDefault="00C12B3D" w:rsidP="006621E9">
            <w:pPr>
              <w:spacing w:after="0" w:line="240" w:lineRule="auto"/>
              <w:jc w:val="center"/>
              <w:rPr>
                <w:sz w:val="20"/>
                <w:lang w:eastAsia="en-GB"/>
              </w:rPr>
            </w:pPr>
            <w:r w:rsidRPr="00C03334">
              <w:rPr>
                <w:sz w:val="20"/>
                <w:lang w:eastAsia="en-GB"/>
              </w:rPr>
              <w:t>4.1%</w:t>
            </w:r>
          </w:p>
        </w:tc>
        <w:tc>
          <w:tcPr>
            <w:tcW w:w="1371" w:type="dxa"/>
            <w:tcBorders>
              <w:left w:val="single" w:sz="4" w:space="0" w:color="BFBFBF" w:themeColor="background1" w:themeShade="BF"/>
            </w:tcBorders>
            <w:shd w:val="clear" w:color="auto" w:fill="F2F2F2" w:themeFill="background1" w:themeFillShade="F2"/>
          </w:tcPr>
          <w:p w14:paraId="30BEA807" w14:textId="66D07002" w:rsidR="00C12B3D" w:rsidRPr="00C03334" w:rsidRDefault="00697140" w:rsidP="006621E9">
            <w:pPr>
              <w:spacing w:after="0" w:line="240" w:lineRule="auto"/>
              <w:jc w:val="center"/>
              <w:rPr>
                <w:sz w:val="20"/>
                <w:lang w:eastAsia="en-GB"/>
              </w:rPr>
            </w:pPr>
            <w:r>
              <w:rPr>
                <w:sz w:val="20"/>
                <w:lang w:eastAsia="en-GB"/>
              </w:rPr>
              <w:t>2%</w:t>
            </w:r>
          </w:p>
        </w:tc>
      </w:tr>
      <w:tr w:rsidR="00C12B3D" w:rsidRPr="00C03334" w14:paraId="33887EED" w14:textId="1D40F50E" w:rsidTr="00327856">
        <w:trPr>
          <w:trHeight w:val="74"/>
          <w:jc w:val="center"/>
        </w:trPr>
        <w:tc>
          <w:tcPr>
            <w:tcW w:w="2977" w:type="dxa"/>
            <w:vMerge/>
            <w:shd w:val="clear" w:color="auto" w:fill="FFFFFF" w:themeFill="background1"/>
            <w:vAlign w:val="center"/>
          </w:tcPr>
          <w:p w14:paraId="59ABFD4C" w14:textId="77777777" w:rsidR="00C12B3D" w:rsidRPr="00C03334" w:rsidRDefault="00C12B3D" w:rsidP="00C03334">
            <w:pPr>
              <w:spacing w:after="0" w:line="240" w:lineRule="auto"/>
              <w:ind w:left="225"/>
              <w:jc w:val="center"/>
              <w:rPr>
                <w:sz w:val="20"/>
                <w:lang w:eastAsia="en-GB"/>
              </w:rPr>
            </w:pPr>
          </w:p>
        </w:tc>
        <w:tc>
          <w:tcPr>
            <w:tcW w:w="1276" w:type="dxa"/>
            <w:shd w:val="clear" w:color="auto" w:fill="BFBFBF" w:themeFill="background1" w:themeFillShade="BF"/>
            <w:noWrap/>
            <w:vAlign w:val="center"/>
          </w:tcPr>
          <w:p w14:paraId="36213E47" w14:textId="729C196A" w:rsidR="00C12B3D" w:rsidRPr="006621E9" w:rsidRDefault="00C12B3D" w:rsidP="00C03334">
            <w:pPr>
              <w:spacing w:after="0" w:line="240" w:lineRule="auto"/>
              <w:ind w:left="225"/>
              <w:rPr>
                <w:sz w:val="20"/>
                <w:lang w:eastAsia="en-GB"/>
              </w:rPr>
            </w:pPr>
            <w:r w:rsidRPr="006621E9">
              <w:rPr>
                <w:sz w:val="20"/>
                <w:lang w:eastAsia="en-GB"/>
              </w:rPr>
              <w:t>Dairy</w:t>
            </w:r>
          </w:p>
        </w:tc>
        <w:tc>
          <w:tcPr>
            <w:tcW w:w="1417" w:type="dxa"/>
            <w:tcBorders>
              <w:right w:val="single" w:sz="4" w:space="0" w:color="BFBFBF" w:themeColor="background1" w:themeShade="BF"/>
            </w:tcBorders>
            <w:shd w:val="clear" w:color="auto" w:fill="F2F2F2" w:themeFill="background1" w:themeFillShade="F2"/>
            <w:noWrap/>
            <w:vAlign w:val="center"/>
          </w:tcPr>
          <w:p w14:paraId="345EF253" w14:textId="6987F9E1" w:rsidR="00C12B3D" w:rsidRPr="00C03334" w:rsidRDefault="00C12B3D" w:rsidP="006621E9">
            <w:pPr>
              <w:spacing w:after="0" w:line="240" w:lineRule="auto"/>
              <w:jc w:val="center"/>
              <w:rPr>
                <w:sz w:val="20"/>
                <w:lang w:eastAsia="en-GB"/>
              </w:rPr>
            </w:pPr>
            <w:r w:rsidRPr="00C03334">
              <w:rPr>
                <w:sz w:val="20"/>
                <w:lang w:eastAsia="en-GB"/>
              </w:rPr>
              <w:t>215</w:t>
            </w:r>
          </w:p>
        </w:tc>
        <w:tc>
          <w:tcPr>
            <w:tcW w:w="709" w:type="dxa"/>
            <w:tcBorders>
              <w:left w:val="single" w:sz="4" w:space="0" w:color="BFBFBF" w:themeColor="background1" w:themeShade="BF"/>
            </w:tcBorders>
            <w:shd w:val="clear" w:color="auto" w:fill="F2F2F2" w:themeFill="background1" w:themeFillShade="F2"/>
            <w:noWrap/>
            <w:vAlign w:val="center"/>
          </w:tcPr>
          <w:p w14:paraId="39832D66" w14:textId="208A2F0A" w:rsidR="00C12B3D" w:rsidRPr="00C03334" w:rsidRDefault="00C12B3D" w:rsidP="006621E9">
            <w:pPr>
              <w:spacing w:after="0" w:line="240" w:lineRule="auto"/>
              <w:jc w:val="center"/>
              <w:rPr>
                <w:sz w:val="20"/>
                <w:lang w:eastAsia="en-GB"/>
              </w:rPr>
            </w:pPr>
            <w:r w:rsidRPr="00C03334">
              <w:rPr>
                <w:sz w:val="20"/>
                <w:lang w:eastAsia="en-GB"/>
              </w:rPr>
              <w:t>260</w:t>
            </w:r>
          </w:p>
        </w:tc>
        <w:tc>
          <w:tcPr>
            <w:tcW w:w="1276" w:type="dxa"/>
            <w:tcBorders>
              <w:right w:val="single" w:sz="4" w:space="0" w:color="BFBFBF" w:themeColor="background1" w:themeShade="BF"/>
            </w:tcBorders>
            <w:shd w:val="clear" w:color="auto" w:fill="F2F2F2" w:themeFill="background1" w:themeFillShade="F2"/>
            <w:noWrap/>
            <w:vAlign w:val="center"/>
          </w:tcPr>
          <w:p w14:paraId="78717453" w14:textId="703B6799" w:rsidR="00C12B3D" w:rsidRPr="00C03334" w:rsidRDefault="00C12B3D" w:rsidP="006621E9">
            <w:pPr>
              <w:spacing w:after="0" w:line="240" w:lineRule="auto"/>
              <w:jc w:val="center"/>
              <w:rPr>
                <w:sz w:val="20"/>
                <w:lang w:eastAsia="en-GB"/>
              </w:rPr>
            </w:pPr>
            <w:r w:rsidRPr="00C03334">
              <w:rPr>
                <w:sz w:val="20"/>
                <w:lang w:eastAsia="en-GB"/>
              </w:rPr>
              <w:t>5.6%</w:t>
            </w:r>
          </w:p>
        </w:tc>
        <w:tc>
          <w:tcPr>
            <w:tcW w:w="1371" w:type="dxa"/>
            <w:tcBorders>
              <w:left w:val="single" w:sz="4" w:space="0" w:color="BFBFBF" w:themeColor="background1" w:themeShade="BF"/>
            </w:tcBorders>
            <w:shd w:val="clear" w:color="auto" w:fill="F2F2F2" w:themeFill="background1" w:themeFillShade="F2"/>
          </w:tcPr>
          <w:p w14:paraId="6005CBC3" w14:textId="1485698F" w:rsidR="00C12B3D" w:rsidRPr="00C03334" w:rsidRDefault="00697140" w:rsidP="006621E9">
            <w:pPr>
              <w:spacing w:after="0" w:line="240" w:lineRule="auto"/>
              <w:jc w:val="center"/>
              <w:rPr>
                <w:sz w:val="20"/>
                <w:lang w:eastAsia="en-GB"/>
              </w:rPr>
            </w:pPr>
            <w:r>
              <w:rPr>
                <w:sz w:val="20"/>
                <w:lang w:eastAsia="en-GB"/>
              </w:rPr>
              <w:t>3%</w:t>
            </w:r>
          </w:p>
        </w:tc>
      </w:tr>
      <w:tr w:rsidR="00C12B3D" w:rsidRPr="00C03334" w14:paraId="006626E6" w14:textId="5966E216" w:rsidTr="00327856">
        <w:trPr>
          <w:trHeight w:val="107"/>
          <w:jc w:val="center"/>
        </w:trPr>
        <w:tc>
          <w:tcPr>
            <w:tcW w:w="2977" w:type="dxa"/>
            <w:vMerge/>
            <w:shd w:val="clear" w:color="auto" w:fill="FFFFFF" w:themeFill="background1"/>
            <w:vAlign w:val="center"/>
          </w:tcPr>
          <w:p w14:paraId="3D31D566" w14:textId="77777777" w:rsidR="00C12B3D" w:rsidRPr="00C03334" w:rsidRDefault="00C12B3D" w:rsidP="00C03334">
            <w:pPr>
              <w:spacing w:after="0" w:line="240" w:lineRule="auto"/>
              <w:ind w:left="225"/>
              <w:jc w:val="center"/>
              <w:rPr>
                <w:sz w:val="20"/>
                <w:lang w:eastAsia="en-GB"/>
              </w:rPr>
            </w:pPr>
          </w:p>
        </w:tc>
        <w:tc>
          <w:tcPr>
            <w:tcW w:w="1276" w:type="dxa"/>
            <w:shd w:val="clear" w:color="auto" w:fill="BFBFBF" w:themeFill="background1" w:themeFillShade="BF"/>
            <w:noWrap/>
            <w:vAlign w:val="center"/>
          </w:tcPr>
          <w:p w14:paraId="3BD472E3" w14:textId="32025809" w:rsidR="00C12B3D" w:rsidRPr="006621E9" w:rsidRDefault="00C12B3D" w:rsidP="00C03334">
            <w:pPr>
              <w:spacing w:after="0" w:line="240" w:lineRule="auto"/>
              <w:ind w:left="225"/>
              <w:rPr>
                <w:sz w:val="20"/>
                <w:lang w:eastAsia="en-GB"/>
              </w:rPr>
            </w:pPr>
            <w:r w:rsidRPr="006621E9">
              <w:rPr>
                <w:sz w:val="20"/>
                <w:lang w:eastAsia="en-GB"/>
              </w:rPr>
              <w:t>Eggs</w:t>
            </w:r>
          </w:p>
        </w:tc>
        <w:tc>
          <w:tcPr>
            <w:tcW w:w="1417" w:type="dxa"/>
            <w:tcBorders>
              <w:right w:val="single" w:sz="4" w:space="0" w:color="BFBFBF" w:themeColor="background1" w:themeShade="BF"/>
            </w:tcBorders>
            <w:shd w:val="clear" w:color="auto" w:fill="F2F2F2" w:themeFill="background1" w:themeFillShade="F2"/>
            <w:noWrap/>
            <w:vAlign w:val="center"/>
          </w:tcPr>
          <w:p w14:paraId="60483738" w14:textId="1EF82A10" w:rsidR="00C12B3D" w:rsidRPr="00C03334" w:rsidRDefault="00C12B3D" w:rsidP="006621E9">
            <w:pPr>
              <w:spacing w:after="0" w:line="240" w:lineRule="auto"/>
              <w:jc w:val="center"/>
              <w:rPr>
                <w:sz w:val="20"/>
                <w:lang w:eastAsia="en-GB"/>
              </w:rPr>
            </w:pPr>
            <w:r w:rsidRPr="00C03334">
              <w:rPr>
                <w:sz w:val="20"/>
                <w:lang w:eastAsia="en-GB"/>
              </w:rPr>
              <w:t>22</w:t>
            </w:r>
          </w:p>
        </w:tc>
        <w:tc>
          <w:tcPr>
            <w:tcW w:w="709" w:type="dxa"/>
            <w:tcBorders>
              <w:left w:val="single" w:sz="4" w:space="0" w:color="BFBFBF" w:themeColor="background1" w:themeShade="BF"/>
            </w:tcBorders>
            <w:shd w:val="clear" w:color="auto" w:fill="F2F2F2" w:themeFill="background1" w:themeFillShade="F2"/>
            <w:noWrap/>
            <w:vAlign w:val="center"/>
          </w:tcPr>
          <w:p w14:paraId="4D7B477E" w14:textId="317264A8" w:rsidR="00C12B3D" w:rsidRPr="00C03334" w:rsidRDefault="00C12B3D" w:rsidP="006621E9">
            <w:pPr>
              <w:spacing w:after="0" w:line="240" w:lineRule="auto"/>
              <w:jc w:val="center"/>
              <w:rPr>
                <w:sz w:val="20"/>
                <w:lang w:eastAsia="en-GB"/>
              </w:rPr>
            </w:pPr>
            <w:r w:rsidRPr="00C03334">
              <w:rPr>
                <w:sz w:val="20"/>
                <w:lang w:eastAsia="en-GB"/>
              </w:rPr>
              <w:t>26</w:t>
            </w:r>
          </w:p>
        </w:tc>
        <w:tc>
          <w:tcPr>
            <w:tcW w:w="1276" w:type="dxa"/>
            <w:tcBorders>
              <w:right w:val="single" w:sz="4" w:space="0" w:color="BFBFBF" w:themeColor="background1" w:themeShade="BF"/>
            </w:tcBorders>
            <w:shd w:val="clear" w:color="auto" w:fill="F2F2F2" w:themeFill="background1" w:themeFillShade="F2"/>
            <w:noWrap/>
            <w:vAlign w:val="center"/>
          </w:tcPr>
          <w:p w14:paraId="0D72990C" w14:textId="0C8C4764" w:rsidR="00C12B3D" w:rsidRPr="00C03334" w:rsidRDefault="00C12B3D" w:rsidP="006621E9">
            <w:pPr>
              <w:spacing w:after="0" w:line="240" w:lineRule="auto"/>
              <w:jc w:val="center"/>
              <w:rPr>
                <w:sz w:val="20"/>
                <w:lang w:eastAsia="en-GB"/>
              </w:rPr>
            </w:pPr>
            <w:r w:rsidRPr="00C03334">
              <w:rPr>
                <w:sz w:val="20"/>
                <w:lang w:eastAsia="en-GB"/>
              </w:rPr>
              <w:t>1.6%</w:t>
            </w:r>
          </w:p>
        </w:tc>
        <w:tc>
          <w:tcPr>
            <w:tcW w:w="1371" w:type="dxa"/>
            <w:tcBorders>
              <w:left w:val="single" w:sz="4" w:space="0" w:color="BFBFBF" w:themeColor="background1" w:themeShade="BF"/>
            </w:tcBorders>
            <w:shd w:val="clear" w:color="auto" w:fill="F2F2F2" w:themeFill="background1" w:themeFillShade="F2"/>
          </w:tcPr>
          <w:p w14:paraId="5AFC558F" w14:textId="33067EC9" w:rsidR="00C12B3D" w:rsidRPr="00C03334" w:rsidRDefault="00287151" w:rsidP="006621E9">
            <w:pPr>
              <w:spacing w:after="0" w:line="240" w:lineRule="auto"/>
              <w:jc w:val="center"/>
              <w:rPr>
                <w:sz w:val="20"/>
                <w:lang w:eastAsia="en-GB"/>
              </w:rPr>
            </w:pPr>
            <w:r>
              <w:rPr>
                <w:sz w:val="20"/>
                <w:lang w:eastAsia="en-GB"/>
              </w:rPr>
              <w:t>0.8</w:t>
            </w:r>
            <w:r w:rsidR="00697140">
              <w:rPr>
                <w:sz w:val="20"/>
                <w:lang w:eastAsia="en-GB"/>
              </w:rPr>
              <w:t>%</w:t>
            </w:r>
          </w:p>
        </w:tc>
      </w:tr>
      <w:tr w:rsidR="00C12B3D" w:rsidRPr="00C03334" w14:paraId="10478ED1" w14:textId="1D6B3A8C" w:rsidTr="00327856">
        <w:trPr>
          <w:trHeight w:val="74"/>
          <w:jc w:val="center"/>
        </w:trPr>
        <w:tc>
          <w:tcPr>
            <w:tcW w:w="2977" w:type="dxa"/>
            <w:vMerge/>
            <w:shd w:val="clear" w:color="auto" w:fill="FFFFFF" w:themeFill="background1"/>
            <w:vAlign w:val="center"/>
          </w:tcPr>
          <w:p w14:paraId="49B7A9F5" w14:textId="77777777" w:rsidR="00C12B3D" w:rsidRPr="00C03334" w:rsidRDefault="00C12B3D" w:rsidP="00C03334">
            <w:pPr>
              <w:spacing w:after="0" w:line="240" w:lineRule="auto"/>
              <w:ind w:left="225"/>
              <w:jc w:val="center"/>
              <w:rPr>
                <w:sz w:val="20"/>
                <w:lang w:eastAsia="en-GB"/>
              </w:rPr>
            </w:pPr>
          </w:p>
        </w:tc>
        <w:tc>
          <w:tcPr>
            <w:tcW w:w="1276" w:type="dxa"/>
            <w:shd w:val="clear" w:color="auto" w:fill="A6A6A6" w:themeFill="background1" w:themeFillShade="A6"/>
            <w:noWrap/>
            <w:vAlign w:val="center"/>
          </w:tcPr>
          <w:p w14:paraId="25FFFA44" w14:textId="571981F6" w:rsidR="00C12B3D" w:rsidRPr="00C03334" w:rsidRDefault="00C12B3D" w:rsidP="00C03334">
            <w:pPr>
              <w:spacing w:after="0" w:line="240" w:lineRule="auto"/>
              <w:rPr>
                <w:b/>
                <w:sz w:val="20"/>
                <w:lang w:eastAsia="en-GB"/>
              </w:rPr>
            </w:pPr>
            <w:r>
              <w:rPr>
                <w:b/>
                <w:sz w:val="20"/>
                <w:lang w:eastAsia="en-GB"/>
              </w:rPr>
              <w:t>Plant-based</w:t>
            </w:r>
          </w:p>
        </w:tc>
        <w:tc>
          <w:tcPr>
            <w:tcW w:w="1417" w:type="dxa"/>
            <w:tcBorders>
              <w:right w:val="single" w:sz="4" w:space="0" w:color="BFBFBF" w:themeColor="background1" w:themeShade="BF"/>
            </w:tcBorders>
            <w:shd w:val="clear" w:color="auto" w:fill="D9D9D9" w:themeFill="background1" w:themeFillShade="D9"/>
            <w:noWrap/>
            <w:vAlign w:val="center"/>
          </w:tcPr>
          <w:p w14:paraId="6830C982" w14:textId="7904ACD1" w:rsidR="00C12B3D" w:rsidRPr="008B6F2A" w:rsidRDefault="00C12B3D" w:rsidP="006621E9">
            <w:pPr>
              <w:spacing w:after="0" w:line="240" w:lineRule="auto"/>
              <w:jc w:val="center"/>
              <w:rPr>
                <w:b/>
                <w:sz w:val="20"/>
                <w:lang w:eastAsia="en-GB"/>
              </w:rPr>
            </w:pPr>
            <w:r w:rsidRPr="008B6F2A">
              <w:rPr>
                <w:b/>
                <w:sz w:val="20"/>
                <w:lang w:eastAsia="en-GB"/>
              </w:rPr>
              <w:t>902</w:t>
            </w:r>
          </w:p>
        </w:tc>
        <w:tc>
          <w:tcPr>
            <w:tcW w:w="709" w:type="dxa"/>
            <w:tcBorders>
              <w:left w:val="single" w:sz="4" w:space="0" w:color="BFBFBF" w:themeColor="background1" w:themeShade="BF"/>
            </w:tcBorders>
            <w:shd w:val="clear" w:color="auto" w:fill="D9D9D9" w:themeFill="background1" w:themeFillShade="D9"/>
            <w:noWrap/>
            <w:vAlign w:val="center"/>
          </w:tcPr>
          <w:p w14:paraId="32AF7305" w14:textId="6F21464C" w:rsidR="00C12B3D" w:rsidRPr="006621E9" w:rsidRDefault="00C12B3D" w:rsidP="006621E9">
            <w:pPr>
              <w:spacing w:after="0" w:line="240" w:lineRule="auto"/>
              <w:jc w:val="center"/>
              <w:rPr>
                <w:b/>
                <w:sz w:val="20"/>
                <w:lang w:eastAsia="en-GB"/>
              </w:rPr>
            </w:pPr>
            <w:r w:rsidRPr="006621E9">
              <w:rPr>
                <w:b/>
                <w:sz w:val="20"/>
                <w:lang w:eastAsia="en-GB"/>
              </w:rPr>
              <w:t>987</w:t>
            </w:r>
          </w:p>
        </w:tc>
        <w:tc>
          <w:tcPr>
            <w:tcW w:w="1276" w:type="dxa"/>
            <w:tcBorders>
              <w:right w:val="single" w:sz="4" w:space="0" w:color="BFBFBF" w:themeColor="background1" w:themeShade="BF"/>
            </w:tcBorders>
            <w:shd w:val="clear" w:color="auto" w:fill="D9D9D9" w:themeFill="background1" w:themeFillShade="D9"/>
            <w:noWrap/>
            <w:vAlign w:val="center"/>
          </w:tcPr>
          <w:p w14:paraId="0FDC44C9" w14:textId="4C5DA907" w:rsidR="00C12B3D" w:rsidRPr="006621E9" w:rsidRDefault="00C12B3D" w:rsidP="006621E9">
            <w:pPr>
              <w:spacing w:after="0" w:line="240" w:lineRule="auto"/>
              <w:jc w:val="center"/>
              <w:rPr>
                <w:b/>
                <w:sz w:val="20"/>
                <w:lang w:eastAsia="en-GB"/>
              </w:rPr>
            </w:pPr>
            <w:r>
              <w:rPr>
                <w:b/>
                <w:sz w:val="20"/>
                <w:lang w:eastAsia="en-GB"/>
              </w:rPr>
              <w:t>8</w:t>
            </w:r>
            <w:r w:rsidRPr="006621E9">
              <w:rPr>
                <w:b/>
                <w:sz w:val="20"/>
                <w:lang w:eastAsia="en-GB"/>
              </w:rPr>
              <w:t>7%</w:t>
            </w:r>
          </w:p>
        </w:tc>
        <w:tc>
          <w:tcPr>
            <w:tcW w:w="1371" w:type="dxa"/>
            <w:tcBorders>
              <w:left w:val="single" w:sz="4" w:space="0" w:color="BFBFBF" w:themeColor="background1" w:themeShade="BF"/>
            </w:tcBorders>
            <w:shd w:val="clear" w:color="auto" w:fill="D9D9D9" w:themeFill="background1" w:themeFillShade="D9"/>
          </w:tcPr>
          <w:p w14:paraId="35B1E068" w14:textId="360BD9CA" w:rsidR="00C12B3D" w:rsidRDefault="00697140" w:rsidP="006621E9">
            <w:pPr>
              <w:spacing w:after="0" w:line="240" w:lineRule="auto"/>
              <w:jc w:val="center"/>
              <w:rPr>
                <w:b/>
                <w:sz w:val="20"/>
                <w:lang w:eastAsia="en-GB"/>
              </w:rPr>
            </w:pPr>
            <w:r>
              <w:rPr>
                <w:b/>
                <w:sz w:val="20"/>
                <w:lang w:eastAsia="en-GB"/>
              </w:rPr>
              <w:t>93%</w:t>
            </w:r>
          </w:p>
        </w:tc>
      </w:tr>
      <w:tr w:rsidR="00C12B3D" w:rsidRPr="00C03334" w14:paraId="0A3216D3" w14:textId="03FABD91" w:rsidTr="00327856">
        <w:trPr>
          <w:trHeight w:val="186"/>
          <w:jc w:val="center"/>
        </w:trPr>
        <w:tc>
          <w:tcPr>
            <w:tcW w:w="2977" w:type="dxa"/>
            <w:vMerge/>
            <w:shd w:val="clear" w:color="auto" w:fill="FFFFFF" w:themeFill="background1"/>
            <w:vAlign w:val="center"/>
          </w:tcPr>
          <w:p w14:paraId="490F34E6" w14:textId="77777777" w:rsidR="00C12B3D" w:rsidRPr="00C03334" w:rsidRDefault="00C12B3D" w:rsidP="00C03334">
            <w:pPr>
              <w:spacing w:after="0" w:line="240" w:lineRule="auto"/>
              <w:ind w:left="225"/>
              <w:jc w:val="center"/>
              <w:rPr>
                <w:sz w:val="20"/>
                <w:lang w:eastAsia="en-GB"/>
              </w:rPr>
            </w:pPr>
          </w:p>
        </w:tc>
        <w:tc>
          <w:tcPr>
            <w:tcW w:w="1276" w:type="dxa"/>
            <w:shd w:val="clear" w:color="auto" w:fill="A6A6A6" w:themeFill="background1" w:themeFillShade="A6"/>
            <w:noWrap/>
            <w:vAlign w:val="center"/>
            <w:hideMark/>
          </w:tcPr>
          <w:p w14:paraId="6095BD2B" w14:textId="3F17D62B" w:rsidR="00C12B3D" w:rsidRPr="006621E9" w:rsidRDefault="00C12B3D" w:rsidP="00C03334">
            <w:pPr>
              <w:spacing w:after="0" w:line="240" w:lineRule="auto"/>
              <w:ind w:left="225"/>
              <w:rPr>
                <w:sz w:val="20"/>
                <w:lang w:eastAsia="en-GB"/>
              </w:rPr>
            </w:pPr>
            <w:r w:rsidRPr="006621E9">
              <w:rPr>
                <w:sz w:val="20"/>
                <w:lang w:eastAsia="en-GB"/>
              </w:rPr>
              <w:t>Fruit &amp; Veg</w:t>
            </w:r>
          </w:p>
        </w:tc>
        <w:tc>
          <w:tcPr>
            <w:tcW w:w="1417" w:type="dxa"/>
            <w:tcBorders>
              <w:right w:val="single" w:sz="4" w:space="0" w:color="BFBFBF" w:themeColor="background1" w:themeShade="BF"/>
            </w:tcBorders>
            <w:shd w:val="clear" w:color="auto" w:fill="D9D9D9" w:themeFill="background1" w:themeFillShade="D9"/>
            <w:noWrap/>
            <w:vAlign w:val="center"/>
            <w:hideMark/>
          </w:tcPr>
          <w:p w14:paraId="6B86F8CE" w14:textId="77777777" w:rsidR="00C12B3D" w:rsidRPr="00C03334" w:rsidRDefault="00C12B3D" w:rsidP="006621E9">
            <w:pPr>
              <w:spacing w:after="0" w:line="240" w:lineRule="auto"/>
              <w:jc w:val="center"/>
              <w:rPr>
                <w:sz w:val="20"/>
                <w:lang w:eastAsia="en-GB"/>
              </w:rPr>
            </w:pPr>
            <w:r w:rsidRPr="00C03334">
              <w:rPr>
                <w:sz w:val="20"/>
                <w:lang w:eastAsia="en-GB"/>
              </w:rPr>
              <w:t>341</w:t>
            </w:r>
          </w:p>
        </w:tc>
        <w:tc>
          <w:tcPr>
            <w:tcW w:w="709" w:type="dxa"/>
            <w:tcBorders>
              <w:left w:val="single" w:sz="4" w:space="0" w:color="BFBFBF" w:themeColor="background1" w:themeShade="BF"/>
            </w:tcBorders>
            <w:shd w:val="clear" w:color="auto" w:fill="D9D9D9" w:themeFill="background1" w:themeFillShade="D9"/>
            <w:noWrap/>
            <w:vAlign w:val="center"/>
            <w:hideMark/>
          </w:tcPr>
          <w:p w14:paraId="3403DD0A" w14:textId="77777777" w:rsidR="00C12B3D" w:rsidRPr="00C03334" w:rsidRDefault="00C12B3D" w:rsidP="006621E9">
            <w:pPr>
              <w:spacing w:after="0" w:line="240" w:lineRule="auto"/>
              <w:jc w:val="center"/>
              <w:rPr>
                <w:sz w:val="20"/>
                <w:lang w:eastAsia="en-GB"/>
              </w:rPr>
            </w:pPr>
            <w:r w:rsidRPr="00C03334">
              <w:rPr>
                <w:sz w:val="20"/>
                <w:lang w:eastAsia="en-GB"/>
              </w:rPr>
              <w:t>492</w:t>
            </w:r>
          </w:p>
        </w:tc>
        <w:tc>
          <w:tcPr>
            <w:tcW w:w="1276" w:type="dxa"/>
            <w:tcBorders>
              <w:right w:val="single" w:sz="4" w:space="0" w:color="BFBFBF" w:themeColor="background1" w:themeShade="BF"/>
            </w:tcBorders>
            <w:shd w:val="clear" w:color="auto" w:fill="D9D9D9" w:themeFill="background1" w:themeFillShade="D9"/>
            <w:noWrap/>
            <w:vAlign w:val="center"/>
            <w:hideMark/>
          </w:tcPr>
          <w:p w14:paraId="23585DAB" w14:textId="77777777" w:rsidR="00C12B3D" w:rsidRPr="00C03334" w:rsidRDefault="00C12B3D" w:rsidP="006621E9">
            <w:pPr>
              <w:spacing w:after="0" w:line="240" w:lineRule="auto"/>
              <w:jc w:val="center"/>
              <w:rPr>
                <w:sz w:val="20"/>
                <w:lang w:eastAsia="en-GB"/>
              </w:rPr>
            </w:pPr>
            <w:r w:rsidRPr="00C03334">
              <w:rPr>
                <w:sz w:val="20"/>
                <w:lang w:eastAsia="en-GB"/>
              </w:rPr>
              <w:t>11.0%</w:t>
            </w:r>
          </w:p>
        </w:tc>
        <w:tc>
          <w:tcPr>
            <w:tcW w:w="1371" w:type="dxa"/>
            <w:tcBorders>
              <w:left w:val="single" w:sz="4" w:space="0" w:color="BFBFBF" w:themeColor="background1" w:themeShade="BF"/>
            </w:tcBorders>
            <w:shd w:val="clear" w:color="auto" w:fill="D9D9D9" w:themeFill="background1" w:themeFillShade="D9"/>
          </w:tcPr>
          <w:p w14:paraId="4547179A" w14:textId="4D8A6AEE" w:rsidR="00C12B3D" w:rsidRPr="00C03334" w:rsidRDefault="00C12B3D" w:rsidP="006621E9">
            <w:pPr>
              <w:spacing w:after="0" w:line="240" w:lineRule="auto"/>
              <w:jc w:val="center"/>
              <w:rPr>
                <w:sz w:val="20"/>
                <w:lang w:eastAsia="en-GB"/>
              </w:rPr>
            </w:pPr>
            <w:r>
              <w:rPr>
                <w:sz w:val="20"/>
                <w:lang w:eastAsia="en-GB"/>
              </w:rPr>
              <w:t>-</w:t>
            </w:r>
          </w:p>
        </w:tc>
      </w:tr>
      <w:tr w:rsidR="00C12B3D" w:rsidRPr="00C03334" w14:paraId="73DEFCFB" w14:textId="53614410" w:rsidTr="00327856">
        <w:trPr>
          <w:trHeight w:val="75"/>
          <w:jc w:val="center"/>
        </w:trPr>
        <w:tc>
          <w:tcPr>
            <w:tcW w:w="2977" w:type="dxa"/>
            <w:vMerge/>
            <w:shd w:val="clear" w:color="auto" w:fill="FFFFFF" w:themeFill="background1"/>
            <w:vAlign w:val="center"/>
          </w:tcPr>
          <w:p w14:paraId="654CC25A" w14:textId="77777777" w:rsidR="00C12B3D" w:rsidRPr="00C03334" w:rsidRDefault="00C12B3D" w:rsidP="00C03334">
            <w:pPr>
              <w:spacing w:after="0" w:line="240" w:lineRule="auto"/>
              <w:ind w:left="225"/>
              <w:jc w:val="center"/>
              <w:rPr>
                <w:sz w:val="20"/>
                <w:lang w:eastAsia="en-GB"/>
              </w:rPr>
            </w:pPr>
          </w:p>
        </w:tc>
        <w:tc>
          <w:tcPr>
            <w:tcW w:w="1276" w:type="dxa"/>
            <w:shd w:val="clear" w:color="auto" w:fill="A6A6A6" w:themeFill="background1" w:themeFillShade="A6"/>
            <w:noWrap/>
            <w:vAlign w:val="center"/>
            <w:hideMark/>
          </w:tcPr>
          <w:p w14:paraId="3EA250BA" w14:textId="676D4068" w:rsidR="00C12B3D" w:rsidRPr="006621E9" w:rsidRDefault="00C12B3D" w:rsidP="00C03334">
            <w:pPr>
              <w:spacing w:after="0" w:line="240" w:lineRule="auto"/>
              <w:ind w:left="225"/>
              <w:rPr>
                <w:sz w:val="20"/>
                <w:lang w:eastAsia="en-GB"/>
              </w:rPr>
            </w:pPr>
            <w:r w:rsidRPr="006621E9">
              <w:rPr>
                <w:sz w:val="20"/>
                <w:lang w:eastAsia="en-GB"/>
              </w:rPr>
              <w:t>Sugar</w:t>
            </w:r>
          </w:p>
        </w:tc>
        <w:tc>
          <w:tcPr>
            <w:tcW w:w="1417" w:type="dxa"/>
            <w:tcBorders>
              <w:right w:val="single" w:sz="4" w:space="0" w:color="BFBFBF" w:themeColor="background1" w:themeShade="BF"/>
            </w:tcBorders>
            <w:shd w:val="clear" w:color="auto" w:fill="D9D9D9" w:themeFill="background1" w:themeFillShade="D9"/>
            <w:noWrap/>
            <w:vAlign w:val="center"/>
            <w:hideMark/>
          </w:tcPr>
          <w:p w14:paraId="73FFD29F" w14:textId="77777777" w:rsidR="00C12B3D" w:rsidRPr="00C03334" w:rsidRDefault="00C12B3D" w:rsidP="006621E9">
            <w:pPr>
              <w:spacing w:after="0" w:line="240" w:lineRule="auto"/>
              <w:jc w:val="center"/>
              <w:rPr>
                <w:sz w:val="20"/>
                <w:lang w:eastAsia="en-GB"/>
              </w:rPr>
            </w:pPr>
            <w:r w:rsidRPr="00C03334">
              <w:rPr>
                <w:sz w:val="20"/>
                <w:lang w:eastAsia="en-GB"/>
              </w:rPr>
              <w:t>59</w:t>
            </w:r>
          </w:p>
        </w:tc>
        <w:tc>
          <w:tcPr>
            <w:tcW w:w="709" w:type="dxa"/>
            <w:tcBorders>
              <w:left w:val="single" w:sz="4" w:space="0" w:color="BFBFBF" w:themeColor="background1" w:themeShade="BF"/>
            </w:tcBorders>
            <w:shd w:val="clear" w:color="auto" w:fill="D9D9D9" w:themeFill="background1" w:themeFillShade="D9"/>
            <w:noWrap/>
            <w:vAlign w:val="center"/>
            <w:hideMark/>
          </w:tcPr>
          <w:p w14:paraId="384022E9" w14:textId="77777777" w:rsidR="00C12B3D" w:rsidRPr="00C03334" w:rsidRDefault="00C12B3D" w:rsidP="006621E9">
            <w:pPr>
              <w:spacing w:after="0" w:line="240" w:lineRule="auto"/>
              <w:jc w:val="center"/>
              <w:rPr>
                <w:sz w:val="20"/>
                <w:lang w:eastAsia="en-GB"/>
              </w:rPr>
            </w:pPr>
            <w:r w:rsidRPr="00C03334">
              <w:rPr>
                <w:sz w:val="20"/>
                <w:lang w:eastAsia="en-GB"/>
              </w:rPr>
              <w:t>45</w:t>
            </w:r>
          </w:p>
        </w:tc>
        <w:tc>
          <w:tcPr>
            <w:tcW w:w="1276" w:type="dxa"/>
            <w:tcBorders>
              <w:right w:val="single" w:sz="4" w:space="0" w:color="BFBFBF" w:themeColor="background1" w:themeShade="BF"/>
            </w:tcBorders>
            <w:shd w:val="clear" w:color="auto" w:fill="D9D9D9" w:themeFill="background1" w:themeFillShade="D9"/>
            <w:noWrap/>
            <w:vAlign w:val="center"/>
            <w:hideMark/>
          </w:tcPr>
          <w:p w14:paraId="72BE9B76" w14:textId="77777777" w:rsidR="00C12B3D" w:rsidRPr="00C03334" w:rsidRDefault="00C12B3D" w:rsidP="006621E9">
            <w:pPr>
              <w:spacing w:after="0" w:line="240" w:lineRule="auto"/>
              <w:jc w:val="center"/>
              <w:rPr>
                <w:sz w:val="20"/>
                <w:lang w:eastAsia="en-GB"/>
              </w:rPr>
            </w:pPr>
            <w:r w:rsidRPr="00C03334">
              <w:rPr>
                <w:sz w:val="20"/>
                <w:lang w:eastAsia="en-GB"/>
              </w:rPr>
              <w:t>8.0%</w:t>
            </w:r>
          </w:p>
        </w:tc>
        <w:tc>
          <w:tcPr>
            <w:tcW w:w="1371" w:type="dxa"/>
            <w:tcBorders>
              <w:left w:val="single" w:sz="4" w:space="0" w:color="BFBFBF" w:themeColor="background1" w:themeShade="BF"/>
            </w:tcBorders>
            <w:shd w:val="clear" w:color="auto" w:fill="D9D9D9" w:themeFill="background1" w:themeFillShade="D9"/>
          </w:tcPr>
          <w:p w14:paraId="557D00D7" w14:textId="5234FEF5" w:rsidR="00C12B3D" w:rsidRPr="00C03334" w:rsidRDefault="00C12B3D" w:rsidP="006621E9">
            <w:pPr>
              <w:spacing w:after="0" w:line="240" w:lineRule="auto"/>
              <w:jc w:val="center"/>
              <w:rPr>
                <w:sz w:val="20"/>
                <w:lang w:eastAsia="en-GB"/>
              </w:rPr>
            </w:pPr>
            <w:r>
              <w:rPr>
                <w:sz w:val="20"/>
                <w:lang w:eastAsia="en-GB"/>
              </w:rPr>
              <w:t>-</w:t>
            </w:r>
          </w:p>
        </w:tc>
      </w:tr>
      <w:tr w:rsidR="00C12B3D" w:rsidRPr="00C03334" w14:paraId="15060FBC" w14:textId="37960894" w:rsidTr="00327856">
        <w:trPr>
          <w:trHeight w:val="74"/>
          <w:jc w:val="center"/>
        </w:trPr>
        <w:tc>
          <w:tcPr>
            <w:tcW w:w="2977" w:type="dxa"/>
            <w:vMerge/>
            <w:shd w:val="clear" w:color="auto" w:fill="FFFFFF" w:themeFill="background1"/>
            <w:vAlign w:val="center"/>
          </w:tcPr>
          <w:p w14:paraId="50173C61" w14:textId="77777777" w:rsidR="00C12B3D" w:rsidRPr="00C03334" w:rsidRDefault="00C12B3D" w:rsidP="00C03334">
            <w:pPr>
              <w:spacing w:after="0" w:line="240" w:lineRule="auto"/>
              <w:ind w:left="225"/>
              <w:jc w:val="center"/>
              <w:rPr>
                <w:sz w:val="20"/>
                <w:lang w:eastAsia="en-GB"/>
              </w:rPr>
            </w:pPr>
          </w:p>
        </w:tc>
        <w:tc>
          <w:tcPr>
            <w:tcW w:w="1276" w:type="dxa"/>
            <w:shd w:val="clear" w:color="auto" w:fill="A6A6A6" w:themeFill="background1" w:themeFillShade="A6"/>
            <w:noWrap/>
            <w:vAlign w:val="center"/>
            <w:hideMark/>
          </w:tcPr>
          <w:p w14:paraId="4C9C0DBD" w14:textId="4CC8D81A" w:rsidR="00C12B3D" w:rsidRPr="006621E9" w:rsidRDefault="00C12B3D" w:rsidP="00C03334">
            <w:pPr>
              <w:spacing w:after="0" w:line="240" w:lineRule="auto"/>
              <w:ind w:left="225"/>
              <w:rPr>
                <w:sz w:val="20"/>
                <w:lang w:eastAsia="en-GB"/>
              </w:rPr>
            </w:pPr>
            <w:r w:rsidRPr="006621E9">
              <w:rPr>
                <w:sz w:val="20"/>
                <w:lang w:eastAsia="en-GB"/>
              </w:rPr>
              <w:t>Oils</w:t>
            </w:r>
          </w:p>
        </w:tc>
        <w:tc>
          <w:tcPr>
            <w:tcW w:w="1417" w:type="dxa"/>
            <w:tcBorders>
              <w:right w:val="single" w:sz="4" w:space="0" w:color="BFBFBF" w:themeColor="background1" w:themeShade="BF"/>
            </w:tcBorders>
            <w:shd w:val="clear" w:color="auto" w:fill="D9D9D9" w:themeFill="background1" w:themeFillShade="D9"/>
            <w:noWrap/>
            <w:vAlign w:val="center"/>
            <w:hideMark/>
          </w:tcPr>
          <w:p w14:paraId="19C7DC83" w14:textId="77777777" w:rsidR="00C12B3D" w:rsidRPr="00C03334" w:rsidRDefault="00C12B3D" w:rsidP="006621E9">
            <w:pPr>
              <w:spacing w:after="0" w:line="240" w:lineRule="auto"/>
              <w:jc w:val="center"/>
              <w:rPr>
                <w:sz w:val="20"/>
                <w:lang w:eastAsia="en-GB"/>
              </w:rPr>
            </w:pPr>
            <w:r w:rsidRPr="00C03334">
              <w:rPr>
                <w:sz w:val="20"/>
                <w:lang w:eastAsia="en-GB"/>
              </w:rPr>
              <w:t>32</w:t>
            </w:r>
          </w:p>
        </w:tc>
        <w:tc>
          <w:tcPr>
            <w:tcW w:w="709" w:type="dxa"/>
            <w:tcBorders>
              <w:left w:val="single" w:sz="4" w:space="0" w:color="BFBFBF" w:themeColor="background1" w:themeShade="BF"/>
            </w:tcBorders>
            <w:shd w:val="clear" w:color="auto" w:fill="D9D9D9" w:themeFill="background1" w:themeFillShade="D9"/>
            <w:noWrap/>
            <w:vAlign w:val="center"/>
            <w:hideMark/>
          </w:tcPr>
          <w:p w14:paraId="236340B1" w14:textId="77777777" w:rsidR="00C12B3D" w:rsidRPr="00C03334" w:rsidRDefault="00C12B3D" w:rsidP="006621E9">
            <w:pPr>
              <w:spacing w:after="0" w:line="240" w:lineRule="auto"/>
              <w:jc w:val="center"/>
              <w:rPr>
                <w:sz w:val="20"/>
                <w:lang w:eastAsia="en-GB"/>
              </w:rPr>
            </w:pPr>
            <w:r w:rsidRPr="00C03334">
              <w:rPr>
                <w:sz w:val="20"/>
                <w:lang w:eastAsia="en-GB"/>
              </w:rPr>
              <w:t>43</w:t>
            </w:r>
          </w:p>
        </w:tc>
        <w:tc>
          <w:tcPr>
            <w:tcW w:w="1276" w:type="dxa"/>
            <w:tcBorders>
              <w:right w:val="single" w:sz="4" w:space="0" w:color="BFBFBF" w:themeColor="background1" w:themeShade="BF"/>
            </w:tcBorders>
            <w:shd w:val="clear" w:color="auto" w:fill="D9D9D9" w:themeFill="background1" w:themeFillShade="D9"/>
            <w:noWrap/>
            <w:vAlign w:val="center"/>
            <w:hideMark/>
          </w:tcPr>
          <w:p w14:paraId="1F1B1EC5" w14:textId="77777777" w:rsidR="00C12B3D" w:rsidRPr="00C03334" w:rsidRDefault="00C12B3D" w:rsidP="006621E9">
            <w:pPr>
              <w:spacing w:after="0" w:line="240" w:lineRule="auto"/>
              <w:jc w:val="center"/>
              <w:rPr>
                <w:sz w:val="20"/>
                <w:lang w:eastAsia="en-GB"/>
              </w:rPr>
            </w:pPr>
            <w:r w:rsidRPr="00C03334">
              <w:rPr>
                <w:sz w:val="20"/>
                <w:lang w:eastAsia="en-GB"/>
              </w:rPr>
              <w:t>17.3%</w:t>
            </w:r>
          </w:p>
        </w:tc>
        <w:tc>
          <w:tcPr>
            <w:tcW w:w="1371" w:type="dxa"/>
            <w:tcBorders>
              <w:left w:val="single" w:sz="4" w:space="0" w:color="BFBFBF" w:themeColor="background1" w:themeShade="BF"/>
            </w:tcBorders>
            <w:shd w:val="clear" w:color="auto" w:fill="D9D9D9" w:themeFill="background1" w:themeFillShade="D9"/>
          </w:tcPr>
          <w:p w14:paraId="11D3F2C1" w14:textId="5625D651" w:rsidR="00C12B3D" w:rsidRPr="00C03334" w:rsidRDefault="00C12B3D" w:rsidP="006621E9">
            <w:pPr>
              <w:spacing w:after="0" w:line="240" w:lineRule="auto"/>
              <w:jc w:val="center"/>
              <w:rPr>
                <w:sz w:val="20"/>
                <w:lang w:eastAsia="en-GB"/>
              </w:rPr>
            </w:pPr>
            <w:r>
              <w:rPr>
                <w:sz w:val="20"/>
                <w:lang w:eastAsia="en-GB"/>
              </w:rPr>
              <w:t>-</w:t>
            </w:r>
          </w:p>
        </w:tc>
      </w:tr>
      <w:tr w:rsidR="00C12B3D" w:rsidRPr="00C03334" w14:paraId="3EE66F9E" w14:textId="0B14998D" w:rsidTr="00327856">
        <w:trPr>
          <w:trHeight w:val="74"/>
          <w:jc w:val="center"/>
        </w:trPr>
        <w:tc>
          <w:tcPr>
            <w:tcW w:w="2977" w:type="dxa"/>
            <w:vMerge/>
            <w:shd w:val="clear" w:color="auto" w:fill="FFFFFF" w:themeFill="background1"/>
            <w:vAlign w:val="center"/>
          </w:tcPr>
          <w:p w14:paraId="6ECAA3F5" w14:textId="77777777" w:rsidR="00C12B3D" w:rsidRPr="00C03334" w:rsidRDefault="00C12B3D" w:rsidP="00C03334">
            <w:pPr>
              <w:spacing w:after="0" w:line="240" w:lineRule="auto"/>
              <w:ind w:left="225"/>
              <w:jc w:val="center"/>
              <w:rPr>
                <w:sz w:val="20"/>
                <w:lang w:eastAsia="en-GB"/>
              </w:rPr>
            </w:pPr>
          </w:p>
        </w:tc>
        <w:tc>
          <w:tcPr>
            <w:tcW w:w="1276" w:type="dxa"/>
            <w:shd w:val="clear" w:color="auto" w:fill="A6A6A6" w:themeFill="background1" w:themeFillShade="A6"/>
            <w:noWrap/>
            <w:vAlign w:val="center"/>
            <w:hideMark/>
          </w:tcPr>
          <w:p w14:paraId="379C0537" w14:textId="5B91432B" w:rsidR="00C12B3D" w:rsidRPr="006621E9" w:rsidRDefault="00C12B3D" w:rsidP="00C03334">
            <w:pPr>
              <w:spacing w:after="0" w:line="240" w:lineRule="auto"/>
              <w:ind w:left="225"/>
              <w:rPr>
                <w:sz w:val="20"/>
                <w:lang w:eastAsia="en-GB"/>
              </w:rPr>
            </w:pPr>
            <w:r w:rsidRPr="006621E9">
              <w:rPr>
                <w:sz w:val="20"/>
                <w:lang w:eastAsia="en-GB"/>
              </w:rPr>
              <w:t>Pulses</w:t>
            </w:r>
          </w:p>
        </w:tc>
        <w:tc>
          <w:tcPr>
            <w:tcW w:w="1417" w:type="dxa"/>
            <w:tcBorders>
              <w:right w:val="single" w:sz="4" w:space="0" w:color="BFBFBF" w:themeColor="background1" w:themeShade="BF"/>
            </w:tcBorders>
            <w:shd w:val="clear" w:color="auto" w:fill="D9D9D9" w:themeFill="background1" w:themeFillShade="D9"/>
            <w:noWrap/>
            <w:vAlign w:val="center"/>
            <w:hideMark/>
          </w:tcPr>
          <w:p w14:paraId="7780DC3A" w14:textId="77777777" w:rsidR="00C12B3D" w:rsidRPr="00C03334" w:rsidRDefault="00C12B3D" w:rsidP="006621E9">
            <w:pPr>
              <w:spacing w:after="0" w:line="240" w:lineRule="auto"/>
              <w:jc w:val="center"/>
              <w:rPr>
                <w:sz w:val="20"/>
                <w:lang w:eastAsia="en-GB"/>
              </w:rPr>
            </w:pPr>
            <w:r w:rsidRPr="00C03334">
              <w:rPr>
                <w:sz w:val="20"/>
                <w:lang w:eastAsia="en-GB"/>
              </w:rPr>
              <w:t>17</w:t>
            </w:r>
          </w:p>
        </w:tc>
        <w:tc>
          <w:tcPr>
            <w:tcW w:w="709" w:type="dxa"/>
            <w:tcBorders>
              <w:left w:val="single" w:sz="4" w:space="0" w:color="BFBFBF" w:themeColor="background1" w:themeShade="BF"/>
            </w:tcBorders>
            <w:shd w:val="clear" w:color="auto" w:fill="D9D9D9" w:themeFill="background1" w:themeFillShade="D9"/>
            <w:noWrap/>
            <w:vAlign w:val="center"/>
            <w:hideMark/>
          </w:tcPr>
          <w:p w14:paraId="258DA7B1" w14:textId="77777777" w:rsidR="00C12B3D" w:rsidRPr="00C03334" w:rsidRDefault="00C12B3D" w:rsidP="006621E9">
            <w:pPr>
              <w:spacing w:after="0" w:line="240" w:lineRule="auto"/>
              <w:jc w:val="center"/>
              <w:rPr>
                <w:sz w:val="20"/>
                <w:lang w:eastAsia="en-GB"/>
              </w:rPr>
            </w:pPr>
            <w:r w:rsidRPr="00C03334">
              <w:rPr>
                <w:sz w:val="20"/>
                <w:lang w:eastAsia="en-GB"/>
              </w:rPr>
              <w:t>16</w:t>
            </w:r>
          </w:p>
        </w:tc>
        <w:tc>
          <w:tcPr>
            <w:tcW w:w="1276" w:type="dxa"/>
            <w:tcBorders>
              <w:right w:val="single" w:sz="4" w:space="0" w:color="BFBFBF" w:themeColor="background1" w:themeShade="BF"/>
            </w:tcBorders>
            <w:shd w:val="clear" w:color="auto" w:fill="D9D9D9" w:themeFill="background1" w:themeFillShade="D9"/>
            <w:noWrap/>
            <w:vAlign w:val="center"/>
            <w:hideMark/>
          </w:tcPr>
          <w:p w14:paraId="749CF560" w14:textId="77777777" w:rsidR="00C12B3D" w:rsidRPr="00C03334" w:rsidRDefault="00C12B3D" w:rsidP="006621E9">
            <w:pPr>
              <w:spacing w:after="0" w:line="240" w:lineRule="auto"/>
              <w:jc w:val="center"/>
              <w:rPr>
                <w:sz w:val="20"/>
                <w:lang w:eastAsia="en-GB"/>
              </w:rPr>
            </w:pPr>
            <w:r w:rsidRPr="00C03334">
              <w:rPr>
                <w:sz w:val="20"/>
                <w:lang w:eastAsia="en-GB"/>
              </w:rPr>
              <w:t>2.4%</w:t>
            </w:r>
          </w:p>
        </w:tc>
        <w:tc>
          <w:tcPr>
            <w:tcW w:w="1371" w:type="dxa"/>
            <w:tcBorders>
              <w:left w:val="single" w:sz="4" w:space="0" w:color="BFBFBF" w:themeColor="background1" w:themeShade="BF"/>
            </w:tcBorders>
            <w:shd w:val="clear" w:color="auto" w:fill="D9D9D9" w:themeFill="background1" w:themeFillShade="D9"/>
          </w:tcPr>
          <w:p w14:paraId="30537BFB" w14:textId="049BCF0D" w:rsidR="00C12B3D" w:rsidRPr="00C03334" w:rsidRDefault="00C12B3D" w:rsidP="006621E9">
            <w:pPr>
              <w:spacing w:after="0" w:line="240" w:lineRule="auto"/>
              <w:jc w:val="center"/>
              <w:rPr>
                <w:sz w:val="20"/>
                <w:lang w:eastAsia="en-GB"/>
              </w:rPr>
            </w:pPr>
            <w:r>
              <w:rPr>
                <w:sz w:val="20"/>
                <w:lang w:eastAsia="en-GB"/>
              </w:rPr>
              <w:t>-</w:t>
            </w:r>
          </w:p>
        </w:tc>
      </w:tr>
      <w:tr w:rsidR="00C12B3D" w:rsidRPr="00C03334" w14:paraId="5A3AA681" w14:textId="0DC82A26" w:rsidTr="00327856">
        <w:trPr>
          <w:trHeight w:val="74"/>
          <w:jc w:val="center"/>
        </w:trPr>
        <w:tc>
          <w:tcPr>
            <w:tcW w:w="2977" w:type="dxa"/>
            <w:vMerge/>
            <w:shd w:val="clear" w:color="auto" w:fill="FFFFFF" w:themeFill="background1"/>
            <w:vAlign w:val="center"/>
          </w:tcPr>
          <w:p w14:paraId="0E697F7D" w14:textId="77777777" w:rsidR="00C12B3D" w:rsidRPr="00C03334" w:rsidRDefault="00C12B3D" w:rsidP="00C03334">
            <w:pPr>
              <w:spacing w:after="0" w:line="240" w:lineRule="auto"/>
              <w:ind w:left="225"/>
              <w:jc w:val="center"/>
              <w:rPr>
                <w:sz w:val="20"/>
                <w:lang w:eastAsia="en-GB"/>
              </w:rPr>
            </w:pPr>
          </w:p>
        </w:tc>
        <w:tc>
          <w:tcPr>
            <w:tcW w:w="1276" w:type="dxa"/>
            <w:shd w:val="clear" w:color="auto" w:fill="A6A6A6" w:themeFill="background1" w:themeFillShade="A6"/>
            <w:noWrap/>
            <w:vAlign w:val="center"/>
            <w:hideMark/>
          </w:tcPr>
          <w:p w14:paraId="2954D96A" w14:textId="6F00D7F3" w:rsidR="00C12B3D" w:rsidRPr="006621E9" w:rsidRDefault="00C12B3D" w:rsidP="00C03334">
            <w:pPr>
              <w:spacing w:after="0" w:line="240" w:lineRule="auto"/>
              <w:ind w:left="225"/>
              <w:rPr>
                <w:sz w:val="20"/>
                <w:lang w:eastAsia="en-GB"/>
              </w:rPr>
            </w:pPr>
            <w:r w:rsidRPr="006621E9">
              <w:rPr>
                <w:sz w:val="20"/>
                <w:lang w:eastAsia="en-GB"/>
              </w:rPr>
              <w:t>Staples</w:t>
            </w:r>
          </w:p>
        </w:tc>
        <w:tc>
          <w:tcPr>
            <w:tcW w:w="1417" w:type="dxa"/>
            <w:tcBorders>
              <w:right w:val="single" w:sz="4" w:space="0" w:color="BFBFBF" w:themeColor="background1" w:themeShade="BF"/>
            </w:tcBorders>
            <w:shd w:val="clear" w:color="auto" w:fill="D9D9D9" w:themeFill="background1" w:themeFillShade="D9"/>
            <w:noWrap/>
            <w:vAlign w:val="center"/>
            <w:hideMark/>
          </w:tcPr>
          <w:p w14:paraId="37258941" w14:textId="77777777" w:rsidR="00C12B3D" w:rsidRPr="00C03334" w:rsidRDefault="00C12B3D" w:rsidP="006621E9">
            <w:pPr>
              <w:spacing w:after="0" w:line="240" w:lineRule="auto"/>
              <w:jc w:val="center"/>
              <w:rPr>
                <w:sz w:val="20"/>
                <w:lang w:eastAsia="en-GB"/>
              </w:rPr>
            </w:pPr>
            <w:r w:rsidRPr="00C03334">
              <w:rPr>
                <w:sz w:val="20"/>
                <w:lang w:eastAsia="en-GB"/>
              </w:rPr>
              <w:t>453</w:t>
            </w:r>
          </w:p>
        </w:tc>
        <w:tc>
          <w:tcPr>
            <w:tcW w:w="709" w:type="dxa"/>
            <w:tcBorders>
              <w:left w:val="single" w:sz="4" w:space="0" w:color="BFBFBF" w:themeColor="background1" w:themeShade="BF"/>
            </w:tcBorders>
            <w:shd w:val="clear" w:color="auto" w:fill="D9D9D9" w:themeFill="background1" w:themeFillShade="D9"/>
            <w:noWrap/>
            <w:vAlign w:val="center"/>
            <w:hideMark/>
          </w:tcPr>
          <w:p w14:paraId="360F62F9" w14:textId="77777777" w:rsidR="00C12B3D" w:rsidRPr="00C03334" w:rsidRDefault="00C12B3D" w:rsidP="006621E9">
            <w:pPr>
              <w:spacing w:after="0" w:line="240" w:lineRule="auto"/>
              <w:jc w:val="center"/>
              <w:rPr>
                <w:sz w:val="20"/>
                <w:lang w:eastAsia="en-GB"/>
              </w:rPr>
            </w:pPr>
            <w:r w:rsidRPr="00C03334">
              <w:rPr>
                <w:sz w:val="20"/>
                <w:lang w:eastAsia="en-GB"/>
              </w:rPr>
              <w:t>391</w:t>
            </w:r>
          </w:p>
        </w:tc>
        <w:tc>
          <w:tcPr>
            <w:tcW w:w="1276" w:type="dxa"/>
            <w:tcBorders>
              <w:right w:val="single" w:sz="4" w:space="0" w:color="BFBFBF" w:themeColor="background1" w:themeShade="BF"/>
            </w:tcBorders>
            <w:shd w:val="clear" w:color="auto" w:fill="D9D9D9" w:themeFill="background1" w:themeFillShade="D9"/>
            <w:noWrap/>
            <w:vAlign w:val="center"/>
            <w:hideMark/>
          </w:tcPr>
          <w:p w14:paraId="579FC470" w14:textId="77777777" w:rsidR="00C12B3D" w:rsidRPr="00C03334" w:rsidRDefault="00C12B3D" w:rsidP="006621E9">
            <w:pPr>
              <w:spacing w:after="0" w:line="240" w:lineRule="auto"/>
              <w:jc w:val="center"/>
              <w:rPr>
                <w:sz w:val="20"/>
                <w:lang w:eastAsia="en-GB"/>
              </w:rPr>
            </w:pPr>
            <w:r w:rsidRPr="00C03334">
              <w:rPr>
                <w:sz w:val="20"/>
                <w:lang w:eastAsia="en-GB"/>
              </w:rPr>
              <w:t>58.2%</w:t>
            </w:r>
          </w:p>
        </w:tc>
        <w:tc>
          <w:tcPr>
            <w:tcW w:w="1371" w:type="dxa"/>
            <w:tcBorders>
              <w:left w:val="single" w:sz="4" w:space="0" w:color="BFBFBF" w:themeColor="background1" w:themeShade="BF"/>
            </w:tcBorders>
            <w:shd w:val="clear" w:color="auto" w:fill="D9D9D9" w:themeFill="background1" w:themeFillShade="D9"/>
          </w:tcPr>
          <w:p w14:paraId="53059EBD" w14:textId="6862CF3B" w:rsidR="00C12B3D" w:rsidRPr="00C03334" w:rsidRDefault="00C12B3D" w:rsidP="006621E9">
            <w:pPr>
              <w:spacing w:after="0" w:line="240" w:lineRule="auto"/>
              <w:jc w:val="center"/>
              <w:rPr>
                <w:sz w:val="20"/>
                <w:lang w:eastAsia="en-GB"/>
              </w:rPr>
            </w:pPr>
            <w:r>
              <w:rPr>
                <w:sz w:val="20"/>
                <w:lang w:eastAsia="en-GB"/>
              </w:rPr>
              <w:t>-</w:t>
            </w:r>
          </w:p>
        </w:tc>
      </w:tr>
    </w:tbl>
    <w:p w14:paraId="4CD6072D" w14:textId="2C29EE73" w:rsidR="00236B9D" w:rsidRDefault="00236B9D" w:rsidP="00327856">
      <w:pPr>
        <w:spacing w:before="360"/>
      </w:pPr>
      <w:r>
        <w:t xml:space="preserve">We recognise that a diet completely free of animal-products </w:t>
      </w:r>
      <w:r w:rsidR="007728FD">
        <w:t>can be nutritionally acceptable;</w:t>
      </w:r>
      <w:r>
        <w:t xml:space="preserve"> that technologies like lab-grown meat </w:t>
      </w:r>
      <w:r w:rsidR="0057596F">
        <w:t>may</w:t>
      </w:r>
      <w:r>
        <w:t xml:space="preserve"> drastically reduce the energy- and carbon-intensity of meat production </w:t>
      </w:r>
      <w:r w:rsidR="0057596F">
        <w:t>as well as</w:t>
      </w:r>
      <w:r>
        <w:t xml:space="preserve"> its various other substantial ecological impacts</w:t>
      </w:r>
      <w:r w:rsidR="007728FD">
        <w:t>; and that we could have included fish in our dietary composition</w:t>
      </w:r>
      <w:r>
        <w:t xml:space="preserve">. </w:t>
      </w:r>
      <w:r w:rsidR="007728FD">
        <w:t xml:space="preserve">However, there remains too little known about the future of lab-grown meat, and fish is not </w:t>
      </w:r>
      <w:r w:rsidR="0057596F">
        <w:t>particularly low-</w:t>
      </w:r>
      <w:r w:rsidR="007728FD">
        <w:t>energy</w:t>
      </w:r>
      <w:r w:rsidR="0057596F">
        <w:t xml:space="preserve"> so its inclusion would have little</w:t>
      </w:r>
      <w:r w:rsidR="00E01F6A">
        <w:t xml:space="preserve"> benefit for overall energy-use</w:t>
      </w:r>
      <w:r w:rsidR="00777870" w:rsidRPr="00777870">
        <w:rPr>
          <w:vertAlign w:val="superscript"/>
        </w:rPr>
        <w:t>26</w:t>
      </w:r>
      <w:r w:rsidR="0057596F">
        <w:t xml:space="preserve"> </w:t>
      </w:r>
      <w:r w:rsidR="00E01F6A">
        <w:t>(</w:t>
      </w:r>
      <w:r w:rsidR="0057596F">
        <w:t>not to mention that it</w:t>
      </w:r>
      <w:r w:rsidR="007728FD">
        <w:t xml:space="preserve"> can bring fresh ecological concerns</w:t>
      </w:r>
      <w:r w:rsidR="0057596F">
        <w:t>)</w:t>
      </w:r>
      <w:r w:rsidR="007728FD">
        <w:t xml:space="preserve">. </w:t>
      </w:r>
      <w:r w:rsidR="0057596F">
        <w:t>Further</w:t>
      </w:r>
      <w:r>
        <w:t>, our assumptions reduce current meat consumption substan</w:t>
      </w:r>
      <w:r w:rsidR="0057596F">
        <w:t>tially, to under 15kg/</w:t>
      </w:r>
      <w:proofErr w:type="spellStart"/>
      <w:r w:rsidR="0057596F">
        <w:t>yr</w:t>
      </w:r>
      <w:proofErr w:type="spellEnd"/>
      <w:r w:rsidR="0057596F">
        <w:t xml:space="preserve">/person – </w:t>
      </w:r>
      <w:r>
        <w:t xml:space="preserve">a reduction </w:t>
      </w:r>
      <w:r w:rsidR="0057596F">
        <w:t xml:space="preserve">of 85% </w:t>
      </w:r>
      <w:r>
        <w:t xml:space="preserve">in countries like the USA and Australia, and well </w:t>
      </w:r>
      <w:r w:rsidR="0057596F">
        <w:t>under</w:t>
      </w:r>
      <w:r>
        <w:t xml:space="preserve"> half the current global average. Nonetheless, the assumption is conservative for a </w:t>
      </w:r>
      <w:r w:rsidR="00C10DCF">
        <w:t>‘lowest energy-demand’ scenario, and thus we consider fully plant-based diets in the sensitivity test later.</w:t>
      </w:r>
    </w:p>
    <w:p w14:paraId="40FDD527" w14:textId="77777777" w:rsidR="002D5A27" w:rsidRDefault="002D5A27" w:rsidP="000F0AE9">
      <w:pPr>
        <w:pStyle w:val="Heading2"/>
      </w:pPr>
      <w:r>
        <w:t>Food processing</w:t>
      </w:r>
      <w:r w:rsidR="00343DF6">
        <w:t>, transport</w:t>
      </w:r>
      <w:r w:rsidR="007332ED">
        <w:t>ation</w:t>
      </w:r>
      <w:r>
        <w:t xml:space="preserve"> and distribution </w:t>
      </w:r>
    </w:p>
    <w:p w14:paraId="0CE49909" w14:textId="477D476D" w:rsidR="007332ED" w:rsidRDefault="002F4C2E" w:rsidP="002D5A27">
      <w:r>
        <w:t>I</w:t>
      </w:r>
      <w:r w:rsidR="005269F0">
        <w:t>n the supply chain</w:t>
      </w:r>
      <w:r w:rsidR="001308DC">
        <w:t>s</w:t>
      </w:r>
      <w:r w:rsidR="005269F0">
        <w:t xml:space="preserve"> of </w:t>
      </w:r>
      <w:r w:rsidR="0030562B">
        <w:t>higher-GDP</w:t>
      </w:r>
      <w:r w:rsidR="005269F0">
        <w:t xml:space="preserve"> countries, the </w:t>
      </w:r>
      <w:r>
        <w:rPr>
          <w:noProof/>
        </w:rPr>
        <w:t>FAO</w:t>
      </w:r>
      <w:r w:rsidR="006A2825" w:rsidRPr="006A2825">
        <w:rPr>
          <w:noProof/>
          <w:vertAlign w:val="superscript"/>
        </w:rPr>
        <w:t>27</w:t>
      </w:r>
      <w:r w:rsidR="00D82DA0">
        <w:t xml:space="preserve"> </w:t>
      </w:r>
      <w:r w:rsidR="005269F0">
        <w:t>suggest that energy use</w:t>
      </w:r>
      <w:r>
        <w:t>d</w:t>
      </w:r>
      <w:r w:rsidR="005269F0">
        <w:t xml:space="preserve"> in processing, transportation, distribution </w:t>
      </w:r>
      <w:r w:rsidR="00B169BA">
        <w:t xml:space="preserve">(including </w:t>
      </w:r>
      <w:r w:rsidR="007332ED">
        <w:t xml:space="preserve">packaging and </w:t>
      </w:r>
      <w:r w:rsidR="005269F0">
        <w:t>retail</w:t>
      </w:r>
      <w:r w:rsidR="00B169BA">
        <w:t>)</w:t>
      </w:r>
      <w:r w:rsidR="005269F0">
        <w:t xml:space="preserve"> and </w:t>
      </w:r>
      <w:r w:rsidR="00B169BA">
        <w:t xml:space="preserve">cooking and </w:t>
      </w:r>
      <w:r w:rsidR="005269F0">
        <w:t xml:space="preserve">preparation in the home together is typically 3-4 times more than that used </w:t>
      </w:r>
      <w:r w:rsidR="006C0E52">
        <w:t>up-to-the-</w:t>
      </w:r>
      <w:r w:rsidR="00871142">
        <w:t>farm</w:t>
      </w:r>
      <w:r w:rsidR="006C0E52">
        <w:t>-</w:t>
      </w:r>
      <w:r w:rsidR="00871142">
        <w:t>gate</w:t>
      </w:r>
      <w:r w:rsidR="001308DC">
        <w:t xml:space="preserve">. </w:t>
      </w:r>
      <w:r w:rsidR="00871142">
        <w:t>(</w:t>
      </w:r>
      <w:r w:rsidR="006F53C5">
        <w:t>Note</w:t>
      </w:r>
      <w:r w:rsidR="00871142">
        <w:t xml:space="preserve"> that</w:t>
      </w:r>
      <w:r w:rsidR="006F53C5">
        <w:t xml:space="preserve"> this is exclusive of the energy used for cooking in the home, </w:t>
      </w:r>
      <w:r w:rsidR="001308DC">
        <w:t>which</w:t>
      </w:r>
      <w:r w:rsidR="00871142">
        <w:t xml:space="preserve"> we consider in</w:t>
      </w:r>
      <w:r w:rsidR="006F53C5">
        <w:t xml:space="preserve"> a separate section </w:t>
      </w:r>
      <w:r w:rsidR="006F53C5">
        <w:lastRenderedPageBreak/>
        <w:t>below.</w:t>
      </w:r>
      <w:r w:rsidR="00871142">
        <w:t>)</w:t>
      </w:r>
      <w:r w:rsidR="006F53C5">
        <w:t xml:space="preserve"> </w:t>
      </w:r>
      <w:r>
        <w:rPr>
          <w:noProof/>
        </w:rPr>
        <w:t>Pelletier</w:t>
      </w:r>
      <w:r w:rsidRPr="00B20917">
        <w:rPr>
          <w:i/>
          <w:noProof/>
        </w:rPr>
        <w:t xml:space="preserve"> et al.</w:t>
      </w:r>
      <w:r w:rsidR="006A2825" w:rsidRPr="006A2825">
        <w:rPr>
          <w:noProof/>
          <w:vertAlign w:val="superscript"/>
        </w:rPr>
        <w:t>28</w:t>
      </w:r>
      <w:r w:rsidR="00D82DA0">
        <w:t xml:space="preserve"> </w:t>
      </w:r>
      <w:r w:rsidR="005269F0">
        <w:t xml:space="preserve">offer similar estimates, suggesting that </w:t>
      </w:r>
      <w:r w:rsidR="00321450">
        <w:t>food</w:t>
      </w:r>
      <w:r w:rsidR="005269F0">
        <w:t xml:space="preserve"> production in the USA accounts for only 13% of food system energy use, with 40% used in processing, transport</w:t>
      </w:r>
      <w:r w:rsidR="00B169BA">
        <w:t xml:space="preserve"> and </w:t>
      </w:r>
      <w:r w:rsidR="005269F0">
        <w:t xml:space="preserve">distribution, </w:t>
      </w:r>
      <w:r w:rsidR="00B169BA">
        <w:t>and</w:t>
      </w:r>
      <w:r w:rsidR="005269F0">
        <w:t xml:space="preserve"> the remaining 47% accounted for by </w:t>
      </w:r>
      <w:r w:rsidR="00B169BA">
        <w:t xml:space="preserve">home </w:t>
      </w:r>
      <w:r w:rsidR="005269F0">
        <w:t>preparation and eating outside the home (restaurants, etc.).</w:t>
      </w:r>
      <w:r w:rsidR="00343DF6">
        <w:t xml:space="preserve"> The consensus is that transport energy use </w:t>
      </w:r>
      <w:r w:rsidR="001308DC">
        <w:t xml:space="preserve">itself </w:t>
      </w:r>
      <w:r w:rsidR="00343DF6">
        <w:t xml:space="preserve">contributes only a small amount to the energy use of the food system (&lt;5%), </w:t>
      </w:r>
      <w:r w:rsidR="001308DC">
        <w:t>although it</w:t>
      </w:r>
      <w:r w:rsidR="002D23CF">
        <w:t xml:space="preserve"> remains</w:t>
      </w:r>
      <w:r w:rsidR="00343DF6">
        <w:t xml:space="preserve"> significant</w:t>
      </w:r>
      <w:r w:rsidR="001308DC" w:rsidRPr="001308DC">
        <w:t xml:space="preserve"> </w:t>
      </w:r>
      <w:r w:rsidR="001308DC">
        <w:t>relative to primary production</w:t>
      </w:r>
      <w:r w:rsidR="00343DF6">
        <w:t>.</w:t>
      </w:r>
    </w:p>
    <w:p w14:paraId="3A406ACA" w14:textId="19E1919B" w:rsidR="004F7D26" w:rsidRDefault="00D82DA0" w:rsidP="002D5A27">
      <w:r>
        <w:t xml:space="preserve">We use the </w:t>
      </w:r>
      <w:r w:rsidR="00941567">
        <w:t xml:space="preserve">more disaggregated </w:t>
      </w:r>
      <w:r>
        <w:t xml:space="preserve">estimates of </w:t>
      </w:r>
      <w:r w:rsidR="00941567">
        <w:rPr>
          <w:noProof/>
        </w:rPr>
        <w:t>Pelletier</w:t>
      </w:r>
      <w:r w:rsidR="00941567" w:rsidRPr="00B20917">
        <w:rPr>
          <w:i/>
          <w:noProof/>
        </w:rPr>
        <w:t xml:space="preserve"> et al.</w:t>
      </w:r>
      <w:r w:rsidR="006A2825" w:rsidRPr="006A2825">
        <w:rPr>
          <w:noProof/>
          <w:vertAlign w:val="superscript"/>
        </w:rPr>
        <w:t>28</w:t>
      </w:r>
      <w:r w:rsidR="001308DC">
        <w:t xml:space="preserve"> </w:t>
      </w:r>
      <w:r>
        <w:t>to compile our inputs.</w:t>
      </w:r>
      <w:r w:rsidR="007332ED">
        <w:t xml:space="preserve"> </w:t>
      </w:r>
      <w:r>
        <w:t>They suggest that</w:t>
      </w:r>
      <w:r w:rsidR="00321450">
        <w:t xml:space="preserve"> </w:t>
      </w:r>
      <w:r>
        <w:t>the energy used in</w:t>
      </w:r>
      <w:r w:rsidR="002D23CF">
        <w:t xml:space="preserve"> processing</w:t>
      </w:r>
      <w:r>
        <w:t>, transport and distribution</w:t>
      </w:r>
      <w:r w:rsidR="002D23CF">
        <w:t xml:space="preserve"> </w:t>
      </w:r>
      <w:r>
        <w:t>are</w:t>
      </w:r>
      <w:r w:rsidR="007332ED">
        <w:t xml:space="preserve"> </w:t>
      </w:r>
      <w:r w:rsidR="00941567">
        <w:t>~</w:t>
      </w:r>
      <w:r w:rsidR="007332ED" w:rsidRPr="007332ED">
        <w:t>130%</w:t>
      </w:r>
      <w:r>
        <w:t xml:space="preserve">, </w:t>
      </w:r>
      <w:r w:rsidR="00941567">
        <w:t>~</w:t>
      </w:r>
      <w:r w:rsidR="007332ED" w:rsidRPr="002148BF">
        <w:t xml:space="preserve">20% and </w:t>
      </w:r>
      <w:r w:rsidR="00941567">
        <w:t>~1</w:t>
      </w:r>
      <w:r w:rsidR="007332ED" w:rsidRPr="002148BF">
        <w:t>50%</w:t>
      </w:r>
      <w:r w:rsidR="00A93BC9">
        <w:t>, respectively, of that used in food production (see their Figure 1)</w:t>
      </w:r>
      <w:r w:rsidR="007332ED" w:rsidRPr="002148BF">
        <w:t xml:space="preserve">. </w:t>
      </w:r>
      <w:r w:rsidR="003F2F5A">
        <w:t>We start with these values, but reduce the former two</w:t>
      </w:r>
      <w:r w:rsidR="001308DC">
        <w:t xml:space="preserve"> (distr</w:t>
      </w:r>
      <w:r w:rsidR="00941567">
        <w:t>ibution could likely be reduced, too</w:t>
      </w:r>
      <w:r w:rsidR="001308DC">
        <w:t xml:space="preserve">, but we </w:t>
      </w:r>
      <w:r w:rsidR="00941567">
        <w:t xml:space="preserve">found </w:t>
      </w:r>
      <w:r w:rsidR="001308DC">
        <w:t>no clear rationale to do so)</w:t>
      </w:r>
      <w:r w:rsidR="003F2F5A">
        <w:t>. T</w:t>
      </w:r>
      <w:r w:rsidR="007332ED" w:rsidRPr="002148BF">
        <w:t xml:space="preserve">he </w:t>
      </w:r>
      <w:r w:rsidR="00941567">
        <w:t>FAO</w:t>
      </w:r>
      <w:r w:rsidR="006A2825" w:rsidRPr="006A2825">
        <w:rPr>
          <w:noProof/>
          <w:vertAlign w:val="superscript"/>
        </w:rPr>
        <w:t>27</w:t>
      </w:r>
      <w:r w:rsidR="003F2F5A">
        <w:t xml:space="preserve"> </w:t>
      </w:r>
      <w:r w:rsidR="007332ED" w:rsidRPr="002148BF">
        <w:t xml:space="preserve">suggest that the energy intensity of </w:t>
      </w:r>
      <w:r w:rsidR="003F2F5A">
        <w:t>food</w:t>
      </w:r>
      <w:r w:rsidR="007332ED" w:rsidRPr="002148BF">
        <w:t xml:space="preserve"> processing stages</w:t>
      </w:r>
      <w:r w:rsidR="00941567">
        <w:t xml:space="preserve"> can be reduced by 20-30% with </w:t>
      </w:r>
      <w:r w:rsidR="007332ED" w:rsidRPr="00941567">
        <w:rPr>
          <w:i/>
        </w:rPr>
        <w:t>medium cos</w:t>
      </w:r>
      <w:r w:rsidR="00941567" w:rsidRPr="00941567">
        <w:rPr>
          <w:i/>
        </w:rPr>
        <w:t>t investments</w:t>
      </w:r>
      <w:r w:rsidR="004F7D26">
        <w:t>, so we reduce th</w:t>
      </w:r>
      <w:r w:rsidR="003F2F5A">
        <w:t>e</w:t>
      </w:r>
      <w:r w:rsidR="007332ED" w:rsidRPr="002148BF">
        <w:t xml:space="preserve"> 130% to 100%</w:t>
      </w:r>
      <w:r w:rsidR="001308DC">
        <w:t xml:space="preserve"> –</w:t>
      </w:r>
      <w:r w:rsidR="002D23CF" w:rsidRPr="002148BF">
        <w:t xml:space="preserve"> </w:t>
      </w:r>
      <w:r w:rsidR="00615CB4">
        <w:t xml:space="preserve">perhaps </w:t>
      </w:r>
      <w:r w:rsidR="002D23CF" w:rsidRPr="002148BF">
        <w:t>conservative</w:t>
      </w:r>
      <w:r w:rsidR="00941567">
        <w:t>ly</w:t>
      </w:r>
      <w:r w:rsidR="002148BF">
        <w:t xml:space="preserve"> relative to our estimates for other sectors</w:t>
      </w:r>
      <w:r w:rsidR="002D23CF" w:rsidRPr="002148BF">
        <w:t>.</w:t>
      </w:r>
      <w:r w:rsidR="002148BF" w:rsidRPr="002148BF">
        <w:t xml:space="preserve"> </w:t>
      </w:r>
      <w:r w:rsidR="003F2F5A">
        <w:t>We then</w:t>
      </w:r>
      <w:r w:rsidR="004F7D26">
        <w:t xml:space="preserve"> assume a reduction in demand for processed food</w:t>
      </w:r>
      <w:r w:rsidR="003F2F5A">
        <w:t>,</w:t>
      </w:r>
      <w:r w:rsidR="004F7D26">
        <w:t xml:space="preserve"> and some localisation of </w:t>
      </w:r>
      <w:r w:rsidR="003F2F5A">
        <w:t xml:space="preserve">food </w:t>
      </w:r>
      <w:r w:rsidR="004F7D26">
        <w:t>supply. In the absence of a more rigorous approa</w:t>
      </w:r>
      <w:r w:rsidR="001308DC">
        <w:t>ch, we simply half each intensity</w:t>
      </w:r>
      <w:r w:rsidR="004F7D26">
        <w:t xml:space="preserve">, </w:t>
      </w:r>
      <w:r w:rsidR="001308DC">
        <w:t xml:space="preserve">then </w:t>
      </w:r>
      <w:r w:rsidR="004F7D26">
        <w:t xml:space="preserve">test </w:t>
      </w:r>
      <w:r w:rsidR="001308DC">
        <w:t xml:space="preserve">the model’s </w:t>
      </w:r>
      <w:r w:rsidR="004F7D26">
        <w:t xml:space="preserve">sensitivity </w:t>
      </w:r>
      <w:r w:rsidR="001308DC">
        <w:t>later</w:t>
      </w:r>
      <w:r w:rsidR="004F7D26">
        <w:t>.</w:t>
      </w:r>
    </w:p>
    <w:p w14:paraId="7746D562" w14:textId="2F89C626" w:rsidR="00281452" w:rsidRDefault="004F7D26" w:rsidP="00ED77A5">
      <w:r>
        <w:t xml:space="preserve">In </w:t>
      </w:r>
      <w:r w:rsidR="003F2F5A">
        <w:t>summary</w:t>
      </w:r>
      <w:r>
        <w:t xml:space="preserve">, </w:t>
      </w:r>
      <w:r w:rsidR="003F2F5A">
        <w:t>this means we assume that the energy used in food processing, transport and distribution is 50</w:t>
      </w:r>
      <w:r w:rsidR="003F2F5A" w:rsidRPr="007332ED">
        <w:t>%</w:t>
      </w:r>
      <w:r w:rsidR="003F2F5A">
        <w:t>, 1</w:t>
      </w:r>
      <w:r w:rsidR="003F2F5A" w:rsidRPr="002148BF">
        <w:t>0% and 150%</w:t>
      </w:r>
      <w:r w:rsidR="003F2F5A">
        <w:t xml:space="preserve">, respectively, of that used in food production. In other words, </w:t>
      </w:r>
      <w:r w:rsidR="002148BF" w:rsidRPr="002148BF">
        <w:t xml:space="preserve">the energy use of </w:t>
      </w:r>
      <w:r w:rsidR="00111281">
        <w:t xml:space="preserve">the </w:t>
      </w:r>
      <w:r w:rsidR="002148BF" w:rsidRPr="002148BF">
        <w:t xml:space="preserve">food supply chain </w:t>
      </w:r>
      <w:r w:rsidR="00111281">
        <w:t>beyond-the-</w:t>
      </w:r>
      <w:r w:rsidR="002148BF">
        <w:t>fa</w:t>
      </w:r>
      <w:r w:rsidR="00111281">
        <w:t>rm-</w:t>
      </w:r>
      <w:r w:rsidR="002148BF">
        <w:t xml:space="preserve">gate </w:t>
      </w:r>
      <w:r w:rsidR="003F2F5A">
        <w:t xml:space="preserve">is </w:t>
      </w:r>
      <w:r w:rsidR="002148BF" w:rsidRPr="002148BF">
        <w:t xml:space="preserve">a factor of </w:t>
      </w:r>
      <w:r w:rsidR="002148BF">
        <w:t>2</w:t>
      </w:r>
      <w:r w:rsidR="002148BF" w:rsidRPr="002148BF">
        <w:t>.</w:t>
      </w:r>
      <w:r w:rsidR="003F2F5A">
        <w:t>1</w:t>
      </w:r>
      <w:r w:rsidR="002148BF" w:rsidRPr="002148BF">
        <w:t xml:space="preserve"> greater than food production alone</w:t>
      </w:r>
      <w:r w:rsidR="003F2F5A">
        <w:t>.</w:t>
      </w:r>
      <w:r w:rsidR="002148BF">
        <w:t xml:space="preserve"> </w:t>
      </w:r>
      <w:r w:rsidR="003F2F5A">
        <w:t>In pract</w:t>
      </w:r>
      <w:r w:rsidR="00ED77A5">
        <w:t>ical terms</w:t>
      </w:r>
      <w:r w:rsidR="00A44455">
        <w:t>, this means that we assume 0.49</w:t>
      </w:r>
      <w:r w:rsidR="00ED77A5">
        <w:t xml:space="preserve"> GJ of energy are required in the beyond-farm-gate supply chain </w:t>
      </w:r>
      <w:r w:rsidR="00A44455">
        <w:t>to deliver</w:t>
      </w:r>
      <w:r w:rsidR="00ED77A5">
        <w:t xml:space="preserve"> food with 1 GJ of </w:t>
      </w:r>
      <w:r w:rsidR="00A44455">
        <w:t xml:space="preserve">human-edible </w:t>
      </w:r>
      <w:r w:rsidR="00ED77A5">
        <w:t>energy.</w:t>
      </w:r>
    </w:p>
    <w:p w14:paraId="1198D324" w14:textId="1AD1620F" w:rsidR="00ED77A5" w:rsidRDefault="00A44455" w:rsidP="00ED77A5">
      <w:pPr>
        <w:rPr>
          <w:i/>
        </w:rPr>
      </w:pPr>
      <w:r>
        <w:t>Adding this</w:t>
      </w:r>
      <w:r w:rsidR="00281452">
        <w:t xml:space="preserve"> to the up-to-the-farm-gate value above, give</w:t>
      </w:r>
      <w:r w:rsidR="00111281">
        <w:t>s</w:t>
      </w:r>
      <w:r w:rsidR="00281452">
        <w:t xml:space="preserve"> a total supply chain energy requirement of 0.72 GJ to produce and deliver 1 GJ</w:t>
      </w:r>
      <w:r w:rsidR="00281452">
        <w:rPr>
          <w:i/>
        </w:rPr>
        <w:t xml:space="preserve"> </w:t>
      </w:r>
      <w:r w:rsidR="00281452" w:rsidRPr="00281452">
        <w:t>of food</w:t>
      </w:r>
      <w:r w:rsidR="00281452">
        <w:t xml:space="preserve">; equivalent to </w:t>
      </w:r>
      <w:r w:rsidR="00281452" w:rsidRPr="004607DA">
        <w:rPr>
          <w:b/>
        </w:rPr>
        <w:t>2.</w:t>
      </w:r>
      <w:r w:rsidR="000A32C7" w:rsidRPr="004607DA">
        <w:rPr>
          <w:b/>
        </w:rPr>
        <w:t>2</w:t>
      </w:r>
      <w:r w:rsidR="00281452" w:rsidRPr="004607DA">
        <w:rPr>
          <w:b/>
        </w:rPr>
        <w:t>5-2.</w:t>
      </w:r>
      <w:r w:rsidR="0007794A">
        <w:rPr>
          <w:b/>
        </w:rPr>
        <w:t>39</w:t>
      </w:r>
      <w:r w:rsidR="00281452" w:rsidRPr="004607DA">
        <w:rPr>
          <w:b/>
        </w:rPr>
        <w:t xml:space="preserve"> GJ</w:t>
      </w:r>
      <w:r w:rsidR="00080C52" w:rsidRPr="00080C52">
        <w:rPr>
          <w:b/>
        </w:rPr>
        <w:t>/cap</w:t>
      </w:r>
      <w:r w:rsidR="00281452" w:rsidRPr="00080C52">
        <w:rPr>
          <w:b/>
        </w:rPr>
        <w:t>/</w:t>
      </w:r>
      <w:proofErr w:type="spellStart"/>
      <w:r w:rsidR="00281452" w:rsidRPr="00080C52">
        <w:rPr>
          <w:b/>
        </w:rPr>
        <w:t>yr</w:t>
      </w:r>
      <w:proofErr w:type="spellEnd"/>
      <w:r w:rsidR="008D249C">
        <w:t>, depending on the countries average per capita food-calorie requirements</w:t>
      </w:r>
      <w:r w:rsidR="00281452">
        <w:t>.</w:t>
      </w:r>
    </w:p>
    <w:p w14:paraId="10D97981" w14:textId="46CC6FAA" w:rsidR="002D5A27" w:rsidRPr="00111281" w:rsidRDefault="00615CB4" w:rsidP="00A9091F">
      <w:r w:rsidRPr="00691913">
        <w:t>Finally, w</w:t>
      </w:r>
      <w:r w:rsidR="00E60865">
        <w:t xml:space="preserve">e assume there’s </w:t>
      </w:r>
      <w:r w:rsidR="00ED77A5" w:rsidRPr="00691913">
        <w:t>some</w:t>
      </w:r>
      <w:r w:rsidRPr="00691913">
        <w:t xml:space="preserve"> unavoi</w:t>
      </w:r>
      <w:r w:rsidR="00691913">
        <w:t xml:space="preserve">dable waste. </w:t>
      </w:r>
      <w:r w:rsidR="00AE0A81">
        <w:t>Food waste is a complex subject</w:t>
      </w:r>
      <w:r w:rsidR="00111281">
        <w:t>:</w:t>
      </w:r>
      <w:r w:rsidR="00AE0A81">
        <w:t xml:space="preserve"> losses occur</w:t>
      </w:r>
      <w:r w:rsidR="0058436A">
        <w:t xml:space="preserve"> at stages from harvesting through distrib</w:t>
      </w:r>
      <w:r w:rsidR="00111281">
        <w:t xml:space="preserve">ution to household consumption; </w:t>
      </w:r>
      <w:r w:rsidR="007B6EB7">
        <w:t xml:space="preserve">some losses </w:t>
      </w:r>
      <w:r w:rsidR="00AE0A81">
        <w:t xml:space="preserve">are </w:t>
      </w:r>
      <w:r w:rsidR="0058436A">
        <w:t>cons</w:t>
      </w:r>
      <w:r w:rsidR="00111281">
        <w:t>idered avoidable and others not;</w:t>
      </w:r>
      <w:r w:rsidR="0058436A">
        <w:t xml:space="preserve"> and where along the supply chain the most significant losses occur strongly depend</w:t>
      </w:r>
      <w:r w:rsidR="007B6EB7">
        <w:t>s</w:t>
      </w:r>
      <w:r w:rsidR="0058436A">
        <w:t xml:space="preserve"> upon the level of economic development and centralisation of food production</w:t>
      </w:r>
      <w:r w:rsidR="006A2825" w:rsidRPr="006A2825">
        <w:rPr>
          <w:noProof/>
          <w:vertAlign w:val="superscript"/>
        </w:rPr>
        <w:t>29, 30</w:t>
      </w:r>
      <w:r w:rsidR="0058436A">
        <w:t xml:space="preserve">. </w:t>
      </w:r>
      <w:r w:rsidR="00521BAC">
        <w:t>Estimates suggest that overall food waste levels in different nations can be anything from 10-50%</w:t>
      </w:r>
      <w:r w:rsidR="00E60865">
        <w:t>;</w:t>
      </w:r>
      <w:r w:rsidR="00111281">
        <w:t xml:space="preserve"> </w:t>
      </w:r>
      <w:r w:rsidR="00EA250C">
        <w:t>the lower end of this</w:t>
      </w:r>
      <w:r w:rsidR="007B6EB7">
        <w:t xml:space="preserve"> range is populated by</w:t>
      </w:r>
      <w:r w:rsidR="00EA250C">
        <w:t xml:space="preserve"> energy</w:t>
      </w:r>
      <w:r w:rsidR="007B6EB7">
        <w:t>-based measurements</w:t>
      </w:r>
      <w:r w:rsidR="00EA250C">
        <w:t xml:space="preserve"> (</w:t>
      </w:r>
      <w:r w:rsidR="00EA250C">
        <w:rPr>
          <w:i/>
        </w:rPr>
        <w:t>ibid</w:t>
      </w:r>
      <w:r w:rsidR="00EA250C">
        <w:t>)</w:t>
      </w:r>
      <w:r w:rsidR="00521BAC">
        <w:t xml:space="preserve">. In wealthier countries, </w:t>
      </w:r>
      <w:r w:rsidR="007B6EB7">
        <w:t>losses tend</w:t>
      </w:r>
      <w:r w:rsidR="00521BAC">
        <w:t xml:space="preserve"> to become concentrated in the household consumption stage</w:t>
      </w:r>
      <w:r w:rsidR="006A2825" w:rsidRPr="006A2825">
        <w:rPr>
          <w:noProof/>
          <w:vertAlign w:val="superscript"/>
        </w:rPr>
        <w:t>31</w:t>
      </w:r>
      <w:r w:rsidR="00521BAC">
        <w:t xml:space="preserve"> and studies from </w:t>
      </w:r>
      <w:r w:rsidR="00521BAC" w:rsidRPr="00521BAC">
        <w:rPr>
          <w:i/>
        </w:rPr>
        <w:t>WRAP</w:t>
      </w:r>
      <w:r w:rsidR="00521BAC">
        <w:rPr>
          <w:rStyle w:val="FootnoteReference"/>
        </w:rPr>
        <w:footnoteReference w:id="5"/>
      </w:r>
      <w:r w:rsidR="00521BAC">
        <w:t xml:space="preserve"> suggest the majority of this is avoidable. More specifically</w:t>
      </w:r>
      <w:r w:rsidR="00111281">
        <w:t>,</w:t>
      </w:r>
      <w:r w:rsidR="00691913">
        <w:t xml:space="preserve"> WRAP suggest that about 25% of </w:t>
      </w:r>
      <w:r w:rsidR="00B5278E">
        <w:t xml:space="preserve">UK </w:t>
      </w:r>
      <w:r w:rsidR="00691913">
        <w:t>food is wasted</w:t>
      </w:r>
      <w:r w:rsidR="00A9091F">
        <w:t xml:space="preserve"> post-farm-gate</w:t>
      </w:r>
      <w:r w:rsidR="00691913">
        <w:t>, and 30% of this is unavoidable (</w:t>
      </w:r>
      <w:r w:rsidR="00B5278E">
        <w:t>2019 data</w:t>
      </w:r>
      <w:r w:rsidR="00691913">
        <w:t>). This means that, overall, about 7.5% of food is unavoidably waste</w:t>
      </w:r>
      <w:r w:rsidR="00E60865">
        <w:t>d</w:t>
      </w:r>
      <w:r w:rsidR="00691913" w:rsidRPr="000C4B03">
        <w:t>.</w:t>
      </w:r>
      <w:r w:rsidR="00B5278E" w:rsidRPr="000C4B03">
        <w:t xml:space="preserve"> </w:t>
      </w:r>
      <w:r w:rsidR="00A9091F" w:rsidRPr="000C4B03">
        <w:t>We thus take 1</w:t>
      </w:r>
      <w:r w:rsidR="00BD0D63" w:rsidRPr="000C4B03">
        <w:t>5</w:t>
      </w:r>
      <w:r w:rsidR="00A9091F" w:rsidRPr="000C4B03">
        <w:t>% as the</w:t>
      </w:r>
      <w:r w:rsidR="00A9091F">
        <w:t xml:space="preserve"> unavoidable food waste along the full supply chain, which allows for </w:t>
      </w:r>
      <w:r w:rsidR="00BD0D63">
        <w:t>the same</w:t>
      </w:r>
      <w:r w:rsidR="00A9091F">
        <w:t xml:space="preserve"> amount </w:t>
      </w:r>
      <w:r w:rsidR="00BD0D63">
        <w:t xml:space="preserve">of waste </w:t>
      </w:r>
      <w:r w:rsidR="00111281">
        <w:t>in production stages</w:t>
      </w:r>
      <w:r w:rsidR="00A9091F">
        <w:t>.</w:t>
      </w:r>
      <w:r w:rsidR="0007794A">
        <w:t xml:space="preserve"> This increases the </w:t>
      </w:r>
      <w:r w:rsidR="0007794A" w:rsidRPr="0007794A">
        <w:t>2.25-2.</w:t>
      </w:r>
      <w:r w:rsidR="0007794A">
        <w:t>39</w:t>
      </w:r>
      <w:r w:rsidR="0007794A" w:rsidRPr="0007794A">
        <w:t xml:space="preserve"> GJ</w:t>
      </w:r>
      <w:r w:rsidR="0007794A">
        <w:t xml:space="preserve"> estimate above </w:t>
      </w:r>
      <w:r w:rsidR="0007794A" w:rsidRPr="0007794A">
        <w:t>to</w:t>
      </w:r>
      <w:r w:rsidR="0007794A">
        <w:rPr>
          <w:b/>
        </w:rPr>
        <w:t xml:space="preserve"> </w:t>
      </w:r>
      <w:r w:rsidR="0007794A" w:rsidRPr="004607DA">
        <w:rPr>
          <w:b/>
        </w:rPr>
        <w:t>2.</w:t>
      </w:r>
      <w:r w:rsidR="0007794A">
        <w:rPr>
          <w:b/>
        </w:rPr>
        <w:t>65</w:t>
      </w:r>
      <w:r w:rsidR="0007794A" w:rsidRPr="004607DA">
        <w:rPr>
          <w:b/>
        </w:rPr>
        <w:t>-2.</w:t>
      </w:r>
      <w:r w:rsidR="0007794A">
        <w:rPr>
          <w:b/>
        </w:rPr>
        <w:t>81</w:t>
      </w:r>
      <w:r w:rsidR="0007794A" w:rsidRPr="004607DA">
        <w:rPr>
          <w:b/>
        </w:rPr>
        <w:t xml:space="preserve"> GJ</w:t>
      </w:r>
      <w:r w:rsidR="0007794A" w:rsidRPr="00080C52">
        <w:rPr>
          <w:b/>
        </w:rPr>
        <w:t>/cap/yr</w:t>
      </w:r>
      <w:r w:rsidR="0007794A" w:rsidRPr="0007794A">
        <w:t>.</w:t>
      </w:r>
    </w:p>
    <w:p w14:paraId="2122E69E" w14:textId="6E775466" w:rsidR="002B0218" w:rsidRDefault="0038734E" w:rsidP="000F0AE9">
      <w:pPr>
        <w:pStyle w:val="Heading2"/>
      </w:pPr>
      <w:r>
        <w:t>Cooking</w:t>
      </w:r>
      <w:r w:rsidR="002B0218" w:rsidRPr="002B0218">
        <w:t xml:space="preserve"> </w:t>
      </w:r>
      <w:r w:rsidR="002B0218">
        <w:t>and Cold storage</w:t>
      </w:r>
    </w:p>
    <w:p w14:paraId="5DB79B41" w14:textId="5461D164" w:rsidR="009879F7" w:rsidRDefault="004C43C1" w:rsidP="0038734E">
      <w:r>
        <w:t xml:space="preserve">Currently, energy use for cooking varies dramatically between </w:t>
      </w:r>
      <w:r w:rsidR="0030562B">
        <w:t xml:space="preserve">lower- and higher-GDP </w:t>
      </w:r>
      <w:r>
        <w:t>countries</w:t>
      </w:r>
      <w:r w:rsidR="0030562B">
        <w:t xml:space="preserve">, with the former typically relying upon open, generally inefficient cook-stoves. In countries </w:t>
      </w:r>
      <w:r w:rsidR="00665F2A">
        <w:t>where</w:t>
      </w:r>
      <w:r w:rsidR="0030562B">
        <w:t xml:space="preserve"> cooking appliances are the norm, the FAO suggest typical energy use is </w:t>
      </w:r>
      <w:r w:rsidR="006774B5">
        <w:t xml:space="preserve">currently </w:t>
      </w:r>
      <w:r w:rsidR="009879F7">
        <w:t>5-7</w:t>
      </w:r>
      <w:r w:rsidR="0030562B">
        <w:t>MJ/kg of food</w:t>
      </w:r>
      <w:r w:rsidR="006A2825" w:rsidRPr="006A2825">
        <w:rPr>
          <w:noProof/>
          <w:vertAlign w:val="superscript"/>
        </w:rPr>
        <w:t>27</w:t>
      </w:r>
      <w:r w:rsidR="00665F2A">
        <w:t xml:space="preserve">. </w:t>
      </w:r>
      <w:r w:rsidR="006774B5">
        <w:t>Assuming a nominal value of 150kcal/100g for cooked food, this translates to</w:t>
      </w:r>
      <w:r w:rsidR="001802FA">
        <w:t xml:space="preserve"> </w:t>
      </w:r>
      <w:r w:rsidR="00E60865">
        <w:t>~</w:t>
      </w:r>
      <w:r w:rsidR="009879F7">
        <w:t>4</w:t>
      </w:r>
      <w:r w:rsidR="00FB68B7">
        <w:t>k</w:t>
      </w:r>
      <w:r w:rsidR="006774B5">
        <w:t>J</w:t>
      </w:r>
      <w:r w:rsidR="00FB68B7">
        <w:t>/kcal</w:t>
      </w:r>
      <w:r w:rsidR="006774B5">
        <w:t>.</w:t>
      </w:r>
      <w:r w:rsidR="009879F7">
        <w:t xml:space="preserve"> </w:t>
      </w:r>
      <w:r w:rsidR="00E60865">
        <w:rPr>
          <w:noProof/>
        </w:rPr>
        <w:t>Cullen, Allwood and Borgstein</w:t>
      </w:r>
      <w:r w:rsidR="006A2825" w:rsidRPr="006A2825">
        <w:rPr>
          <w:noProof/>
          <w:vertAlign w:val="superscript"/>
        </w:rPr>
        <w:t>6</w:t>
      </w:r>
      <w:r w:rsidR="009879F7">
        <w:t xml:space="preserve"> suggest that</w:t>
      </w:r>
      <w:r w:rsidR="001802FA">
        <w:t>, with practical measures,</w:t>
      </w:r>
      <w:r w:rsidR="009879F7">
        <w:t xml:space="preserve"> the energy intensity of cooking could be reduced 80% below these levels</w:t>
      </w:r>
      <w:r w:rsidR="00E60865">
        <w:t>, which</w:t>
      </w:r>
      <w:r w:rsidR="009879F7">
        <w:t xml:space="preserve"> </w:t>
      </w:r>
      <w:r w:rsidR="00E60865">
        <w:t>implies ~</w:t>
      </w:r>
      <w:r w:rsidR="009879F7">
        <w:t>0.8kJ/kcal.</w:t>
      </w:r>
      <w:r w:rsidR="00501A31">
        <w:t xml:space="preserve"> Finally, in the absence of a more objective or rigorous estimate, we assume that 50% of food </w:t>
      </w:r>
      <w:r w:rsidR="00E60865">
        <w:t>calories are</w:t>
      </w:r>
      <w:r w:rsidR="00501A31">
        <w:t xml:space="preserve"> cooked. We </w:t>
      </w:r>
      <w:r w:rsidR="00E60865">
        <w:t xml:space="preserve">thus </w:t>
      </w:r>
      <w:r w:rsidR="00501A31">
        <w:t>assume that for ever</w:t>
      </w:r>
      <w:r w:rsidR="008A1B1F">
        <w:t>y</w:t>
      </w:r>
      <w:r w:rsidR="00501A31">
        <w:t xml:space="preserve"> kcal of food consumed</w:t>
      </w:r>
      <w:r w:rsidR="00E60865">
        <w:t xml:space="preserve">, 0.4kJ of energy is required, </w:t>
      </w:r>
      <w:r w:rsidR="00501A31">
        <w:t xml:space="preserve">irrespective of nation. Combining </w:t>
      </w:r>
      <w:r w:rsidR="00501A31">
        <w:lastRenderedPageBreak/>
        <w:t xml:space="preserve">this with total kcal intake </w:t>
      </w:r>
      <w:r w:rsidR="009879F7">
        <w:t xml:space="preserve">per capita for </w:t>
      </w:r>
      <w:r w:rsidR="00501A31">
        <w:t xml:space="preserve">each nation, gives energy use for cooking between </w:t>
      </w:r>
      <w:r w:rsidR="00501A31" w:rsidRPr="00080C52">
        <w:rPr>
          <w:b/>
        </w:rPr>
        <w:t>0.3</w:t>
      </w:r>
      <w:r w:rsidR="0028785D">
        <w:rPr>
          <w:b/>
        </w:rPr>
        <w:t>0</w:t>
      </w:r>
      <w:r w:rsidR="00501A31" w:rsidRPr="00080C52">
        <w:rPr>
          <w:b/>
        </w:rPr>
        <w:t xml:space="preserve"> and 0.31 GJ/capita/yr</w:t>
      </w:r>
      <w:r w:rsidR="00501A31">
        <w:t>.</w:t>
      </w:r>
    </w:p>
    <w:p w14:paraId="7C1614AC" w14:textId="3705F97A" w:rsidR="0038734E" w:rsidRDefault="00DD3D6A" w:rsidP="0038734E">
      <w:r>
        <w:t xml:space="preserve">For cold storage in the home, </w:t>
      </w:r>
      <w:r w:rsidR="00EC24F1">
        <w:t xml:space="preserve">we also use values from </w:t>
      </w:r>
      <w:r w:rsidR="00E60865">
        <w:rPr>
          <w:noProof/>
        </w:rPr>
        <w:t>Cullen, Allwood and Borgstein</w:t>
      </w:r>
      <w:r w:rsidR="006A2825" w:rsidRPr="006A2825">
        <w:rPr>
          <w:noProof/>
          <w:vertAlign w:val="superscript"/>
        </w:rPr>
        <w:t>6</w:t>
      </w:r>
      <w:r w:rsidR="009A4CAD">
        <w:t xml:space="preserve">. </w:t>
      </w:r>
      <w:r w:rsidR="009E6070">
        <w:t xml:space="preserve">They suggest that 80-90% energy savings above current levels </w:t>
      </w:r>
      <w:r w:rsidR="00B335DB">
        <w:t xml:space="preserve">for cold storage </w:t>
      </w:r>
      <w:r w:rsidR="009E6070">
        <w:t>are feasible. This is similar to the efficiency of the most efficient household refrigerator in production, which requires only 120 kWh/</w:t>
      </w:r>
      <w:proofErr w:type="spellStart"/>
      <w:r w:rsidR="009E6070">
        <w:t>yr</w:t>
      </w:r>
      <w:proofErr w:type="spellEnd"/>
      <w:r w:rsidR="00B335DB">
        <w:t>;</w:t>
      </w:r>
      <w:r w:rsidR="009E6070">
        <w:t xml:space="preserve"> an 80% reduction on current averages.</w:t>
      </w:r>
      <w:r w:rsidR="00B335DB">
        <w:t xml:space="preserve"> We thus assume one of these current-best-performing appliances per household, which results in cold-storage requirements of </w:t>
      </w:r>
      <w:r w:rsidR="00B335DB" w:rsidRPr="004607DA">
        <w:rPr>
          <w:b/>
        </w:rPr>
        <w:t>0.</w:t>
      </w:r>
      <w:r w:rsidR="0028785D">
        <w:rPr>
          <w:b/>
        </w:rPr>
        <w:t>1</w:t>
      </w:r>
      <w:r w:rsidR="00B335DB" w:rsidRPr="004607DA">
        <w:rPr>
          <w:b/>
        </w:rPr>
        <w:t>1 GJ</w:t>
      </w:r>
      <w:r w:rsidR="00B335DB" w:rsidRPr="00080C52">
        <w:rPr>
          <w:b/>
        </w:rPr>
        <w:t>/</w:t>
      </w:r>
      <w:proofErr w:type="spellStart"/>
      <w:r w:rsidR="00B335DB" w:rsidRPr="00080C52">
        <w:rPr>
          <w:b/>
        </w:rPr>
        <w:t>yr</w:t>
      </w:r>
      <w:proofErr w:type="spellEnd"/>
      <w:r w:rsidR="00080C52">
        <w:rPr>
          <w:b/>
        </w:rPr>
        <w:t>/cap</w:t>
      </w:r>
      <w:r w:rsidR="00B335DB">
        <w:t xml:space="preserve">, </w:t>
      </w:r>
      <w:r w:rsidR="0028785D">
        <w:t xml:space="preserve">with </w:t>
      </w:r>
      <w:r w:rsidR="00B335DB">
        <w:t xml:space="preserve">a household size of </w:t>
      </w:r>
      <w:r w:rsidR="0028785D">
        <w:t>four</w:t>
      </w:r>
      <w:r w:rsidR="00B335DB">
        <w:t>.</w:t>
      </w:r>
    </w:p>
    <w:p w14:paraId="516D4005" w14:textId="26BA5F86" w:rsidR="00984418" w:rsidRDefault="00480D88" w:rsidP="0038734E">
      <w:r w:rsidRPr="00480D88">
        <w:t>Finally,</w:t>
      </w:r>
      <w:r>
        <w:t xml:space="preserve"> we add embodied energy for producing and distributing these high-efficiency </w:t>
      </w:r>
      <w:r w:rsidR="00E60865">
        <w:t>appliances</w:t>
      </w:r>
      <w:r>
        <w:t xml:space="preserve">. </w:t>
      </w:r>
      <w:r w:rsidR="00180B19">
        <w:t xml:space="preserve">For cold storage, we use the values from </w:t>
      </w:r>
      <w:r w:rsidR="00E60865">
        <w:rPr>
          <w:noProof/>
        </w:rPr>
        <w:t>Ma</w:t>
      </w:r>
      <w:r w:rsidR="00E60865" w:rsidRPr="00B20917">
        <w:rPr>
          <w:i/>
          <w:noProof/>
        </w:rPr>
        <w:t xml:space="preserve"> et al.</w:t>
      </w:r>
      <w:r w:rsidR="006A2825" w:rsidRPr="006A2825">
        <w:rPr>
          <w:noProof/>
          <w:vertAlign w:val="superscript"/>
        </w:rPr>
        <w:t>32</w:t>
      </w:r>
      <w:r w:rsidR="00180B19">
        <w:t xml:space="preserve"> for eco-design of refrigerators</w:t>
      </w:r>
      <w:r w:rsidR="00B40F76">
        <w:t xml:space="preserve">. For the model they study, </w:t>
      </w:r>
      <w:r w:rsidR="00DA3010">
        <w:t xml:space="preserve">81% of </w:t>
      </w:r>
      <w:r w:rsidR="00B40F76">
        <w:t xml:space="preserve">the total lifetime energy use is </w:t>
      </w:r>
      <w:r w:rsidR="00DA3010">
        <w:t>account for by direct energy use, with the remaining 19%, or 2 GJ, involved in production and distribution. We assume the same energy is required for producing a household freezer, thus giving 4 GJ/household. With the 14 year lifespan they use, this is brought down to 0.28 GJ/</w:t>
      </w:r>
      <w:proofErr w:type="spellStart"/>
      <w:r w:rsidR="00DA3010">
        <w:t>yr</w:t>
      </w:r>
      <w:proofErr w:type="spellEnd"/>
      <w:r w:rsidR="00DA3010">
        <w:t>, or</w:t>
      </w:r>
      <w:r w:rsidR="00E60865">
        <w:t xml:space="preserve"> for a household of four</w:t>
      </w:r>
      <w:r w:rsidR="0028785D" w:rsidRPr="00DA3010">
        <w:rPr>
          <w:b/>
        </w:rPr>
        <w:t xml:space="preserve"> </w:t>
      </w:r>
      <w:r w:rsidR="00546259">
        <w:rPr>
          <w:b/>
        </w:rPr>
        <w:t>70</w:t>
      </w:r>
      <w:r w:rsidR="00DA3010" w:rsidRPr="00DA3010">
        <w:rPr>
          <w:b/>
        </w:rPr>
        <w:t xml:space="preserve"> </w:t>
      </w:r>
      <w:r w:rsidR="00D540FB">
        <w:rPr>
          <w:b/>
        </w:rPr>
        <w:t>M</w:t>
      </w:r>
      <w:r w:rsidR="00DA3010" w:rsidRPr="00DA3010">
        <w:rPr>
          <w:b/>
        </w:rPr>
        <w:t>J</w:t>
      </w:r>
      <w:r w:rsidR="00DA3010" w:rsidRPr="00080C52">
        <w:rPr>
          <w:b/>
        </w:rPr>
        <w:t>/</w:t>
      </w:r>
      <w:proofErr w:type="spellStart"/>
      <w:r w:rsidR="00DA3010" w:rsidRPr="00080C52">
        <w:rPr>
          <w:b/>
        </w:rPr>
        <w:t>yr</w:t>
      </w:r>
      <w:proofErr w:type="spellEnd"/>
      <w:r w:rsidR="00DA3010" w:rsidRPr="00080C52">
        <w:rPr>
          <w:b/>
        </w:rPr>
        <w:t>/cap</w:t>
      </w:r>
      <w:r w:rsidR="00DA3010">
        <w:t>. For cookers the calculation</w:t>
      </w:r>
      <w:r w:rsidR="00E60865">
        <w:t>s</w:t>
      </w:r>
      <w:r w:rsidR="00DA3010">
        <w:t xml:space="preserve"> </w:t>
      </w:r>
      <w:r w:rsidR="00E60865">
        <w:t xml:space="preserve">are </w:t>
      </w:r>
      <w:r w:rsidR="00DA3010">
        <w:t xml:space="preserve">the same, but we start with the estimate of </w:t>
      </w:r>
      <w:r w:rsidR="00E60865">
        <w:rPr>
          <w:noProof/>
        </w:rPr>
        <w:t>Pina</w:t>
      </w:r>
      <w:r w:rsidR="00E60865" w:rsidRPr="00B20917">
        <w:rPr>
          <w:i/>
          <w:noProof/>
        </w:rPr>
        <w:t xml:space="preserve"> et al.</w:t>
      </w:r>
      <w:r w:rsidR="006A2825" w:rsidRPr="006A2825">
        <w:rPr>
          <w:noProof/>
          <w:vertAlign w:val="superscript"/>
        </w:rPr>
        <w:t>33</w:t>
      </w:r>
      <w:r w:rsidR="00DA3010">
        <w:t xml:space="preserve"> who find the embodied energy in various induction cookers to be approximately 1 GJ; lower than</w:t>
      </w:r>
      <w:r w:rsidR="007576E4">
        <w:t xml:space="preserve"> cold-storage. </w:t>
      </w:r>
      <w:r w:rsidR="00E60865">
        <w:t>Cookers’ l</w:t>
      </w:r>
      <w:r w:rsidR="007576E4">
        <w:t>ifetimes</w:t>
      </w:r>
      <w:r w:rsidR="00E60865">
        <w:t xml:space="preserve"> are also suggested to be longer at 20 years</w:t>
      </w:r>
      <w:r w:rsidR="006A2825" w:rsidRPr="006A2825">
        <w:rPr>
          <w:noProof/>
          <w:vertAlign w:val="superscript"/>
        </w:rPr>
        <w:t>34</w:t>
      </w:r>
      <w:r w:rsidR="007576E4">
        <w:t xml:space="preserve">. </w:t>
      </w:r>
      <w:r w:rsidR="00D540FB">
        <w:t>We</w:t>
      </w:r>
      <w:r w:rsidR="007576E4">
        <w:t xml:space="preserve"> </w:t>
      </w:r>
      <w:r w:rsidR="00136878">
        <w:t xml:space="preserve">thus obtain </w:t>
      </w:r>
      <w:r w:rsidR="007576E4">
        <w:t xml:space="preserve">a value of </w:t>
      </w:r>
      <w:r w:rsidR="00D540FB">
        <w:rPr>
          <w:b/>
        </w:rPr>
        <w:t>1</w:t>
      </w:r>
      <w:r w:rsidR="00546259">
        <w:rPr>
          <w:b/>
        </w:rPr>
        <w:t>3</w:t>
      </w:r>
      <w:r w:rsidR="007576E4" w:rsidRPr="00DA3010">
        <w:rPr>
          <w:b/>
        </w:rPr>
        <w:t xml:space="preserve"> </w:t>
      </w:r>
      <w:r w:rsidR="00D540FB">
        <w:rPr>
          <w:b/>
        </w:rPr>
        <w:t>M</w:t>
      </w:r>
      <w:r w:rsidR="007576E4" w:rsidRPr="00DA3010">
        <w:rPr>
          <w:b/>
        </w:rPr>
        <w:t>J</w:t>
      </w:r>
      <w:r w:rsidR="007576E4" w:rsidRPr="00080C52">
        <w:rPr>
          <w:b/>
        </w:rPr>
        <w:t>/</w:t>
      </w:r>
      <w:proofErr w:type="spellStart"/>
      <w:r w:rsidR="007576E4" w:rsidRPr="00080C52">
        <w:rPr>
          <w:b/>
        </w:rPr>
        <w:t>yr</w:t>
      </w:r>
      <w:proofErr w:type="spellEnd"/>
      <w:r w:rsidR="007576E4" w:rsidRPr="00080C52">
        <w:rPr>
          <w:b/>
        </w:rPr>
        <w:t>/cap</w:t>
      </w:r>
      <w:r w:rsidR="00D540FB">
        <w:t>.</w:t>
      </w:r>
    </w:p>
    <w:p w14:paraId="7F215DB1" w14:textId="3DEC80B9" w:rsidR="00E3588F" w:rsidRDefault="00BC5957" w:rsidP="00E3588F">
      <w:r>
        <w:t>Note that</w:t>
      </w:r>
      <w:r w:rsidR="00E60865">
        <w:t xml:space="preserve"> we’</w:t>
      </w:r>
      <w:r w:rsidR="002E0EC2">
        <w:t>ve used values currently reported in the literature for embodied energy of cookers and cold storage</w:t>
      </w:r>
      <w:r w:rsidR="00343DBE">
        <w:t>, and these are</w:t>
      </w:r>
      <w:r w:rsidR="002E0EC2">
        <w:t xml:space="preserve"> </w:t>
      </w:r>
      <w:r w:rsidR="00E60865">
        <w:rPr>
          <w:i/>
        </w:rPr>
        <w:t>not</w:t>
      </w:r>
      <w:r w:rsidR="002E0EC2">
        <w:t xml:space="preserve"> </w:t>
      </w:r>
      <w:r w:rsidR="00343DBE">
        <w:t>necessarily absolute best-practice values</w:t>
      </w:r>
      <w:r w:rsidR="002E0EC2">
        <w:t xml:space="preserve"> </w:t>
      </w:r>
      <w:r w:rsidR="00343DBE">
        <w:t>like</w:t>
      </w:r>
      <w:r w:rsidR="002E0EC2">
        <w:t xml:space="preserve"> we</w:t>
      </w:r>
      <w:r w:rsidR="00343DBE">
        <w:t>’ve</w:t>
      </w:r>
      <w:r w:rsidR="002E0EC2">
        <w:t xml:space="preserve"> </w:t>
      </w:r>
      <w:r w:rsidR="00343DBE">
        <w:t>used</w:t>
      </w:r>
      <w:r w:rsidR="002E0EC2">
        <w:t xml:space="preserve"> for other aspects of consumption. This potentially makes the</w:t>
      </w:r>
      <w:r w:rsidR="00343DBE">
        <w:t>se</w:t>
      </w:r>
      <w:r w:rsidR="002E0EC2">
        <w:t xml:space="preserve"> values overestimates</w:t>
      </w:r>
      <w:r w:rsidR="00FD7E0B">
        <w:t>, given the spirt of our model.</w:t>
      </w:r>
      <w:r w:rsidR="002E0EC2">
        <w:t xml:space="preserve"> </w:t>
      </w:r>
      <w:r w:rsidR="00FD7E0B">
        <w:t>However, the values</w:t>
      </w:r>
      <w:r w:rsidR="002E0EC2">
        <w:t xml:space="preserve"> are smaller enough </w:t>
      </w:r>
      <w:r w:rsidR="00343DBE">
        <w:t>for this to be</w:t>
      </w:r>
      <w:r w:rsidR="002E0EC2">
        <w:t xml:space="preserve"> </w:t>
      </w:r>
      <w:r w:rsidR="00343DBE">
        <w:t xml:space="preserve">a </w:t>
      </w:r>
      <w:r w:rsidR="002E0EC2">
        <w:t xml:space="preserve">negligible </w:t>
      </w:r>
      <w:r w:rsidR="00343DBE">
        <w:t xml:space="preserve">issue </w:t>
      </w:r>
      <w:r w:rsidR="002E0EC2">
        <w:t>overall.</w:t>
      </w:r>
    </w:p>
    <w:p w14:paraId="35130509" w14:textId="77777777" w:rsidR="00E3588F" w:rsidRDefault="00E3588F" w:rsidP="00E3588F"/>
    <w:p w14:paraId="2A61DEC0" w14:textId="68981127" w:rsidR="00914586" w:rsidRDefault="00914586" w:rsidP="00C91A23">
      <w:pPr>
        <w:pStyle w:val="Heading1"/>
      </w:pPr>
      <w:r w:rsidRPr="00AB4B9F">
        <w:t>Mobility</w:t>
      </w:r>
    </w:p>
    <w:p w14:paraId="0B2B2AC4" w14:textId="2B413D66" w:rsidR="002C4157" w:rsidRDefault="00C64F3C" w:rsidP="00A5581F">
      <w:pPr>
        <w:pStyle w:val="Heading2"/>
        <w:spacing w:before="80"/>
      </w:pPr>
      <w:r w:rsidRPr="00F33298">
        <w:t>Total</w:t>
      </w:r>
      <w:r w:rsidR="00D13D76" w:rsidRPr="00F33298">
        <w:t xml:space="preserve"> mobility requirements</w:t>
      </w:r>
    </w:p>
    <w:p w14:paraId="310718A5" w14:textId="720BC8AA" w:rsidR="00C34EE6" w:rsidRDefault="00EE62F8" w:rsidP="00C34EE6">
      <w:r>
        <w:rPr>
          <w:noProof/>
        </w:rPr>
        <w:t>Grubler</w:t>
      </w:r>
      <w:r w:rsidRPr="006D0C52">
        <w:rPr>
          <w:i/>
          <w:noProof/>
        </w:rPr>
        <w:t xml:space="preserve"> et al.</w:t>
      </w:r>
      <w:r w:rsidR="006A2825" w:rsidRPr="006A2825">
        <w:rPr>
          <w:noProof/>
          <w:vertAlign w:val="superscript"/>
        </w:rPr>
        <w:t>2</w:t>
      </w:r>
      <w:r w:rsidR="006D0C52">
        <w:t xml:space="preserve"> </w:t>
      </w:r>
      <w:r w:rsidR="001B0E8D">
        <w:t>cautiously suggest 7,000 km/capita</w:t>
      </w:r>
      <w:r w:rsidR="00595915">
        <w:t>/year</w:t>
      </w:r>
      <w:r w:rsidR="006D0C52">
        <w:t xml:space="preserve"> </w:t>
      </w:r>
      <w:r w:rsidR="00565CAF">
        <w:t>as a minimum</w:t>
      </w:r>
      <w:r w:rsidRPr="00EE62F8">
        <w:t xml:space="preserve"> </w:t>
      </w:r>
      <w:r>
        <w:t>for the total mobility people require</w:t>
      </w:r>
      <w:r w:rsidR="001B0E8D">
        <w:t xml:space="preserve">, </w:t>
      </w:r>
      <w:r w:rsidR="00595915">
        <w:t>as this</w:t>
      </w:r>
      <w:r w:rsidR="001B0E8D">
        <w:t xml:space="preserve"> </w:t>
      </w:r>
      <w:r w:rsidR="004A72A2">
        <w:t>level</w:t>
      </w:r>
      <w:r w:rsidR="004306B0">
        <w:t xml:space="preserve"> </w:t>
      </w:r>
      <w:r w:rsidR="00595915">
        <w:t xml:space="preserve">was </w:t>
      </w:r>
      <w:r w:rsidR="004306B0">
        <w:t>found</w:t>
      </w:r>
      <w:r w:rsidR="001B0E8D">
        <w:t xml:space="preserve"> in Japan in the late 1980s</w:t>
      </w:r>
      <w:r w:rsidR="008B634D">
        <w:t xml:space="preserve"> </w:t>
      </w:r>
      <w:r>
        <w:t>(</w:t>
      </w:r>
      <w:r w:rsidR="008B634D">
        <w:t>when</w:t>
      </w:r>
      <w:r w:rsidR="001B0E8D">
        <w:t xml:space="preserve"> the nation was already well developed</w:t>
      </w:r>
      <w:r>
        <w:t>)</w:t>
      </w:r>
      <w:r w:rsidR="008B634D">
        <w:t>. For comparison,</w:t>
      </w:r>
      <w:r w:rsidR="00670210">
        <w:t xml:space="preserve"> the IEA’s </w:t>
      </w:r>
      <w:r w:rsidR="00670210" w:rsidRPr="00670210">
        <w:rPr>
          <w:i/>
        </w:rPr>
        <w:t>2DS</w:t>
      </w:r>
      <w:r w:rsidR="008B634D">
        <w:t xml:space="preserve"> (</w:t>
      </w:r>
      <w:r w:rsidR="00670210" w:rsidRPr="00670210">
        <w:rPr>
          <w:i/>
        </w:rPr>
        <w:t>Two</w:t>
      </w:r>
      <w:r w:rsidR="001B0E8D" w:rsidRPr="00670210">
        <w:rPr>
          <w:i/>
        </w:rPr>
        <w:t xml:space="preserve"> </w:t>
      </w:r>
      <w:r w:rsidR="00670210">
        <w:rPr>
          <w:i/>
        </w:rPr>
        <w:t>D</w:t>
      </w:r>
      <w:r w:rsidR="001B0E8D" w:rsidRPr="00670210">
        <w:rPr>
          <w:i/>
        </w:rPr>
        <w:t xml:space="preserve">egrees </w:t>
      </w:r>
      <w:r w:rsidR="00670210">
        <w:rPr>
          <w:i/>
        </w:rPr>
        <w:t>S</w:t>
      </w:r>
      <w:r w:rsidR="00670210" w:rsidRPr="00670210">
        <w:rPr>
          <w:i/>
        </w:rPr>
        <w:t>cenario</w:t>
      </w:r>
      <w:r w:rsidR="008B634D">
        <w:t>)</w:t>
      </w:r>
      <w:r w:rsidR="00CA79E3">
        <w:t xml:space="preserve"> </w:t>
      </w:r>
      <w:r w:rsidR="00777870" w:rsidRPr="00777870">
        <w:rPr>
          <w:vertAlign w:val="superscript"/>
        </w:rPr>
        <w:t>35</w:t>
      </w:r>
      <w:r w:rsidR="008B634D">
        <w:t xml:space="preserve">projects </w:t>
      </w:r>
      <w:r w:rsidR="001B0E8D">
        <w:t xml:space="preserve">average annual mobility levels </w:t>
      </w:r>
      <w:r w:rsidR="00670210">
        <w:t xml:space="preserve">in 2025 </w:t>
      </w:r>
      <w:r w:rsidR="008B634D">
        <w:t>ranging</w:t>
      </w:r>
      <w:r w:rsidR="001B0E8D">
        <w:t xml:space="preserve"> from </w:t>
      </w:r>
      <w:r>
        <w:t>&lt;</w:t>
      </w:r>
      <w:r w:rsidR="00670210">
        <w:t>5</w:t>
      </w:r>
      <w:r w:rsidR="001B0E8D">
        <w:t>,000 km/cap</w:t>
      </w:r>
      <w:r w:rsidR="008B634D">
        <w:t xml:space="preserve"> in India</w:t>
      </w:r>
      <w:r w:rsidR="001B0E8D">
        <w:t xml:space="preserve"> to </w:t>
      </w:r>
      <w:r>
        <w:t>&gt;</w:t>
      </w:r>
      <w:r w:rsidR="001B0E8D">
        <w:t xml:space="preserve">20,000 km/cap </w:t>
      </w:r>
      <w:r w:rsidR="008B634D">
        <w:t xml:space="preserve">in </w:t>
      </w:r>
      <w:r w:rsidR="001B0E8D">
        <w:t>the USA</w:t>
      </w:r>
      <w:r w:rsidR="008B634D">
        <w:t xml:space="preserve"> (</w:t>
      </w:r>
      <w:r w:rsidR="00A5581F">
        <w:t>F</w:t>
      </w:r>
      <w:r w:rsidR="00670210">
        <w:t xml:space="preserve">igure </w:t>
      </w:r>
      <w:r w:rsidR="00977681">
        <w:t>4</w:t>
      </w:r>
      <w:r w:rsidR="001B0E8D">
        <w:t xml:space="preserve">). </w:t>
      </w:r>
      <w:r w:rsidR="00670210">
        <w:t>Moving forward</w:t>
      </w:r>
      <w:r w:rsidR="008B634D">
        <w:t xml:space="preserve"> from 2025</w:t>
      </w:r>
      <w:r w:rsidR="00670210">
        <w:t xml:space="preserve">, </w:t>
      </w:r>
      <w:r w:rsidR="00B31FE5" w:rsidRPr="00B31FE5">
        <w:rPr>
          <w:i/>
        </w:rPr>
        <w:t>2DS</w:t>
      </w:r>
      <w:r w:rsidR="00B31FE5">
        <w:t xml:space="preserve"> </w:t>
      </w:r>
      <w:r w:rsidR="00670210">
        <w:t xml:space="preserve">mobility </w:t>
      </w:r>
      <w:r w:rsidR="00B31FE5">
        <w:t>levels in the USA remain</w:t>
      </w:r>
      <w:r w:rsidR="00670210">
        <w:t xml:space="preserve"> </w:t>
      </w:r>
      <w:r w:rsidR="00A96097">
        <w:t xml:space="preserve">broadly </w:t>
      </w:r>
      <w:r w:rsidR="00670210">
        <w:t xml:space="preserve">similar, but </w:t>
      </w:r>
      <w:r w:rsidR="00A96097">
        <w:t>mobility</w:t>
      </w:r>
      <w:r w:rsidR="00670210">
        <w:t xml:space="preserve"> in India rises to nearly 10,000 km/cap, leaving </w:t>
      </w:r>
      <w:r w:rsidR="004306B0">
        <w:t xml:space="preserve">levels in </w:t>
      </w:r>
      <w:r w:rsidR="00670210">
        <w:t xml:space="preserve">Mexico </w:t>
      </w:r>
      <w:r w:rsidR="004306B0">
        <w:t xml:space="preserve">the </w:t>
      </w:r>
      <w:r w:rsidR="00670210">
        <w:t xml:space="preserve">lowest at </w:t>
      </w:r>
      <w:r>
        <w:t>~</w:t>
      </w:r>
      <w:r w:rsidR="00670210">
        <w:t xml:space="preserve">7,000 km/cap. The world average annual mobility rises from a current </w:t>
      </w:r>
      <w:r>
        <w:t>~</w:t>
      </w:r>
      <w:r w:rsidR="00670210">
        <w:t>7,000 km/cap</w:t>
      </w:r>
      <w:r w:rsidR="004A72A2">
        <w:t xml:space="preserve"> in 2014</w:t>
      </w:r>
      <w:r w:rsidR="00670210">
        <w:t xml:space="preserve"> to </w:t>
      </w:r>
      <w:r>
        <w:t>~</w:t>
      </w:r>
      <w:r w:rsidR="00670210">
        <w:t>10,000 km/cap</w:t>
      </w:r>
      <w:r w:rsidR="00467E9A">
        <w:t xml:space="preserve"> by 2060</w:t>
      </w:r>
      <w:r w:rsidR="00670210">
        <w:t>.</w:t>
      </w:r>
    </w:p>
    <w:p w14:paraId="4D6BD565" w14:textId="2CBCB936" w:rsidR="00C34EE6" w:rsidRDefault="00C34EE6" w:rsidP="00C34EE6">
      <w:r>
        <w:t>Given these trends, we take 7,000 and 10,000 km/cap as base estimates of mobility requirements in urban and rural areas, respectively (</w:t>
      </w:r>
      <w:r w:rsidR="00B31FE5">
        <w:t xml:space="preserve">each </w:t>
      </w:r>
      <w:r>
        <w:t xml:space="preserve">termed </w:t>
      </w:r>
      <w:proofErr w:type="spellStart"/>
      <w:r>
        <w:rPr>
          <w:i/>
        </w:rPr>
        <w:t>MOB</w:t>
      </w:r>
      <w:r w:rsidRPr="00EA5ADE">
        <w:rPr>
          <w:vertAlign w:val="subscript"/>
        </w:rPr>
        <w:t>base</w:t>
      </w:r>
      <w:proofErr w:type="spellEnd"/>
      <w:r>
        <w:t xml:space="preserve">). We then modify these to reflect </w:t>
      </w:r>
      <w:r w:rsidR="00EE62F8">
        <w:t xml:space="preserve">nations’ </w:t>
      </w:r>
      <w:r>
        <w:t>population densities,</w:t>
      </w:r>
      <w:r w:rsidRPr="009A0148">
        <w:t xml:space="preserve"> </w:t>
      </w:r>
      <w:r>
        <w:t>using a number of assumptions:</w:t>
      </w:r>
    </w:p>
    <w:p w14:paraId="3CE65B6F" w14:textId="44416722" w:rsidR="00C34EE6" w:rsidRDefault="00C34EE6" w:rsidP="004F7B93">
      <w:pPr>
        <w:pStyle w:val="ListParagraph"/>
        <w:numPr>
          <w:ilvl w:val="0"/>
          <w:numId w:val="15"/>
        </w:numPr>
        <w:ind w:left="426" w:hanging="284"/>
      </w:pPr>
      <w:r>
        <w:t>A proportion of mobility (</w:t>
      </w:r>
      <w:proofErr w:type="spellStart"/>
      <w:r w:rsidRPr="004F7B93">
        <w:rPr>
          <w:i/>
        </w:rPr>
        <w:t>f</w:t>
      </w:r>
      <w:r w:rsidRPr="004F7B93">
        <w:rPr>
          <w:vertAlign w:val="subscript"/>
        </w:rPr>
        <w:t>fixed</w:t>
      </w:r>
      <w:proofErr w:type="spellEnd"/>
      <w:r>
        <w:t xml:space="preserve">) is </w:t>
      </w:r>
      <w:r w:rsidRPr="004F7B93">
        <w:rPr>
          <w:i/>
        </w:rPr>
        <w:t>independent</w:t>
      </w:r>
      <w:r>
        <w:t xml:space="preserve"> of region, consisting of travel that does not depend upon local population density;</w:t>
      </w:r>
    </w:p>
    <w:p w14:paraId="6C4E7FB2" w14:textId="5BF2658D" w:rsidR="00C34EE6" w:rsidRDefault="00C34EE6" w:rsidP="004F7B93">
      <w:pPr>
        <w:pStyle w:val="ListParagraph"/>
        <w:numPr>
          <w:ilvl w:val="0"/>
          <w:numId w:val="15"/>
        </w:numPr>
        <w:ind w:left="426" w:hanging="284"/>
      </w:pPr>
      <w:r>
        <w:t>The remainder (</w:t>
      </w:r>
      <w:proofErr w:type="spellStart"/>
      <w:r w:rsidRPr="004F7B93">
        <w:rPr>
          <w:i/>
        </w:rPr>
        <w:t>f</w:t>
      </w:r>
      <w:r w:rsidRPr="004F7B93">
        <w:rPr>
          <w:vertAlign w:val="subscript"/>
        </w:rPr>
        <w:t>variable</w:t>
      </w:r>
      <w:proofErr w:type="spellEnd"/>
      <w:r>
        <w:t>) is inversely proportional to population density in the nation;</w:t>
      </w:r>
    </w:p>
    <w:p w14:paraId="1A85CFB8" w14:textId="17696503" w:rsidR="00C34EE6" w:rsidRDefault="00C34EE6" w:rsidP="004F7B93">
      <w:pPr>
        <w:pStyle w:val="ListParagraph"/>
        <w:numPr>
          <w:ilvl w:val="0"/>
          <w:numId w:val="15"/>
        </w:numPr>
        <w:ind w:left="426" w:hanging="284"/>
      </w:pPr>
      <w:r>
        <w:t xml:space="preserve">Population density is better captured by removing land that’s mostly uninhabited to give a </w:t>
      </w:r>
      <w:r w:rsidRPr="004F7B93">
        <w:rPr>
          <w:i/>
        </w:rPr>
        <w:t>lived density</w:t>
      </w:r>
      <w:r>
        <w:t xml:space="preserve"> (</w:t>
      </w:r>
      <w:r w:rsidRPr="004F7B93">
        <w:rPr>
          <w:i/>
        </w:rPr>
        <w:t>LD</w:t>
      </w:r>
      <w:r>
        <w:t xml:space="preserve">), which better </w:t>
      </w:r>
      <w:r w:rsidR="00B31FE5">
        <w:t>represents</w:t>
      </w:r>
      <w:r>
        <w:t xml:space="preserve"> that encountered by people in their daily lives</w:t>
      </w:r>
      <w:r>
        <w:rPr>
          <w:rStyle w:val="FootnoteReference"/>
        </w:rPr>
        <w:footnoteReference w:id="6"/>
      </w:r>
      <w:r>
        <w:t>.</w:t>
      </w:r>
    </w:p>
    <w:p w14:paraId="1A7E89A8" w14:textId="77777777" w:rsidR="00C34EE6" w:rsidRPr="00B440F6" w:rsidRDefault="00C34EE6" w:rsidP="00C34EE6">
      <w:r>
        <w:t>We combine these assumptions in the following equation:</w:t>
      </w:r>
    </w:p>
    <w:p w14:paraId="0373B446" w14:textId="630726B6" w:rsidR="00C34EE6" w:rsidRDefault="00C34EE6" w:rsidP="00C34EE6">
      <w:pPr>
        <w:jc w:val="center"/>
      </w:pPr>
      <w:proofErr w:type="spellStart"/>
      <w:proofErr w:type="gramStart"/>
      <w:r>
        <w:rPr>
          <w:i/>
        </w:rPr>
        <w:t>MOB</w:t>
      </w:r>
      <w:r>
        <w:rPr>
          <w:vertAlign w:val="subscript"/>
        </w:rPr>
        <w:t>n</w:t>
      </w:r>
      <w:proofErr w:type="spellEnd"/>
      <w:r>
        <w:t xml:space="preserve">  =</w:t>
      </w:r>
      <w:proofErr w:type="gramEnd"/>
      <w:r>
        <w:t xml:space="preserve">  </w:t>
      </w:r>
      <w:proofErr w:type="spellStart"/>
      <w:r>
        <w:rPr>
          <w:i/>
        </w:rPr>
        <w:t>MOB</w:t>
      </w:r>
      <w:r w:rsidRPr="00EA5ADE">
        <w:rPr>
          <w:vertAlign w:val="subscript"/>
        </w:rPr>
        <w:t>base</w:t>
      </w:r>
      <w:proofErr w:type="spellEnd"/>
      <w:r>
        <w:t xml:space="preserve"> × (</w:t>
      </w:r>
      <w:proofErr w:type="spellStart"/>
      <w:r w:rsidRPr="00EA5ADE">
        <w:rPr>
          <w:i/>
        </w:rPr>
        <w:t>f</w:t>
      </w:r>
      <w:r>
        <w:rPr>
          <w:vertAlign w:val="subscript"/>
        </w:rPr>
        <w:t>fixed</w:t>
      </w:r>
      <w:proofErr w:type="spellEnd"/>
      <w:r>
        <w:t xml:space="preserve"> + </w:t>
      </w:r>
      <w:proofErr w:type="spellStart"/>
      <w:r w:rsidRPr="00EA5ADE">
        <w:rPr>
          <w:i/>
        </w:rPr>
        <w:t>f</w:t>
      </w:r>
      <w:r>
        <w:rPr>
          <w:vertAlign w:val="subscript"/>
        </w:rPr>
        <w:t>variable</w:t>
      </w:r>
      <w:proofErr w:type="spellEnd"/>
      <w:r>
        <w:t xml:space="preserve"> × </w:t>
      </w:r>
      <w:proofErr w:type="spellStart"/>
      <w:r>
        <w:rPr>
          <w:i/>
        </w:rPr>
        <w:t>LD</w:t>
      </w:r>
      <w:r w:rsidR="006C4A31">
        <w:rPr>
          <w:vertAlign w:val="subscript"/>
        </w:rPr>
        <w:t>base</w:t>
      </w:r>
      <w:proofErr w:type="spellEnd"/>
      <w:r>
        <w:t>/</w:t>
      </w:r>
      <w:proofErr w:type="spellStart"/>
      <w:r>
        <w:rPr>
          <w:i/>
        </w:rPr>
        <w:t>LD</w:t>
      </w:r>
      <w:r>
        <w:rPr>
          <w:vertAlign w:val="subscript"/>
        </w:rPr>
        <w:t>n</w:t>
      </w:r>
      <w:proofErr w:type="spellEnd"/>
      <w:r>
        <w:t>),</w:t>
      </w:r>
    </w:p>
    <w:p w14:paraId="2339A943" w14:textId="761F24E9" w:rsidR="00E3588F" w:rsidRDefault="00E3588F" w:rsidP="00595915">
      <w:pPr>
        <w:ind w:left="113" w:right="6900" w:hanging="113"/>
      </w:pPr>
      <w:r w:rsidRPr="008F6F9C">
        <w:rPr>
          <w:noProof/>
          <w:lang w:eastAsia="en-GB"/>
        </w:rPr>
        <w:lastRenderedPageBreak/>
        <w:drawing>
          <wp:anchor distT="0" distB="0" distL="114300" distR="114300" simplePos="0" relativeHeight="251697152" behindDoc="0" locked="0" layoutInCell="1" allowOverlap="1" wp14:anchorId="5FB19B22" wp14:editId="63240386">
            <wp:simplePos x="0" y="0"/>
            <wp:positionH relativeFrom="margin">
              <wp:posOffset>1330960</wp:posOffset>
            </wp:positionH>
            <wp:positionV relativeFrom="paragraph">
              <wp:posOffset>535</wp:posOffset>
            </wp:positionV>
            <wp:extent cx="4394200" cy="2360295"/>
            <wp:effectExtent l="0" t="0" r="635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t="2666" b="1760"/>
                    <a:stretch/>
                  </pic:blipFill>
                  <pic:spPr bwMode="auto">
                    <a:xfrm>
                      <a:off x="0" y="0"/>
                      <a:ext cx="4394200" cy="2360295"/>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588F">
        <w:rPr>
          <w:b/>
        </w:rPr>
        <w:t xml:space="preserve"> </w:t>
      </w:r>
      <w:r w:rsidRPr="00605352">
        <w:rPr>
          <w:b/>
        </w:rPr>
        <w:t xml:space="preserve">Figure </w:t>
      </w:r>
      <w:r>
        <w:rPr>
          <w:b/>
        </w:rPr>
        <w:t>4</w:t>
      </w:r>
      <w:r w:rsidRPr="00605352">
        <w:rPr>
          <w:b/>
        </w:rPr>
        <w:t>:</w:t>
      </w:r>
      <w:r>
        <w:t xml:space="preserve">  Annual average mobility in the main regions of the IEA’s </w:t>
      </w:r>
      <w:r w:rsidRPr="00605352">
        <w:rPr>
          <w:i/>
        </w:rPr>
        <w:t>Energy Technology Perspectives</w:t>
      </w:r>
      <w:r>
        <w:t xml:space="preserve"> 2017, for the central </w:t>
      </w:r>
      <w:r w:rsidRPr="00605352">
        <w:rPr>
          <w:i/>
        </w:rPr>
        <w:t>2DS</w:t>
      </w:r>
      <w:r>
        <w:t xml:space="preserve"> projections.</w:t>
      </w:r>
      <w:r w:rsidRPr="008F6F9C">
        <w:t xml:space="preserve"> </w:t>
      </w:r>
    </w:p>
    <w:p w14:paraId="483C1B44" w14:textId="17149499" w:rsidR="00E3588F" w:rsidRDefault="00E3588F" w:rsidP="00C34EE6"/>
    <w:p w14:paraId="3173B1A5" w14:textId="77777777" w:rsidR="00E3588F" w:rsidRDefault="00E3588F" w:rsidP="00C34EE6"/>
    <w:p w14:paraId="4AB8AF72" w14:textId="77777777" w:rsidR="00E3588F" w:rsidRDefault="00E3588F" w:rsidP="00C34EE6"/>
    <w:p w14:paraId="442CAC26" w14:textId="77777777" w:rsidR="00595915" w:rsidRDefault="00595915" w:rsidP="00595915">
      <w:pPr>
        <w:spacing w:after="0"/>
      </w:pPr>
    </w:p>
    <w:p w14:paraId="08D7846D" w14:textId="16E75821" w:rsidR="00C34EE6" w:rsidRDefault="00C34EE6" w:rsidP="00C34EE6">
      <w:r>
        <w:t xml:space="preserve">where the subscript </w:t>
      </w:r>
      <w:r>
        <w:rPr>
          <w:i/>
        </w:rPr>
        <w:t>n</w:t>
      </w:r>
      <w:r>
        <w:t xml:space="preserve"> references a </w:t>
      </w:r>
      <w:proofErr w:type="gramStart"/>
      <w:r>
        <w:t>particular nation</w:t>
      </w:r>
      <w:proofErr w:type="gramEnd"/>
      <w:r>
        <w:t xml:space="preserve">. </w:t>
      </w:r>
      <w:r w:rsidR="006C4A31">
        <w:t>For the base</w:t>
      </w:r>
      <w:r>
        <w:t xml:space="preserve"> lived density </w:t>
      </w:r>
      <w:r w:rsidR="006C4A31">
        <w:t xml:space="preserve">we use the </w:t>
      </w:r>
      <w:r w:rsidR="008B634D">
        <w:t>median</w:t>
      </w:r>
      <w:r w:rsidR="006C4A31">
        <w:t xml:space="preserve"> of our data</w:t>
      </w:r>
      <w:r w:rsidR="008B634D">
        <w:t xml:space="preserve"> –</w:t>
      </w:r>
      <w:r w:rsidR="00FC4616">
        <w:t xml:space="preserve"> </w:t>
      </w:r>
      <w:r w:rsidR="006C4A31">
        <w:t>189 persons/km</w:t>
      </w:r>
      <w:r w:rsidR="006C4A31" w:rsidRPr="006C4A31">
        <w:rPr>
          <w:vertAlign w:val="superscript"/>
        </w:rPr>
        <w:t>2</w:t>
      </w:r>
      <w:r w:rsidR="00FC4616">
        <w:t>.</w:t>
      </w:r>
      <w:r>
        <w:t xml:space="preserve"> </w:t>
      </w:r>
      <w:r w:rsidR="00FC4616">
        <w:t>W</w:t>
      </w:r>
      <w:r>
        <w:t xml:space="preserve">e assume a value for </w:t>
      </w:r>
      <w:proofErr w:type="spellStart"/>
      <w:r w:rsidRPr="00EA5ADE">
        <w:rPr>
          <w:i/>
        </w:rPr>
        <w:t>f</w:t>
      </w:r>
      <w:r>
        <w:rPr>
          <w:vertAlign w:val="subscript"/>
        </w:rPr>
        <w:t>variable</w:t>
      </w:r>
      <w:proofErr w:type="spellEnd"/>
      <w:r w:rsidR="006C4A31">
        <w:t xml:space="preserve"> of </w:t>
      </w:r>
      <w:r>
        <w:t>5</w:t>
      </w:r>
      <w:r w:rsidR="006C4A31">
        <w:t>0</w:t>
      </w:r>
      <w:r>
        <w:t>%</w:t>
      </w:r>
      <w:r w:rsidR="00FC4616">
        <w:t>,</w:t>
      </w:r>
      <w:r>
        <w:t xml:space="preserve"> </w:t>
      </w:r>
      <w:r w:rsidR="00FC4616">
        <w:t>making</w:t>
      </w:r>
      <w:r>
        <w:t xml:space="preserve"> </w:t>
      </w:r>
      <w:proofErr w:type="spellStart"/>
      <w:r w:rsidRPr="00EA5ADE">
        <w:rPr>
          <w:i/>
        </w:rPr>
        <w:t>f</w:t>
      </w:r>
      <w:r>
        <w:rPr>
          <w:vertAlign w:val="subscript"/>
        </w:rPr>
        <w:t>fixed</w:t>
      </w:r>
      <w:proofErr w:type="spellEnd"/>
      <w:r w:rsidR="006C4A31">
        <w:t xml:space="preserve"> also </w:t>
      </w:r>
      <w:r>
        <w:t>5</w:t>
      </w:r>
      <w:r w:rsidR="006C4A31">
        <w:t>0%.</w:t>
      </w:r>
      <w:r>
        <w:t xml:space="preserve"> </w:t>
      </w:r>
      <w:r w:rsidR="003C7577">
        <w:t>The model has little</w:t>
      </w:r>
      <w:r>
        <w:t xml:space="preserve"> sensitivity to th</w:t>
      </w:r>
      <w:r w:rsidR="006C4A31">
        <w:t>e</w:t>
      </w:r>
      <w:r>
        <w:t>s</w:t>
      </w:r>
      <w:r w:rsidR="006C4A31">
        <w:t>e</w:t>
      </w:r>
      <w:r>
        <w:t xml:space="preserve"> relatively arbitrary assumption</w:t>
      </w:r>
      <w:r w:rsidR="006C4A31">
        <w:t>s</w:t>
      </w:r>
      <w:r>
        <w:t>.</w:t>
      </w:r>
    </w:p>
    <w:p w14:paraId="601120D6" w14:textId="3619F79E" w:rsidR="004F7B93" w:rsidRDefault="004F7B93" w:rsidP="004F7B93">
      <w:pPr>
        <w:rPr>
          <w:i/>
        </w:rPr>
      </w:pPr>
      <w:r>
        <w:t>To calculate lived densities</w:t>
      </w:r>
      <w:r w:rsidR="00C34EE6">
        <w:t xml:space="preserve"> for each country, we use standard population </w:t>
      </w:r>
      <w:r>
        <w:t>density figures and modify them</w:t>
      </w:r>
      <w:r w:rsidR="00C34EE6">
        <w:t xml:space="preserve"> by assuming only agricultural and urban </w:t>
      </w:r>
      <w:r w:rsidR="00B31FE5">
        <w:t>land is significantly inhabited.</w:t>
      </w:r>
      <w:r>
        <w:t xml:space="preserve"> </w:t>
      </w:r>
      <w:r w:rsidR="00B31FE5">
        <w:t>S</w:t>
      </w:r>
      <w:r>
        <w:t>pecifically,</w:t>
      </w:r>
      <w:r w:rsidR="00C34EE6">
        <w:t xml:space="preserve"> </w:t>
      </w:r>
      <w:r>
        <w:t>w</w:t>
      </w:r>
      <w:r w:rsidR="00C34EE6">
        <w:t>e take population density from the World Bank databank, and add a correction factor that removes land that is neither urban nor agricultural (values for which are also available from the World Bank):</w:t>
      </w:r>
      <w:r w:rsidRPr="004F7B93">
        <w:rPr>
          <w:i/>
        </w:rPr>
        <w:t xml:space="preserve"> </w:t>
      </w:r>
    </w:p>
    <w:p w14:paraId="2A427A39" w14:textId="2847A852" w:rsidR="004F7B93" w:rsidRDefault="004F7B93" w:rsidP="00595915">
      <w:pPr>
        <w:spacing w:after="0"/>
        <w:jc w:val="center"/>
      </w:pPr>
      <w:r>
        <w:rPr>
          <w:i/>
        </w:rPr>
        <w:t xml:space="preserve">LD   </w:t>
      </w:r>
      <w:r>
        <w:t xml:space="preserve">=   </w:t>
      </w:r>
      <w:r>
        <w:rPr>
          <w:i/>
        </w:rPr>
        <w:t>Population</w:t>
      </w:r>
      <w:r>
        <w:t xml:space="preserve"> </w:t>
      </w:r>
      <w:r w:rsidRPr="00F661D4">
        <w:rPr>
          <w:i/>
        </w:rPr>
        <w:t>Density</w:t>
      </w:r>
      <w:r>
        <w:rPr>
          <w:i/>
        </w:rPr>
        <w:t xml:space="preserve"> </w:t>
      </w:r>
      <w:r>
        <w:t xml:space="preserve">× </w:t>
      </w:r>
      <w:r w:rsidRPr="007A04E1">
        <w:rPr>
          <w:i/>
        </w:rPr>
        <w:t>Total land area</w:t>
      </w:r>
      <w:r>
        <w:t xml:space="preserve"> / </w:t>
      </w:r>
      <w:r w:rsidRPr="007A04E1">
        <w:rPr>
          <w:i/>
        </w:rPr>
        <w:t>Inhabited land area</w:t>
      </w:r>
      <w:r>
        <w:t>,</w:t>
      </w:r>
    </w:p>
    <w:p w14:paraId="4EFFF667" w14:textId="2CBCB92E" w:rsidR="00C34EE6" w:rsidRDefault="004F7B93" w:rsidP="00595915">
      <w:pPr>
        <w:jc w:val="center"/>
      </w:pPr>
      <w:r w:rsidRPr="007A04E1">
        <w:rPr>
          <w:i/>
        </w:rPr>
        <w:t>Inhabited land area</w:t>
      </w:r>
      <w:r>
        <w:t xml:space="preserve"> = </w:t>
      </w:r>
      <w:r w:rsidRPr="007A04E1">
        <w:rPr>
          <w:i/>
        </w:rPr>
        <w:t>Agricultural land area</w:t>
      </w:r>
      <w:r>
        <w:t xml:space="preserve"> + </w:t>
      </w:r>
      <w:r w:rsidRPr="007A04E1">
        <w:rPr>
          <w:i/>
        </w:rPr>
        <w:t>Urban land area</w:t>
      </w:r>
      <w:r>
        <w:t>.</w:t>
      </w:r>
    </w:p>
    <w:p w14:paraId="5AD55AC8" w14:textId="61AC2C93" w:rsidR="00AB4B9F" w:rsidRDefault="00515628" w:rsidP="00AB4B9F">
      <w:r>
        <w:t xml:space="preserve">A final assumption we make is to give </w:t>
      </w:r>
      <w:r>
        <w:rPr>
          <w:i/>
        </w:rPr>
        <w:t>LD</w:t>
      </w:r>
      <w:r>
        <w:t xml:space="preserve"> an upper limit, so as not to create outliers in nations with very low densities. We allow mobility to rise to 150% of the base values of 7,000 and 10,000 km/cap. At the other end of the scale, the lowest calculated values of </w:t>
      </w:r>
      <w:r w:rsidRPr="008F6F9C">
        <w:rPr>
          <w:i/>
        </w:rPr>
        <w:t>LD</w:t>
      </w:r>
      <w:r>
        <w:t xml:space="preserve"> lie at ≈</w:t>
      </w:r>
      <w:r w:rsidR="00721783">
        <w:rPr>
          <w:color w:val="FFFFFF" w:themeColor="background1"/>
          <w:sz w:val="14"/>
        </w:rPr>
        <w:t>\</w:t>
      </w:r>
      <w:r>
        <w:t>7</w:t>
      </w:r>
      <w:r w:rsidR="00FA624C">
        <w:t>0</w:t>
      </w:r>
      <w:r>
        <w:t>% of the base values (in the high-density city-states of Hong Kong and Singapore). This 7</w:t>
      </w:r>
      <w:r w:rsidR="00FA624C">
        <w:t>0</w:t>
      </w:r>
      <w:r w:rsidR="00A10096">
        <w:t xml:space="preserve">% to </w:t>
      </w:r>
      <w:r>
        <w:t>150% range is very similar to that existing i</w:t>
      </w:r>
      <w:r w:rsidR="00A10096">
        <w:t>n 2060 across the IEA’s regions, if the outl</w:t>
      </w:r>
      <w:r w:rsidR="00EE62F8">
        <w:t>ying USA values are discounted</w:t>
      </w:r>
      <w:r>
        <w:t xml:space="preserve"> </w:t>
      </w:r>
      <w:r w:rsidR="00EE62F8">
        <w:t>(</w:t>
      </w:r>
      <w:r>
        <w:t>69%</w:t>
      </w:r>
      <w:r w:rsidR="00A10096">
        <w:t xml:space="preserve"> to </w:t>
      </w:r>
      <w:r>
        <w:t xml:space="preserve">157%, as shown in </w:t>
      </w:r>
      <w:r w:rsidR="00A5581F">
        <w:t>F</w:t>
      </w:r>
      <w:r>
        <w:t xml:space="preserve">igure </w:t>
      </w:r>
      <w:r w:rsidR="00977681">
        <w:t>4</w:t>
      </w:r>
      <w:r w:rsidR="00EE62F8">
        <w:t>)</w:t>
      </w:r>
      <w:r w:rsidR="00A10096">
        <w:t>.</w:t>
      </w:r>
    </w:p>
    <w:p w14:paraId="1D6BC355" w14:textId="24FAA5A6" w:rsidR="00515628" w:rsidRDefault="00AB4B9F" w:rsidP="00515628">
      <w:r>
        <w:t>In summary, these calculations give annual mobility requiremen</w:t>
      </w:r>
      <w:r w:rsidR="00EE62F8">
        <w:t xml:space="preserve">ts in each nation ranging from </w:t>
      </w:r>
      <w:r>
        <w:t>4,900 to the upper limit of 15,000 km/capita</w:t>
      </w:r>
      <w:r w:rsidR="00595915">
        <w:t xml:space="preserve"> (</w:t>
      </w:r>
      <w:r>
        <w:t>Figure 5</w:t>
      </w:r>
      <w:r w:rsidR="00595915">
        <w:t>)</w:t>
      </w:r>
      <w:r>
        <w:t xml:space="preserve">. Roughly the same number of countries are found </w:t>
      </w:r>
      <w:r w:rsidR="00B31FE5">
        <w:t>at the</w:t>
      </w:r>
      <w:r>
        <w:t xml:space="preserve"> maximum </w:t>
      </w:r>
      <w:r w:rsidR="00B31FE5">
        <w:t>level</w:t>
      </w:r>
      <w:r>
        <w:t xml:space="preserve"> </w:t>
      </w:r>
      <w:r w:rsidRPr="00167AFD">
        <w:t xml:space="preserve">as </w:t>
      </w:r>
      <w:r w:rsidR="00B31FE5">
        <w:t>at the</w:t>
      </w:r>
      <w:r w:rsidRPr="00167AFD">
        <w:t xml:space="preserve"> minimum</w:t>
      </w:r>
      <w:r w:rsidR="00B31FE5">
        <w:t xml:space="preserve"> </w:t>
      </w:r>
      <w:r w:rsidR="00EE62F8">
        <w:t>(</w:t>
      </w:r>
      <w:r w:rsidR="00167AFD">
        <w:t xml:space="preserve">23 and </w:t>
      </w:r>
      <w:r w:rsidRPr="00167AFD">
        <w:t>22</w:t>
      </w:r>
      <w:r w:rsidR="00167AFD">
        <w:t>, respectively</w:t>
      </w:r>
      <w:r w:rsidR="00EE62F8">
        <w:t xml:space="preserve">) </w:t>
      </w:r>
      <w:r w:rsidR="00B31FE5">
        <w:t>which leaves</w:t>
      </w:r>
      <w:r w:rsidRPr="00167AFD">
        <w:t xml:space="preserve"> 7</w:t>
      </w:r>
      <w:r w:rsidR="00167AFD">
        <w:t>4</w:t>
      </w:r>
      <w:r w:rsidRPr="00167AFD">
        <w:t xml:space="preserve"> </w:t>
      </w:r>
      <w:r>
        <w:t>countries with mobility levels in between. The total, global average mobility calculated using 2050 population data comes out</w:t>
      </w:r>
      <w:r w:rsidR="00EE62F8">
        <w:t xml:space="preserve"> at just over 10,000 km/capita – </w:t>
      </w:r>
      <w:r>
        <w:t xml:space="preserve">almost identical to the IEA </w:t>
      </w:r>
      <w:r w:rsidR="00EE62F8">
        <w:t xml:space="preserve">2050 </w:t>
      </w:r>
      <w:r>
        <w:t xml:space="preserve">global average, but the distribution in our model </w:t>
      </w:r>
      <w:r w:rsidR="00EE62F8">
        <w:t xml:space="preserve">reflects needs, not pre-existing patterns of demand, thus </w:t>
      </w:r>
      <w:r>
        <w:t>is more equal</w:t>
      </w:r>
      <w:r w:rsidR="00656DB6">
        <w:t>.</w:t>
      </w:r>
    </w:p>
    <w:p w14:paraId="27BF1720" w14:textId="3EB1A8F9" w:rsidR="005576B3" w:rsidRDefault="00595915" w:rsidP="007F4759">
      <w:pPr>
        <w:spacing w:before="360"/>
        <w:ind w:left="113" w:right="5340" w:hanging="113"/>
      </w:pPr>
      <w:r w:rsidRPr="00515628">
        <w:rPr>
          <w:b/>
          <w:noProof/>
          <w:lang w:eastAsia="en-GB"/>
        </w:rPr>
        <w:drawing>
          <wp:anchor distT="0" distB="0" distL="114300" distR="114300" simplePos="0" relativeHeight="251669504" behindDoc="0" locked="0" layoutInCell="1" allowOverlap="1" wp14:anchorId="238C50F8" wp14:editId="1DFC66D5">
            <wp:simplePos x="0" y="0"/>
            <wp:positionH relativeFrom="margin">
              <wp:posOffset>2531110</wp:posOffset>
            </wp:positionH>
            <wp:positionV relativeFrom="paragraph">
              <wp:posOffset>132180</wp:posOffset>
            </wp:positionV>
            <wp:extent cx="3190875" cy="228854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 t="1876" r="1772" b="233"/>
                    <a:stretch/>
                  </pic:blipFill>
                  <pic:spPr bwMode="auto">
                    <a:xfrm>
                      <a:off x="0" y="0"/>
                      <a:ext cx="3190875" cy="2288540"/>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8F6F9C" w:rsidRPr="00515628">
        <w:rPr>
          <w:b/>
        </w:rPr>
        <w:t>F</w:t>
      </w:r>
      <w:r w:rsidR="008F6F9C" w:rsidRPr="00605352">
        <w:rPr>
          <w:b/>
        </w:rPr>
        <w:t xml:space="preserve">igure </w:t>
      </w:r>
      <w:r w:rsidR="00977681">
        <w:rPr>
          <w:b/>
        </w:rPr>
        <w:t>5</w:t>
      </w:r>
      <w:r w:rsidR="008F6F9C" w:rsidRPr="00605352">
        <w:rPr>
          <w:b/>
        </w:rPr>
        <w:t>:</w:t>
      </w:r>
      <w:r w:rsidR="008F6F9C">
        <w:t xml:space="preserve">  </w:t>
      </w:r>
      <w:r w:rsidR="00A778F4">
        <w:t>A</w:t>
      </w:r>
      <w:r w:rsidR="008F6F9C">
        <w:t xml:space="preserve">nnual mobility </w:t>
      </w:r>
      <w:r w:rsidR="00D05D21">
        <w:t xml:space="preserve">requirements </w:t>
      </w:r>
      <w:r w:rsidR="00D55563">
        <w:t>for all nations, shown for urban and rural regions, and plotted against ‘lived’ population density.</w:t>
      </w:r>
      <w:r w:rsidR="008F6F9C" w:rsidRPr="008F6F9C">
        <w:t xml:space="preserve"> </w:t>
      </w:r>
      <w:r w:rsidR="00A778F4">
        <w:t xml:space="preserve">The black line </w:t>
      </w:r>
      <w:r w:rsidR="007F4759">
        <w:t>is the</w:t>
      </w:r>
      <w:r w:rsidR="00A778F4">
        <w:t xml:space="preserve"> probability density function of lived densities for all </w:t>
      </w:r>
      <w:r w:rsidR="007F4759">
        <w:t xml:space="preserve">119 </w:t>
      </w:r>
      <w:r w:rsidR="00A778F4">
        <w:t>regions.</w:t>
      </w:r>
      <w:r w:rsidR="00A778F4" w:rsidRPr="00A778F4">
        <w:t xml:space="preserve"> </w:t>
      </w:r>
      <w:r w:rsidR="00A778F4">
        <w:t>Note: Data for Hong Kong, Tai</w:t>
      </w:r>
      <w:r w:rsidR="007F4759">
        <w:t>wan and Singapore are not shown:</w:t>
      </w:r>
      <w:r w:rsidR="00A778F4">
        <w:t xml:space="preserve"> their</w:t>
      </w:r>
      <w:r w:rsidR="007F4759">
        <w:t xml:space="preserve"> </w:t>
      </w:r>
      <w:r w:rsidR="00A778F4">
        <w:t xml:space="preserve">lived densities are </w:t>
      </w:r>
      <w:r w:rsidR="007F4759">
        <w:t xml:space="preserve">exceptionally high at </w:t>
      </w:r>
      <w:r w:rsidR="00A778F4">
        <w:t>7,000-8,000 persons/km</w:t>
      </w:r>
      <w:r w:rsidR="00A778F4" w:rsidRPr="005D5A25">
        <w:rPr>
          <w:vertAlign w:val="superscript"/>
        </w:rPr>
        <w:t>2</w:t>
      </w:r>
      <w:r w:rsidR="00A778F4">
        <w:t xml:space="preserve"> </w:t>
      </w:r>
      <w:r w:rsidR="007F4759">
        <w:t>(but their mobility remains at the specified minimums)</w:t>
      </w:r>
      <w:r w:rsidR="00A778F4">
        <w:t>.</w:t>
      </w:r>
    </w:p>
    <w:p w14:paraId="42A50CBB" w14:textId="77777777" w:rsidR="00F53ED9" w:rsidRPr="00C9192C" w:rsidRDefault="00F53ED9" w:rsidP="00F53ED9">
      <w:pPr>
        <w:pStyle w:val="NoSpacing"/>
        <w:rPr>
          <w:sz w:val="12"/>
        </w:rPr>
      </w:pPr>
    </w:p>
    <w:p w14:paraId="07AB3675" w14:textId="540AEFF9" w:rsidR="00914586" w:rsidRDefault="00C64F3C" w:rsidP="000F0AE9">
      <w:pPr>
        <w:pStyle w:val="Heading2"/>
      </w:pPr>
      <w:r>
        <w:lastRenderedPageBreak/>
        <w:t>Mode share assumptions</w:t>
      </w:r>
    </w:p>
    <w:p w14:paraId="5E50A3FA" w14:textId="6FA6890D" w:rsidR="0038734E" w:rsidRDefault="00857637" w:rsidP="00914586">
      <w:r>
        <w:t xml:space="preserve">With total mobility levels estimated, it is then necessary to </w:t>
      </w:r>
      <w:r w:rsidR="00515E68">
        <w:t>specify the mode share</w:t>
      </w:r>
      <w:r>
        <w:t xml:space="preserve"> and the energy intensity of each mode. Below we describe both of these steps</w:t>
      </w:r>
      <w:r w:rsidR="000D1CA7">
        <w:t>,</w:t>
      </w:r>
      <w:r>
        <w:t xml:space="preserve"> for each mode in turn.</w:t>
      </w:r>
      <w:r w:rsidR="006F08F9">
        <w:t xml:space="preserve"> We describe non-motorised and air transport first, as we assume the distance travelled per capita via these is </w:t>
      </w:r>
      <w:r w:rsidR="004A72A2">
        <w:t>independent of</w:t>
      </w:r>
      <w:r w:rsidR="00B31FE5">
        <w:t xml:space="preserve"> lived density (and hence of</w:t>
      </w:r>
      <w:r w:rsidR="004A72A2">
        <w:t xml:space="preserve"> nation</w:t>
      </w:r>
      <w:r w:rsidR="00B31FE5">
        <w:t>)</w:t>
      </w:r>
      <w:r w:rsidR="004A72A2">
        <w:t xml:space="preserve">, </w:t>
      </w:r>
      <w:r w:rsidR="006F08F9">
        <w:t xml:space="preserve">and </w:t>
      </w:r>
      <w:r w:rsidR="00432E82">
        <w:t>equal</w:t>
      </w:r>
      <w:r w:rsidR="004A72A2">
        <w:t xml:space="preserve"> in urban and</w:t>
      </w:r>
      <w:r w:rsidR="006F08F9">
        <w:t xml:space="preserve"> rural </w:t>
      </w:r>
      <w:r w:rsidR="00B31FE5">
        <w:t>areas</w:t>
      </w:r>
      <w:r w:rsidR="006F08F9">
        <w:t>.</w:t>
      </w:r>
    </w:p>
    <w:p w14:paraId="3A9B9024" w14:textId="20272BF4" w:rsidR="00C64F3C" w:rsidRDefault="00C83208" w:rsidP="00C64F3C">
      <w:r>
        <w:rPr>
          <w:b/>
        </w:rPr>
        <w:t>Non-motorised</w:t>
      </w:r>
      <w:r w:rsidR="00C64F3C" w:rsidRPr="00C64F3C">
        <w:rPr>
          <w:b/>
        </w:rPr>
        <w:t xml:space="preserve"> transport</w:t>
      </w:r>
      <w:r w:rsidR="00C64F3C">
        <w:rPr>
          <w:b/>
        </w:rPr>
        <w:t xml:space="preserve">:  </w:t>
      </w:r>
      <w:r w:rsidR="00857637" w:rsidRPr="00857637">
        <w:t>The most</w:t>
      </w:r>
      <w:r w:rsidR="00857637">
        <w:rPr>
          <w:b/>
        </w:rPr>
        <w:t xml:space="preserve"> </w:t>
      </w:r>
      <w:r w:rsidR="00B31FE5">
        <w:t>low-energy modes of transport are</w:t>
      </w:r>
      <w:r w:rsidR="00857637">
        <w:t xml:space="preserve"> non-motorised forms, i.e. walking and cycling. We assume an average non-motorised distance travelled of 4km/capita/day, which equates to just over </w:t>
      </w:r>
      <w:r w:rsidR="00857637" w:rsidRPr="00A9240B">
        <w:rPr>
          <w:b/>
        </w:rPr>
        <w:t>1,000</w:t>
      </w:r>
      <w:r w:rsidR="00A9240B" w:rsidRPr="00A9240B">
        <w:rPr>
          <w:b/>
        </w:rPr>
        <w:t xml:space="preserve"> </w:t>
      </w:r>
      <w:r w:rsidR="00857637" w:rsidRPr="00A9240B">
        <w:rPr>
          <w:b/>
        </w:rPr>
        <w:t>km/capita</w:t>
      </w:r>
      <w:r w:rsidR="00C86CF4">
        <w:t xml:space="preserve"> annually</w:t>
      </w:r>
      <w:r w:rsidR="003F64C9">
        <w:t>.</w:t>
      </w:r>
    </w:p>
    <w:p w14:paraId="66D5814E" w14:textId="669C7D0E" w:rsidR="00C83208" w:rsidRDefault="00C83208" w:rsidP="00C83208">
      <w:r w:rsidRPr="00C64F3C">
        <w:rPr>
          <w:b/>
        </w:rPr>
        <w:t>Air transport</w:t>
      </w:r>
      <w:r>
        <w:rPr>
          <w:b/>
        </w:rPr>
        <w:t>:</w:t>
      </w:r>
      <w:r>
        <w:t xml:space="preserve">  At the other end of the scale is air-transport – the most energy</w:t>
      </w:r>
      <w:r w:rsidR="00060C4A">
        <w:t>-</w:t>
      </w:r>
      <w:r>
        <w:t>intens</w:t>
      </w:r>
      <w:r w:rsidR="00060C4A">
        <w:t>ive</w:t>
      </w:r>
      <w:r>
        <w:t xml:space="preserve"> means of travel. Nonetheless, we retain some flying in our scenarios.</w:t>
      </w:r>
      <w:r w:rsidR="0004248D">
        <w:t xml:space="preserve"> S</w:t>
      </w:r>
      <w:r>
        <w:t>hort-haul flights are</w:t>
      </w:r>
      <w:r w:rsidR="0004248D">
        <w:t xml:space="preserve"> normally</w:t>
      </w:r>
      <w:r>
        <w:t xml:space="preserve"> </w:t>
      </w:r>
      <w:r w:rsidR="007E3B41">
        <w:t>considered</w:t>
      </w:r>
      <w:r>
        <w:t xml:space="preserve"> to be</w:t>
      </w:r>
      <w:r w:rsidR="007E3B41">
        <w:t xml:space="preserve"> those</w:t>
      </w:r>
      <w:r>
        <w:t xml:space="preserve"> &lt;1,000 miles, and medium-haul 1,000-3,000 miles. We thus assume roughly one short- to medium-haul return flight</w:t>
      </w:r>
      <w:r w:rsidR="005C5226">
        <w:t xml:space="preserve"> every three years per person, i.e.</w:t>
      </w:r>
      <w:r w:rsidR="0004248D">
        <w:t xml:space="preserve"> </w:t>
      </w:r>
      <w:r>
        <w:t xml:space="preserve">two 1,000 mile flights, </w:t>
      </w:r>
      <w:r w:rsidR="005C5226">
        <w:t xml:space="preserve">or </w:t>
      </w:r>
      <w:r>
        <w:t xml:space="preserve">just over </w:t>
      </w:r>
      <w:r w:rsidRPr="00A9240B">
        <w:rPr>
          <w:b/>
        </w:rPr>
        <w:t>1,000 km/capita</w:t>
      </w:r>
      <w:r w:rsidR="00C86CF4">
        <w:t xml:space="preserve"> </w:t>
      </w:r>
      <w:r w:rsidR="0004248D">
        <w:t xml:space="preserve">annually </w:t>
      </w:r>
      <w:r>
        <w:t xml:space="preserve">(i.e. 2 </w:t>
      </w:r>
      <w:r>
        <w:rPr>
          <w:rFonts w:cstheme="minorHAnsi"/>
        </w:rPr>
        <w:t xml:space="preserve">× </w:t>
      </w:r>
      <w:r>
        <w:t xml:space="preserve">1,000 </w:t>
      </w:r>
      <w:r>
        <w:rPr>
          <w:rFonts w:cstheme="minorHAnsi"/>
        </w:rPr>
        <w:t xml:space="preserve">× </w:t>
      </w:r>
      <w:r>
        <w:t>1.6 / 3).</w:t>
      </w:r>
      <w:r w:rsidR="00CB48A5">
        <w:t xml:space="preserve"> </w:t>
      </w:r>
    </w:p>
    <w:p w14:paraId="359DE825" w14:textId="46F0497E" w:rsidR="00914586" w:rsidRDefault="0004248D" w:rsidP="00C64F3C">
      <w:r>
        <w:rPr>
          <w:b/>
        </w:rPr>
        <w:t xml:space="preserve">Rail </w:t>
      </w:r>
      <w:r w:rsidR="008676ED">
        <w:rPr>
          <w:b/>
        </w:rPr>
        <w:t>t</w:t>
      </w:r>
      <w:r>
        <w:rPr>
          <w:b/>
        </w:rPr>
        <w:t>ransport</w:t>
      </w:r>
      <w:r w:rsidR="00914586" w:rsidRPr="00C64F3C">
        <w:rPr>
          <w:b/>
        </w:rPr>
        <w:t>:</w:t>
      </w:r>
      <w:r w:rsidR="00914586">
        <w:t xml:space="preserve"> </w:t>
      </w:r>
      <w:r w:rsidR="00C64F3C">
        <w:t xml:space="preserve"> </w:t>
      </w:r>
      <w:r w:rsidR="00512601">
        <w:t>After non-motorised and air transport are subtracted from total mobility levels, w</w:t>
      </w:r>
      <w:r w:rsidR="004C0C94">
        <w:t xml:space="preserve">e distribute </w:t>
      </w:r>
      <w:r w:rsidR="00344D6D">
        <w:t xml:space="preserve">remaining </w:t>
      </w:r>
      <w:r w:rsidR="006F08F9">
        <w:t xml:space="preserve">mobility </w:t>
      </w:r>
      <w:r w:rsidR="004C0C94">
        <w:t>to three modes of surface transport. W</w:t>
      </w:r>
      <w:r w:rsidR="006F08F9">
        <w:t xml:space="preserve">e assume </w:t>
      </w:r>
      <w:r>
        <w:t>4</w:t>
      </w:r>
      <w:r w:rsidR="006F08F9" w:rsidRPr="006F08F9">
        <w:t>0%</w:t>
      </w:r>
      <w:r w:rsidR="006F08F9">
        <w:t xml:space="preserve"> </w:t>
      </w:r>
      <w:r w:rsidR="0027754A">
        <w:t xml:space="preserve">of </w:t>
      </w:r>
      <w:r w:rsidR="0027754A" w:rsidRPr="0027754A">
        <w:rPr>
          <w:i/>
        </w:rPr>
        <w:t>remaining</w:t>
      </w:r>
      <w:r w:rsidR="0027754A">
        <w:t xml:space="preserve"> pkm are</w:t>
      </w:r>
      <w:r w:rsidR="006F08F9">
        <w:t xml:space="preserve"> accounted for by trains</w:t>
      </w:r>
      <w:r w:rsidR="00131795">
        <w:t xml:space="preserve"> (</w:t>
      </w:r>
      <w:r w:rsidR="00344D6D">
        <w:t>21</w:t>
      </w:r>
      <w:r w:rsidR="0027754A">
        <w:t>%</w:t>
      </w:r>
      <w:r w:rsidR="00344D6D">
        <w:t xml:space="preserve"> to 34% of </w:t>
      </w:r>
      <w:r w:rsidR="0027754A" w:rsidRPr="0027754A">
        <w:rPr>
          <w:i/>
        </w:rPr>
        <w:t>all</w:t>
      </w:r>
      <w:r w:rsidR="0027754A">
        <w:t xml:space="preserve"> pkm</w:t>
      </w:r>
      <w:r w:rsidR="00512601">
        <w:t>,</w:t>
      </w:r>
      <w:r w:rsidR="0027754A">
        <w:t xml:space="preserve"> depending upon </w:t>
      </w:r>
      <w:r w:rsidR="00131795">
        <w:t>nation</w:t>
      </w:r>
      <w:r w:rsidR="0027754A">
        <w:t xml:space="preserve"> and </w:t>
      </w:r>
      <w:r w:rsidR="00C9192C">
        <w:t>rural/</w:t>
      </w:r>
      <w:r w:rsidR="0027754A">
        <w:t>urban</w:t>
      </w:r>
      <w:r w:rsidR="00C9192C">
        <w:t xml:space="preserve"> type</w:t>
      </w:r>
      <w:r w:rsidR="00131795">
        <w:t>)</w:t>
      </w:r>
      <w:r w:rsidR="006F08F9">
        <w:t xml:space="preserve">. </w:t>
      </w:r>
      <w:r w:rsidR="00DA3888">
        <w:t xml:space="preserve">This </w:t>
      </w:r>
      <w:r>
        <w:t xml:space="preserve">is </w:t>
      </w:r>
      <w:r w:rsidR="00512601">
        <w:t xml:space="preserve">generally </w:t>
      </w:r>
      <w:r>
        <w:t xml:space="preserve">higher than the IEA’s most ambitious </w:t>
      </w:r>
      <w:r w:rsidRPr="0004248D">
        <w:rPr>
          <w:i/>
        </w:rPr>
        <w:t xml:space="preserve">Beyond 2 Degrees </w:t>
      </w:r>
      <w:r w:rsidRPr="0004248D">
        <w:t>scenario</w:t>
      </w:r>
      <w:r w:rsidR="00512601">
        <w:t xml:space="preserve"> (</w:t>
      </w:r>
      <w:r w:rsidR="00512601">
        <w:rPr>
          <w:i/>
        </w:rPr>
        <w:t>B2DS</w:t>
      </w:r>
      <w:r w:rsidR="00512601">
        <w:t>)</w:t>
      </w:r>
      <w:r>
        <w:t xml:space="preserve">, </w:t>
      </w:r>
      <w:r w:rsidR="0027754A">
        <w:t xml:space="preserve">where </w:t>
      </w:r>
      <w:r>
        <w:t xml:space="preserve">rail </w:t>
      </w:r>
      <w:r w:rsidR="0027754A">
        <w:t>accounts for 21% of pkm in</w:t>
      </w:r>
      <w:r>
        <w:t xml:space="preserve"> 2060 (see Figure </w:t>
      </w:r>
      <w:r w:rsidR="00977681">
        <w:t>6</w:t>
      </w:r>
      <w:r w:rsidR="00A9240B">
        <w:t>).</w:t>
      </w:r>
      <w:r w:rsidR="00FC0D1C">
        <w:t xml:space="preserve"> </w:t>
      </w:r>
      <w:r w:rsidR="0027754A">
        <w:t>We obtain</w:t>
      </w:r>
      <w:r w:rsidR="00FC0D1C">
        <w:t xml:space="preserve"> values ranging from </w:t>
      </w:r>
      <w:r w:rsidR="00CF4CFB">
        <w:rPr>
          <w:b/>
        </w:rPr>
        <w:t>1</w:t>
      </w:r>
      <w:r w:rsidR="00FC0D1C" w:rsidRPr="00A9240B">
        <w:rPr>
          <w:b/>
        </w:rPr>
        <w:t>,</w:t>
      </w:r>
      <w:r w:rsidR="0027754A">
        <w:rPr>
          <w:b/>
        </w:rPr>
        <w:t>0</w:t>
      </w:r>
      <w:r w:rsidR="00FC0D1C" w:rsidRPr="00A9240B">
        <w:rPr>
          <w:b/>
        </w:rPr>
        <w:t>00</w:t>
      </w:r>
      <w:r w:rsidR="00FC0D1C">
        <w:rPr>
          <w:b/>
        </w:rPr>
        <w:t xml:space="preserve"> to </w:t>
      </w:r>
      <w:r w:rsidR="00CF4CFB">
        <w:rPr>
          <w:b/>
        </w:rPr>
        <w:t>5</w:t>
      </w:r>
      <w:r w:rsidR="00FC0D1C">
        <w:rPr>
          <w:b/>
        </w:rPr>
        <w:t>,</w:t>
      </w:r>
      <w:r w:rsidR="0027754A">
        <w:rPr>
          <w:b/>
        </w:rPr>
        <w:t>1</w:t>
      </w:r>
      <w:r w:rsidR="00FC0D1C">
        <w:rPr>
          <w:b/>
        </w:rPr>
        <w:t>00</w:t>
      </w:r>
      <w:r w:rsidR="00FC0D1C" w:rsidRPr="00A9240B">
        <w:rPr>
          <w:b/>
        </w:rPr>
        <w:t xml:space="preserve"> km/capita</w:t>
      </w:r>
      <w:r w:rsidR="00FC0D1C">
        <w:t xml:space="preserve"> annually in high density urban areas to low density rural ones.</w:t>
      </w:r>
    </w:p>
    <w:p w14:paraId="5366ECE0" w14:textId="3C43FF71" w:rsidR="008676ED" w:rsidRDefault="008676ED" w:rsidP="008676ED">
      <w:r>
        <w:rPr>
          <w:b/>
        </w:rPr>
        <w:t>Road transport – buses</w:t>
      </w:r>
      <w:r w:rsidRPr="00C64F3C">
        <w:rPr>
          <w:b/>
        </w:rPr>
        <w:t>:</w:t>
      </w:r>
      <w:r>
        <w:t xml:space="preserve">  </w:t>
      </w:r>
      <w:r w:rsidR="004C0C94">
        <w:t>W</w:t>
      </w:r>
      <w:r>
        <w:t>e assume</w:t>
      </w:r>
      <w:r w:rsidR="004C0C94">
        <w:t xml:space="preserve"> that buses make the same (40%) contribution to</w:t>
      </w:r>
      <w:r w:rsidR="0027754A">
        <w:t xml:space="preserve"> remaining</w:t>
      </w:r>
      <w:r w:rsidR="004C0C94">
        <w:t xml:space="preserve"> mobility</w:t>
      </w:r>
      <w:r>
        <w:t xml:space="preserve"> </w:t>
      </w:r>
      <w:r w:rsidR="004C0C94">
        <w:t>as</w:t>
      </w:r>
      <w:r>
        <w:t xml:space="preserve"> trains, in all nations.</w:t>
      </w:r>
      <w:r w:rsidR="004C0C94" w:rsidRPr="004C0C94">
        <w:t xml:space="preserve"> </w:t>
      </w:r>
      <w:r w:rsidR="004C0C94">
        <w:t xml:space="preserve">Again, this is higher than in the IEA’s scenarios, where buses only account for 18% of pkm by 2060 in the </w:t>
      </w:r>
      <w:r w:rsidR="004C0C94" w:rsidRPr="0004248D">
        <w:rPr>
          <w:i/>
        </w:rPr>
        <w:t>B2D</w:t>
      </w:r>
      <w:r w:rsidR="00512601">
        <w:rPr>
          <w:i/>
        </w:rPr>
        <w:t>S</w:t>
      </w:r>
      <w:r w:rsidR="00A9240B">
        <w:t>.</w:t>
      </w:r>
      <w:r w:rsidR="00397837">
        <w:t xml:space="preserve"> The values are the same as for rail, at </w:t>
      </w:r>
      <w:r w:rsidR="00CF4CFB">
        <w:rPr>
          <w:b/>
        </w:rPr>
        <w:t>1</w:t>
      </w:r>
      <w:r w:rsidR="00397837" w:rsidRPr="00A9240B">
        <w:rPr>
          <w:b/>
        </w:rPr>
        <w:t>,</w:t>
      </w:r>
      <w:r w:rsidR="0027754A">
        <w:rPr>
          <w:b/>
        </w:rPr>
        <w:t>0</w:t>
      </w:r>
      <w:r w:rsidR="00397837" w:rsidRPr="00A9240B">
        <w:rPr>
          <w:b/>
        </w:rPr>
        <w:t>00</w:t>
      </w:r>
      <w:r w:rsidR="00397837">
        <w:rPr>
          <w:b/>
        </w:rPr>
        <w:t xml:space="preserve"> to </w:t>
      </w:r>
      <w:r w:rsidR="00CF4CFB">
        <w:rPr>
          <w:b/>
        </w:rPr>
        <w:t>5</w:t>
      </w:r>
      <w:r w:rsidR="00397837">
        <w:rPr>
          <w:b/>
        </w:rPr>
        <w:t>,</w:t>
      </w:r>
      <w:r w:rsidR="0027754A">
        <w:rPr>
          <w:b/>
        </w:rPr>
        <w:t>1</w:t>
      </w:r>
      <w:r w:rsidR="00397837">
        <w:rPr>
          <w:b/>
        </w:rPr>
        <w:t>00</w:t>
      </w:r>
      <w:r w:rsidR="00397837" w:rsidRPr="00A9240B">
        <w:rPr>
          <w:b/>
        </w:rPr>
        <w:t xml:space="preserve"> km/capita</w:t>
      </w:r>
      <w:r w:rsidR="003F64C9">
        <w:rPr>
          <w:b/>
        </w:rPr>
        <w:t xml:space="preserve"> </w:t>
      </w:r>
      <w:r w:rsidR="003F64C9" w:rsidRPr="003F64C9">
        <w:t>annually</w:t>
      </w:r>
      <w:r w:rsidR="00397837" w:rsidRPr="003F64C9">
        <w:t>.</w:t>
      </w:r>
    </w:p>
    <w:p w14:paraId="3B1ADB84" w14:textId="4CA403C2" w:rsidR="00A9240B" w:rsidRDefault="008676ED" w:rsidP="008676ED">
      <w:r>
        <w:rPr>
          <w:b/>
        </w:rPr>
        <w:t>Road transport – cars</w:t>
      </w:r>
      <w:r w:rsidRPr="00C64F3C">
        <w:rPr>
          <w:b/>
        </w:rPr>
        <w:t>:</w:t>
      </w:r>
      <w:r>
        <w:t xml:space="preserve">  </w:t>
      </w:r>
      <w:r w:rsidR="00C44045">
        <w:t>W</w:t>
      </w:r>
      <w:r>
        <w:t xml:space="preserve">e assume </w:t>
      </w:r>
      <w:r w:rsidR="0027754A">
        <w:t>all</w:t>
      </w:r>
      <w:r w:rsidR="00C44045">
        <w:t xml:space="preserve"> remaining </w:t>
      </w:r>
      <w:r w:rsidR="0027754A">
        <w:t>mobility</w:t>
      </w:r>
      <w:r w:rsidR="00C44045">
        <w:t xml:space="preserve"> </w:t>
      </w:r>
      <w:r>
        <w:t xml:space="preserve">is accounted for by </w:t>
      </w:r>
      <w:r w:rsidR="00C44045">
        <w:t>cars.</w:t>
      </w:r>
      <w:r>
        <w:t xml:space="preserve"> </w:t>
      </w:r>
      <w:r w:rsidR="00C44045">
        <w:t>This fraction is lower than</w:t>
      </w:r>
      <w:r>
        <w:t xml:space="preserve"> in the </w:t>
      </w:r>
      <w:r w:rsidR="00512601" w:rsidRPr="00512601">
        <w:rPr>
          <w:i/>
        </w:rPr>
        <w:t>B2DS</w:t>
      </w:r>
      <w:r w:rsidR="00EC4109">
        <w:t>,</w:t>
      </w:r>
      <w:r w:rsidR="00C44045">
        <w:t xml:space="preserve"> thus balancing out the higher share of bus and rail</w:t>
      </w:r>
      <w:r>
        <w:t xml:space="preserve">. </w:t>
      </w:r>
      <w:r w:rsidR="00397837">
        <w:t xml:space="preserve">Values range from </w:t>
      </w:r>
      <w:r w:rsidR="00CF3429">
        <w:t>5</w:t>
      </w:r>
      <w:r w:rsidR="00397837" w:rsidRPr="00A9240B">
        <w:rPr>
          <w:b/>
        </w:rPr>
        <w:t>00</w:t>
      </w:r>
      <w:r w:rsidR="00397837">
        <w:rPr>
          <w:b/>
        </w:rPr>
        <w:t xml:space="preserve"> to 2,</w:t>
      </w:r>
      <w:r w:rsidR="00CF3429">
        <w:rPr>
          <w:b/>
        </w:rPr>
        <w:t>5</w:t>
      </w:r>
      <w:r w:rsidR="00397837">
        <w:rPr>
          <w:b/>
        </w:rPr>
        <w:t>00</w:t>
      </w:r>
      <w:r w:rsidR="00397837" w:rsidRPr="00A9240B">
        <w:rPr>
          <w:b/>
        </w:rPr>
        <w:t xml:space="preserve"> km/capita</w:t>
      </w:r>
      <w:r w:rsidR="00397837">
        <w:t xml:space="preserve"> annually.</w:t>
      </w:r>
    </w:p>
    <w:p w14:paraId="68935FCE" w14:textId="393860FF" w:rsidR="00EC4109" w:rsidRDefault="00D66DF7" w:rsidP="00C33E1B">
      <w:pPr>
        <w:spacing w:before="240"/>
        <w:ind w:left="142" w:right="6192" w:hanging="142"/>
      </w:pPr>
      <w:r>
        <w:rPr>
          <w:noProof/>
          <w:lang w:eastAsia="en-GB"/>
        </w:rPr>
        <w:drawing>
          <wp:anchor distT="0" distB="0" distL="114300" distR="114300" simplePos="0" relativeHeight="251679744" behindDoc="0" locked="0" layoutInCell="1" allowOverlap="1" wp14:anchorId="60BC6551" wp14:editId="08BCEA76">
            <wp:simplePos x="0" y="0"/>
            <wp:positionH relativeFrom="margin">
              <wp:posOffset>1912620</wp:posOffset>
            </wp:positionH>
            <wp:positionV relativeFrom="paragraph">
              <wp:posOffset>39176</wp:posOffset>
            </wp:positionV>
            <wp:extent cx="3815080" cy="20948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2983"/>
                    <a:stretch/>
                  </pic:blipFill>
                  <pic:spPr bwMode="auto">
                    <a:xfrm>
                      <a:off x="0" y="0"/>
                      <a:ext cx="3815080" cy="209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76ED">
        <w:rPr>
          <w:b/>
        </w:rPr>
        <w:t xml:space="preserve">Figure </w:t>
      </w:r>
      <w:r w:rsidR="00977681">
        <w:rPr>
          <w:b/>
        </w:rPr>
        <w:t>6</w:t>
      </w:r>
      <w:r w:rsidR="008676ED">
        <w:rPr>
          <w:b/>
        </w:rPr>
        <w:t xml:space="preserve">:  </w:t>
      </w:r>
      <w:r w:rsidR="00E578BD" w:rsidRPr="00E578BD">
        <w:t>M</w:t>
      </w:r>
      <w:r w:rsidR="00E578BD">
        <w:t>ode-shares of pkm between motorised transport in (</w:t>
      </w:r>
      <w:proofErr w:type="spellStart"/>
      <w:r w:rsidR="00E578BD">
        <w:t>i</w:t>
      </w:r>
      <w:proofErr w:type="spellEnd"/>
      <w:r w:rsidR="00E578BD">
        <w:t xml:space="preserve">) the three scenarios of the IEA, globally, in 2060 and (ii) the current work </w:t>
      </w:r>
      <w:r w:rsidR="00EC4109">
        <w:t>for</w:t>
      </w:r>
      <w:r w:rsidR="00E578BD">
        <w:t xml:space="preserve"> </w:t>
      </w:r>
      <w:r w:rsidR="00EC4109">
        <w:t xml:space="preserve">urban and rural </w:t>
      </w:r>
      <w:r w:rsidR="00E578BD">
        <w:t>Japan</w:t>
      </w:r>
      <w:r w:rsidR="00EC4109">
        <w:t xml:space="preserve"> –</w:t>
      </w:r>
      <w:r w:rsidR="00E578BD">
        <w:t xml:space="preserve"> the central case</w:t>
      </w:r>
      <w:r w:rsidR="00EC4109">
        <w:t>s</w:t>
      </w:r>
      <w:r w:rsidR="00E578BD">
        <w:t xml:space="preserve"> for mobility.</w:t>
      </w:r>
      <w:r w:rsidR="00346473">
        <w:t xml:space="preserve"> Energy intensities by mode are </w:t>
      </w:r>
      <w:r w:rsidR="008074B2">
        <w:t>shown</w:t>
      </w:r>
      <w:r w:rsidR="00346473">
        <w:t xml:space="preserve"> in the legend.</w:t>
      </w:r>
    </w:p>
    <w:p w14:paraId="42EDF652" w14:textId="31E7CF8A" w:rsidR="00C33E1B" w:rsidRDefault="00C33E1B" w:rsidP="00C33E1B">
      <w:pPr>
        <w:ind w:left="142" w:right="6192" w:hanging="142"/>
      </w:pPr>
    </w:p>
    <w:p w14:paraId="2511B1D5" w14:textId="77777777" w:rsidR="00C33E1B" w:rsidRPr="00C33E1B" w:rsidRDefault="00C33E1B" w:rsidP="00C33E1B">
      <w:pPr>
        <w:ind w:left="142" w:right="6192" w:hanging="142"/>
      </w:pPr>
    </w:p>
    <w:p w14:paraId="1A31D0B0" w14:textId="77777777" w:rsidR="0099416A" w:rsidRDefault="005576B3" w:rsidP="00C33E1B">
      <w:pPr>
        <w:pStyle w:val="Heading2"/>
        <w:spacing w:before="480"/>
      </w:pPr>
      <w:r>
        <w:t>Direct energy intensities</w:t>
      </w:r>
    </w:p>
    <w:p w14:paraId="7617E1AE" w14:textId="7B3B4B72" w:rsidR="006421EF" w:rsidRDefault="00A9240B" w:rsidP="0099416A">
      <w:r>
        <w:t xml:space="preserve">The </w:t>
      </w:r>
      <w:r w:rsidR="0099416A">
        <w:t xml:space="preserve">IEA </w:t>
      </w:r>
      <w:r>
        <w:t>suggest</w:t>
      </w:r>
      <w:r w:rsidR="0099416A">
        <w:t xml:space="preserve"> that</w:t>
      </w:r>
      <w:r w:rsidR="00704085">
        <w:t xml:space="preserve"> current energy intensities</w:t>
      </w:r>
      <w:r w:rsidR="0099416A">
        <w:t xml:space="preserve"> of aviation </w:t>
      </w:r>
      <w:r w:rsidR="00704085">
        <w:t>are</w:t>
      </w:r>
      <w:r w:rsidR="0099416A">
        <w:t xml:space="preserve"> 1.75-1.85 MJ/pkm, </w:t>
      </w:r>
      <w:r w:rsidR="00704085">
        <w:t xml:space="preserve">with rail transport at 0.1-0.35 MJ/pkm, </w:t>
      </w:r>
      <w:r w:rsidR="00704085" w:rsidRPr="004C0C94">
        <w:rPr>
          <w:i/>
        </w:rPr>
        <w:t>heavy road</w:t>
      </w:r>
      <w:r w:rsidR="00704085">
        <w:t xml:space="preserve"> transport at 0.45-0.86 MJ/pkm (0.56 MJ/pkm globally), and </w:t>
      </w:r>
      <w:r w:rsidR="00704085" w:rsidRPr="00704085">
        <w:rPr>
          <w:i/>
        </w:rPr>
        <w:t>light road</w:t>
      </w:r>
      <w:r w:rsidR="00704085">
        <w:t xml:space="preserve"> transport at 1.1-2.4 MJ/pkm. Lower values are consistently found in </w:t>
      </w:r>
      <w:r w:rsidR="00704085">
        <w:rPr>
          <w:i/>
        </w:rPr>
        <w:t>non-OECD</w:t>
      </w:r>
      <w:r w:rsidR="00704085">
        <w:t xml:space="preserve"> areas.</w:t>
      </w:r>
      <w:r w:rsidR="006421EF">
        <w:t xml:space="preserve"> </w:t>
      </w:r>
      <w:r w:rsidR="00704085">
        <w:t xml:space="preserve">We use these lower values as a starting point and reduce them further using the practical energy savings that </w:t>
      </w:r>
      <w:r w:rsidR="00131795">
        <w:rPr>
          <w:noProof/>
        </w:rPr>
        <w:t>Cullen, Allwood and Borgstein</w:t>
      </w:r>
      <w:r w:rsidR="006A2825" w:rsidRPr="006A2825">
        <w:rPr>
          <w:noProof/>
          <w:vertAlign w:val="superscript"/>
        </w:rPr>
        <w:t>6</w:t>
      </w:r>
      <w:r w:rsidR="006421EF">
        <w:t xml:space="preserve"> estimate:</w:t>
      </w:r>
    </w:p>
    <w:p w14:paraId="05E3915D" w14:textId="3F3536E9" w:rsidR="00704085" w:rsidRPr="00704085" w:rsidRDefault="00704085" w:rsidP="00C055F8">
      <w:pPr>
        <w:ind w:left="142"/>
      </w:pPr>
      <w:r>
        <w:lastRenderedPageBreak/>
        <w:t xml:space="preserve">For </w:t>
      </w:r>
      <w:r w:rsidRPr="00C055F8">
        <w:rPr>
          <w:b/>
        </w:rPr>
        <w:t>aviation</w:t>
      </w:r>
      <w:r>
        <w:t xml:space="preserve">, </w:t>
      </w:r>
      <w:r w:rsidR="00131795">
        <w:t>they</w:t>
      </w:r>
      <w:r>
        <w:t xml:space="preserve"> suggest 46% reductions in energy intensity would be feasible with ambitious, but realistic improvements to aerodynamics, propulsion efficiency, and vehicle weight, which reduces the IEA</w:t>
      </w:r>
      <w:r w:rsidR="00A8595E">
        <w:t>’s</w:t>
      </w:r>
      <w:r>
        <w:t xml:space="preserve"> lower value to </w:t>
      </w:r>
      <w:r w:rsidRPr="00677BCC">
        <w:rPr>
          <w:b/>
        </w:rPr>
        <w:t>0.94 MJ/pkm</w:t>
      </w:r>
      <w:r>
        <w:t xml:space="preserve">. </w:t>
      </w:r>
    </w:p>
    <w:p w14:paraId="2F8F2282" w14:textId="37B5286C" w:rsidR="006421EF" w:rsidRDefault="006421EF" w:rsidP="00C055F8">
      <w:pPr>
        <w:ind w:left="142"/>
      </w:pPr>
      <w:r w:rsidRPr="006421EF">
        <w:t xml:space="preserve">For </w:t>
      </w:r>
      <w:r w:rsidR="00C055F8">
        <w:rPr>
          <w:b/>
        </w:rPr>
        <w:t>trains</w:t>
      </w:r>
      <w:r>
        <w:t>,</w:t>
      </w:r>
      <w:r w:rsidR="009C424A">
        <w:t xml:space="preserve"> they </w:t>
      </w:r>
      <w:r>
        <w:t xml:space="preserve">suggest 41% as a </w:t>
      </w:r>
      <w:r w:rsidR="0099416A">
        <w:t xml:space="preserve">(conservative) </w:t>
      </w:r>
      <w:r>
        <w:t>practical energy reduction, achievable via</w:t>
      </w:r>
      <w:r w:rsidR="0099416A">
        <w:t xml:space="preserve"> maximising aerodynamic efficiency, but retaining modest average speeds</w:t>
      </w:r>
      <w:r>
        <w:t>, thus</w:t>
      </w:r>
      <w:r w:rsidR="0099416A">
        <w:t xml:space="preserve"> giv</w:t>
      </w:r>
      <w:r>
        <w:t>ing</w:t>
      </w:r>
      <w:r w:rsidR="0099416A">
        <w:t xml:space="preserve"> </w:t>
      </w:r>
      <w:r w:rsidR="0099416A" w:rsidRPr="00D47108">
        <w:rPr>
          <w:b/>
        </w:rPr>
        <w:t>0.06 MJ/pkm</w:t>
      </w:r>
      <w:r w:rsidR="0099416A">
        <w:t>.</w:t>
      </w:r>
    </w:p>
    <w:p w14:paraId="0AEFF89D" w14:textId="634FB54E" w:rsidR="0099416A" w:rsidRDefault="006421EF" w:rsidP="00C055F8">
      <w:pPr>
        <w:ind w:left="142"/>
      </w:pPr>
      <w:r>
        <w:t xml:space="preserve">For </w:t>
      </w:r>
      <w:r w:rsidR="0099416A" w:rsidRPr="00C055F8">
        <w:rPr>
          <w:b/>
        </w:rPr>
        <w:t>buses</w:t>
      </w:r>
      <w:r>
        <w:t>,</w:t>
      </w:r>
      <w:r w:rsidR="0099416A">
        <w:t xml:space="preserve"> </w:t>
      </w:r>
      <w:r>
        <w:t>w</w:t>
      </w:r>
      <w:r w:rsidR="0099416A">
        <w:t xml:space="preserve">e make a slight modification to </w:t>
      </w:r>
      <w:r>
        <w:t>the</w:t>
      </w:r>
      <w:r w:rsidR="009C424A">
        <w:t>ir</w:t>
      </w:r>
      <w:r>
        <w:t xml:space="preserve"> </w:t>
      </w:r>
      <w:r w:rsidR="009C424A">
        <w:t>a</w:t>
      </w:r>
      <w:r w:rsidR="00BF4CF3">
        <w:t>nalysis</w:t>
      </w:r>
      <w:r w:rsidR="00BF4CF3" w:rsidRPr="00BF4CF3">
        <w:t xml:space="preserve"> </w:t>
      </w:r>
      <w:r w:rsidR="00BF4CF3">
        <w:t xml:space="preserve">for </w:t>
      </w:r>
      <w:r w:rsidR="00BF4CF3">
        <w:rPr>
          <w:i/>
        </w:rPr>
        <w:t>heavy road</w:t>
      </w:r>
      <w:r w:rsidR="00BF4CF3" w:rsidRPr="006421EF">
        <w:t xml:space="preserve"> </w:t>
      </w:r>
      <w:r w:rsidR="00BF4CF3">
        <w:t>transport</w:t>
      </w:r>
      <w:r w:rsidR="0099416A">
        <w:t>.</w:t>
      </w:r>
      <w:r>
        <w:t xml:space="preserve"> They</w:t>
      </w:r>
      <w:r w:rsidR="0099416A">
        <w:t xml:space="preserve"> suggest that 54% energy savings on current levels would be feasible for heavy duty vehicles through reducing drag (aerodynamic and rolling resistance) and light-weighting. However, their estimate is averaged across various sizes of freight vehicles as well as coaches, and due to the latter</w:t>
      </w:r>
      <w:r>
        <w:t>,</w:t>
      </w:r>
      <w:r w:rsidR="0099416A">
        <w:t xml:space="preserve"> their light-weighting estimates are </w:t>
      </w:r>
      <w:r w:rsidR="00042F70">
        <w:t>conservative</w:t>
      </w:r>
      <w:r w:rsidR="0099416A">
        <w:t>. We th</w:t>
      </w:r>
      <w:r>
        <w:t>us</w:t>
      </w:r>
      <w:r w:rsidR="0099416A">
        <w:t xml:space="preserve"> assume more significant weight reductions that further reduce rolling resistance and thrust requirements, increasing the 54% reduction to a 60% reduction. </w:t>
      </w:r>
      <w:r>
        <w:t>T</w:t>
      </w:r>
      <w:r w:rsidR="0099416A">
        <w:t xml:space="preserve">his </w:t>
      </w:r>
      <w:r>
        <w:t xml:space="preserve">then </w:t>
      </w:r>
      <w:r w:rsidR="0099416A">
        <w:t xml:space="preserve">gives </w:t>
      </w:r>
      <w:r w:rsidR="0099416A" w:rsidRPr="00D47108">
        <w:rPr>
          <w:b/>
        </w:rPr>
        <w:t>0.18 MJ/pkm</w:t>
      </w:r>
      <w:r w:rsidR="0099416A">
        <w:t>.</w:t>
      </w:r>
    </w:p>
    <w:p w14:paraId="79A731D2" w14:textId="164422F8" w:rsidR="008759DA" w:rsidRDefault="006421EF" w:rsidP="008759DA">
      <w:pPr>
        <w:ind w:left="142"/>
      </w:pPr>
      <w:r w:rsidRPr="006421EF">
        <w:t xml:space="preserve">For </w:t>
      </w:r>
      <w:r w:rsidR="0099416A" w:rsidRPr="00C055F8">
        <w:rPr>
          <w:b/>
        </w:rPr>
        <w:t>cars</w:t>
      </w:r>
      <w:r>
        <w:t>, we again modify</w:t>
      </w:r>
      <w:r w:rsidR="0099416A" w:rsidRPr="00C44045">
        <w:t xml:space="preserve"> </w:t>
      </w:r>
      <w:r>
        <w:t>the</w:t>
      </w:r>
      <w:r w:rsidR="009C424A">
        <w:t>ir</w:t>
      </w:r>
      <w:r>
        <w:t xml:space="preserve"> estimate, which is that</w:t>
      </w:r>
      <w:r w:rsidR="0099416A">
        <w:t xml:space="preserve"> 91% energy savings on current levels would be feasible through reducing drag (aerodynamic and rolling resistance) and light-weighting. </w:t>
      </w:r>
      <w:r w:rsidR="00A8595E">
        <w:t>However,</w:t>
      </w:r>
      <w:r>
        <w:t xml:space="preserve"> </w:t>
      </w:r>
      <w:r w:rsidR="0099416A">
        <w:t xml:space="preserve">they assume exceptionally light vehicles (200kg vehicle </w:t>
      </w:r>
      <w:r w:rsidR="00A8595E">
        <w:t>+</w:t>
      </w:r>
      <w:r w:rsidR="0099416A">
        <w:t xml:space="preserve"> 100kg of passengers) with accordingly low thrust requirements</w:t>
      </w:r>
      <w:r w:rsidR="00A8595E">
        <w:t xml:space="preserve"> and drag.</w:t>
      </w:r>
      <w:r>
        <w:t xml:space="preserve"> </w:t>
      </w:r>
      <w:r w:rsidR="00A8595E">
        <w:t>W</w:t>
      </w:r>
      <w:r>
        <w:t>e</w:t>
      </w:r>
      <w:r w:rsidR="00A8595E">
        <w:t xml:space="preserve"> thus</w:t>
      </w:r>
      <w:r w:rsidR="0099416A">
        <w:t xml:space="preserve"> assume a </w:t>
      </w:r>
      <w:r w:rsidR="00D27A7F">
        <w:t xml:space="preserve">much </w:t>
      </w:r>
      <w:r w:rsidR="0099416A">
        <w:t>larger vehicle</w:t>
      </w:r>
      <w:r w:rsidR="00D27A7F">
        <w:t xml:space="preserve"> </w:t>
      </w:r>
      <w:r w:rsidR="0099416A">
        <w:t xml:space="preserve">weight in order to maintain high vehicle capacity. </w:t>
      </w:r>
      <w:r w:rsidR="00D27A7F">
        <w:t>We increase</w:t>
      </w:r>
      <w:r w:rsidR="0099416A">
        <w:t xml:space="preserve"> their </w:t>
      </w:r>
      <w:r w:rsidR="00A8595E">
        <w:t xml:space="preserve">assumed </w:t>
      </w:r>
      <w:r w:rsidR="0099416A">
        <w:t xml:space="preserve">weight to </w:t>
      </w:r>
      <w:r w:rsidR="00D27A7F">
        <w:rPr>
          <w:rFonts w:cstheme="minorHAnsi"/>
        </w:rPr>
        <w:t>1</w:t>
      </w:r>
      <w:r w:rsidR="0099416A">
        <w:t>t</w:t>
      </w:r>
      <w:r w:rsidR="00D27A7F">
        <w:t xml:space="preserve"> </w:t>
      </w:r>
      <w:r w:rsidR="00A8595E">
        <w:t>(inclusive of</w:t>
      </w:r>
      <w:r w:rsidR="00D27A7F">
        <w:t xml:space="preserve"> passengers</w:t>
      </w:r>
      <w:r w:rsidR="00A8595E">
        <w:t>), thus</w:t>
      </w:r>
      <w:r w:rsidR="00D27A7F">
        <w:t xml:space="preserve"> </w:t>
      </w:r>
      <w:r w:rsidR="00A8595E">
        <w:t>reducing</w:t>
      </w:r>
      <w:r w:rsidR="00D27A7F">
        <w:t xml:space="preserve"> </w:t>
      </w:r>
      <w:r w:rsidR="0099416A">
        <w:t>energy savings t</w:t>
      </w:r>
      <w:r w:rsidR="00D27A7F">
        <w:t>o</w:t>
      </w:r>
      <w:r w:rsidR="0099416A">
        <w:t xml:space="preserve"> </w:t>
      </w:r>
      <w:r w:rsidR="0099416A">
        <w:rPr>
          <w:rFonts w:cstheme="minorHAnsi"/>
        </w:rPr>
        <w:t>≈</w:t>
      </w:r>
      <w:r w:rsidR="00A8595E">
        <w:rPr>
          <w:rFonts w:cstheme="minorHAnsi"/>
        </w:rPr>
        <w:t xml:space="preserve"> </w:t>
      </w:r>
      <w:r w:rsidR="00A60B60">
        <w:rPr>
          <w:rFonts w:cstheme="minorHAnsi"/>
        </w:rPr>
        <w:t>70</w:t>
      </w:r>
      <w:r w:rsidR="0099416A">
        <w:t>%</w:t>
      </w:r>
      <w:r w:rsidR="00D27A7F">
        <w:t xml:space="preserve"> </w:t>
      </w:r>
      <w:r w:rsidR="00A8595E">
        <w:t>and</w:t>
      </w:r>
      <w:r w:rsidR="00D27A7F">
        <w:t xml:space="preserve"> giving</w:t>
      </w:r>
      <w:r w:rsidR="0099416A">
        <w:t xml:space="preserve"> </w:t>
      </w:r>
      <w:r w:rsidR="00D27A7F">
        <w:rPr>
          <w:b/>
        </w:rPr>
        <w:t>0.35</w:t>
      </w:r>
      <w:r w:rsidR="0099416A" w:rsidRPr="00D47108">
        <w:rPr>
          <w:b/>
        </w:rPr>
        <w:t xml:space="preserve"> MJ/pkm</w:t>
      </w:r>
      <w:r w:rsidR="0099416A">
        <w:t>.</w:t>
      </w:r>
      <w:r w:rsidR="00C055F8" w:rsidRPr="00C055F8">
        <w:t xml:space="preserve"> </w:t>
      </w:r>
    </w:p>
    <w:p w14:paraId="3320371F" w14:textId="4A128814" w:rsidR="0099416A" w:rsidRDefault="00C055F8" w:rsidP="008759DA">
      <w:pPr>
        <w:ind w:left="142"/>
      </w:pPr>
      <w:r>
        <w:t xml:space="preserve">Finally, we assume </w:t>
      </w:r>
      <w:r w:rsidR="006E780A">
        <w:rPr>
          <w:b/>
        </w:rPr>
        <w:t xml:space="preserve">non-motorised transport </w:t>
      </w:r>
      <w:r>
        <w:t>use</w:t>
      </w:r>
      <w:r w:rsidR="008759DA">
        <w:t>s</w:t>
      </w:r>
      <w:r>
        <w:t xml:space="preserve"> no direct energy – or</w:t>
      </w:r>
      <w:r w:rsidR="00A8595E">
        <w:t>,</w:t>
      </w:r>
      <w:r>
        <w:t xml:space="preserve"> at least</w:t>
      </w:r>
      <w:r w:rsidR="00A8595E">
        <w:t>,</w:t>
      </w:r>
      <w:r>
        <w:t xml:space="preserve"> the energy is assumed to be already provided for by normal food intake.</w:t>
      </w:r>
    </w:p>
    <w:p w14:paraId="385CB0B9" w14:textId="77777777" w:rsidR="000F0AE9" w:rsidRDefault="00704085" w:rsidP="000F0AE9">
      <w:pPr>
        <w:pStyle w:val="Heading2"/>
      </w:pPr>
      <w:r>
        <w:t>Embodied energy</w:t>
      </w:r>
    </w:p>
    <w:p w14:paraId="358343D2" w14:textId="56F48CEF" w:rsidR="00704085" w:rsidRDefault="000F0AE9" w:rsidP="000F0AE9">
      <w:pPr>
        <w:pStyle w:val="Heading3"/>
      </w:pPr>
      <w:r>
        <w:t>Vehicles</w:t>
      </w:r>
    </w:p>
    <w:p w14:paraId="175063C2" w14:textId="234A2C3C" w:rsidR="00C92505" w:rsidRDefault="00D27A7F" w:rsidP="00133B90">
      <w:r>
        <w:t>To estimate the</w:t>
      </w:r>
      <w:r w:rsidR="00704085">
        <w:t xml:space="preserve"> energy </w:t>
      </w:r>
      <w:r>
        <w:t xml:space="preserve">embodied in vehicles, </w:t>
      </w:r>
      <w:r w:rsidR="00704085">
        <w:t xml:space="preserve">we use data from </w:t>
      </w:r>
      <w:r w:rsidR="009C424A">
        <w:rPr>
          <w:noProof/>
        </w:rPr>
        <w:t>Chester and Horvath</w:t>
      </w:r>
      <w:r w:rsidR="006A2825" w:rsidRPr="006A2825">
        <w:rPr>
          <w:noProof/>
          <w:vertAlign w:val="superscript"/>
        </w:rPr>
        <w:t>36</w:t>
      </w:r>
      <w:r w:rsidR="00704085">
        <w:t xml:space="preserve"> and </w:t>
      </w:r>
      <w:r w:rsidR="009C424A">
        <w:t xml:space="preserve">Chester </w:t>
      </w:r>
      <w:r w:rsidR="009C424A" w:rsidRPr="009C424A">
        <w:rPr>
          <w:i/>
        </w:rPr>
        <w:t>et al.</w:t>
      </w:r>
      <w:r w:rsidR="006A2825" w:rsidRPr="006A2825">
        <w:rPr>
          <w:noProof/>
          <w:vertAlign w:val="superscript"/>
        </w:rPr>
        <w:t>37</w:t>
      </w:r>
      <w:r w:rsidR="00704085">
        <w:t>.</w:t>
      </w:r>
      <w:r w:rsidR="00133B90">
        <w:t xml:space="preserve"> They give estimates of energy requirements (MJ/pkm) for </w:t>
      </w:r>
      <w:r w:rsidR="00133B90" w:rsidRPr="00133B90">
        <w:rPr>
          <w:i/>
        </w:rPr>
        <w:t>direct fuel use</w:t>
      </w:r>
      <w:r w:rsidR="00133B90">
        <w:t xml:space="preserve">, </w:t>
      </w:r>
      <w:r w:rsidR="00133B90" w:rsidRPr="00133B90">
        <w:rPr>
          <w:i/>
        </w:rPr>
        <w:t>vehicle manufacture</w:t>
      </w:r>
      <w:r w:rsidR="00C92505">
        <w:t xml:space="preserve"> and</w:t>
      </w:r>
      <w:r w:rsidR="00133B90">
        <w:t xml:space="preserve"> </w:t>
      </w:r>
      <w:r w:rsidR="00133B90" w:rsidRPr="00133B90">
        <w:rPr>
          <w:i/>
        </w:rPr>
        <w:t>infrastructure provision</w:t>
      </w:r>
      <w:r w:rsidR="00133B90">
        <w:t>, for various modes of transport and alternate scenarios</w:t>
      </w:r>
      <w:r w:rsidR="00FA56FB">
        <w:t xml:space="preserve"> </w:t>
      </w:r>
      <w:r w:rsidR="002F1B08">
        <w:t>(</w:t>
      </w:r>
      <w:r w:rsidR="00FA56FB">
        <w:t>the</w:t>
      </w:r>
      <w:r w:rsidR="002F1B08">
        <w:t>i</w:t>
      </w:r>
      <w:r w:rsidR="00FA56FB">
        <w:t>r analysis is focused upon the USA</w:t>
      </w:r>
      <w:r w:rsidR="002F1B08">
        <w:t>,</w:t>
      </w:r>
      <w:r w:rsidR="00FA56FB">
        <w:t xml:space="preserve"> </w:t>
      </w:r>
      <w:r w:rsidR="002F1B08">
        <w:t>but</w:t>
      </w:r>
      <w:r w:rsidR="00FA56FB">
        <w:t xml:space="preserve"> we </w:t>
      </w:r>
      <w:r w:rsidR="002F1B08">
        <w:t>apply</w:t>
      </w:r>
      <w:r w:rsidR="00FA56FB">
        <w:t xml:space="preserve"> the values globally</w:t>
      </w:r>
      <w:r w:rsidR="002F1B08">
        <w:t>)</w:t>
      </w:r>
      <w:r w:rsidR="00133B90">
        <w:t>:</w:t>
      </w:r>
    </w:p>
    <w:p w14:paraId="2089BF58" w14:textId="2D0AABBE" w:rsidR="00247925" w:rsidRPr="00C92505" w:rsidRDefault="00247925" w:rsidP="00247925">
      <w:pPr>
        <w:ind w:left="142"/>
      </w:pPr>
      <w:r w:rsidRPr="00133B90">
        <w:t>For</w:t>
      </w:r>
      <w:r>
        <w:rPr>
          <w:b/>
        </w:rPr>
        <w:t xml:space="preserve"> </w:t>
      </w:r>
      <w:r w:rsidR="002F1B08">
        <w:t xml:space="preserve">manufacturing </w:t>
      </w:r>
      <w:r>
        <w:rPr>
          <w:b/>
        </w:rPr>
        <w:t>cars</w:t>
      </w:r>
      <w:r w:rsidRPr="00133B90">
        <w:t>,</w:t>
      </w:r>
      <w:r>
        <w:t xml:space="preserve"> averaged embodi</w:t>
      </w:r>
      <w:r w:rsidR="009C424A">
        <w:t>ed energy values of 0.37 MJ/pkm</w:t>
      </w:r>
      <w:r w:rsidR="006A2825" w:rsidRPr="006A2825">
        <w:rPr>
          <w:noProof/>
          <w:vertAlign w:val="superscript"/>
        </w:rPr>
        <w:t>36</w:t>
      </w:r>
      <w:r w:rsidR="009C424A">
        <w:t xml:space="preserve"> and 0.38 MJ/pkm</w:t>
      </w:r>
      <w:r w:rsidR="006A2825" w:rsidRPr="006A2825">
        <w:rPr>
          <w:noProof/>
          <w:vertAlign w:val="superscript"/>
        </w:rPr>
        <w:t>37</w:t>
      </w:r>
      <w:r>
        <w:t xml:space="preserve"> are offered for conventional sedan</w:t>
      </w:r>
      <w:r w:rsidR="002F1B08">
        <w:t>s</w:t>
      </w:r>
      <w:r>
        <w:t xml:space="preserve"> of weight </w:t>
      </w:r>
      <w:r w:rsidR="009C424A">
        <w:rPr>
          <w:rFonts w:cstheme="minorHAnsi"/>
        </w:rPr>
        <w:t>~</w:t>
      </w:r>
      <w:r>
        <w:rPr>
          <w:rFonts w:cstheme="minorHAnsi"/>
        </w:rPr>
        <w:t>1.4t, assuming occupancy rates of 1.6-1.7. We thus cut this value down to the lighter-weight vehicles we</w:t>
      </w:r>
      <w:r w:rsidR="002F1B08">
        <w:rPr>
          <w:rFonts w:cstheme="minorHAnsi"/>
        </w:rPr>
        <w:t>’ve</w:t>
      </w:r>
      <w:r>
        <w:rPr>
          <w:rFonts w:cstheme="minorHAnsi"/>
        </w:rPr>
        <w:t xml:space="preserve"> assume</w:t>
      </w:r>
      <w:r w:rsidR="002F1B08">
        <w:rPr>
          <w:rFonts w:cstheme="minorHAnsi"/>
        </w:rPr>
        <w:t xml:space="preserve">d, then further for a higher </w:t>
      </w:r>
      <w:r>
        <w:rPr>
          <w:rFonts w:cstheme="minorHAnsi"/>
        </w:rPr>
        <w:t>occupancy rate of 3 people. Finally we assume a more efficient manufacturing process</w:t>
      </w:r>
      <w:r w:rsidR="009C424A">
        <w:rPr>
          <w:rFonts w:cstheme="minorHAnsi"/>
        </w:rPr>
        <w:t>,</w:t>
      </w:r>
      <w:r>
        <w:rPr>
          <w:rFonts w:cstheme="minorHAnsi"/>
        </w:rPr>
        <w:t xml:space="preserve"> cutting the embodied energy a further 33%, which is the potential energy intensity reduction for steel production suggested feasible by </w:t>
      </w:r>
      <w:r w:rsidR="009C424A">
        <w:rPr>
          <w:rFonts w:cstheme="minorHAnsi"/>
          <w:noProof/>
        </w:rPr>
        <w:t>Allwood</w:t>
      </w:r>
      <w:r w:rsidR="009C424A" w:rsidRPr="00B20917">
        <w:rPr>
          <w:rFonts w:cstheme="minorHAnsi"/>
          <w:i/>
          <w:noProof/>
        </w:rPr>
        <w:t xml:space="preserve"> et al.</w:t>
      </w:r>
      <w:r w:rsidR="006A2825" w:rsidRPr="006A2825">
        <w:rPr>
          <w:rFonts w:cstheme="minorHAnsi"/>
          <w:noProof/>
          <w:vertAlign w:val="superscript"/>
        </w:rPr>
        <w:t>38</w:t>
      </w:r>
      <w:r w:rsidR="003D117B">
        <w:rPr>
          <w:rFonts w:cstheme="minorHAnsi"/>
        </w:rPr>
        <w:t>; we use</w:t>
      </w:r>
      <w:r>
        <w:rPr>
          <w:rFonts w:cstheme="minorHAnsi"/>
        </w:rPr>
        <w:t xml:space="preserve"> this </w:t>
      </w:r>
      <w:r w:rsidR="002F1B08">
        <w:rPr>
          <w:rFonts w:cstheme="minorHAnsi"/>
        </w:rPr>
        <w:t xml:space="preserve">material </w:t>
      </w:r>
      <w:r>
        <w:rPr>
          <w:rFonts w:cstheme="minorHAnsi"/>
        </w:rPr>
        <w:t xml:space="preserve">as a proxy for the whole car. This brings the 0.37 MJ/pkm down to </w:t>
      </w:r>
      <w:r w:rsidRPr="00C92505">
        <w:rPr>
          <w:rFonts w:cstheme="minorHAnsi"/>
          <w:b/>
        </w:rPr>
        <w:t>0.10 MJ/pkm</w:t>
      </w:r>
      <w:r>
        <w:rPr>
          <w:rFonts w:cstheme="minorHAnsi"/>
        </w:rPr>
        <w:t>.</w:t>
      </w:r>
    </w:p>
    <w:p w14:paraId="7B52C4C6" w14:textId="3DB9EF73" w:rsidR="00C92505" w:rsidRPr="000A0F0D" w:rsidRDefault="00C92505" w:rsidP="00C92505">
      <w:pPr>
        <w:ind w:left="142"/>
      </w:pPr>
      <w:r w:rsidRPr="000A0F0D">
        <w:t>For</w:t>
      </w:r>
      <w:r w:rsidRPr="000A0F0D">
        <w:rPr>
          <w:b/>
        </w:rPr>
        <w:t xml:space="preserve"> </w:t>
      </w:r>
      <w:r w:rsidR="002F1B08" w:rsidRPr="000A0F0D">
        <w:t xml:space="preserve">manufacturing </w:t>
      </w:r>
      <w:r w:rsidRPr="000A0F0D">
        <w:rPr>
          <w:b/>
        </w:rPr>
        <w:t>buses</w:t>
      </w:r>
      <w:r w:rsidRPr="000A0F0D">
        <w:t>, averaged embodied energy values of 0.</w:t>
      </w:r>
      <w:r w:rsidR="00DE7B83" w:rsidRPr="000A0F0D">
        <w:t>0</w:t>
      </w:r>
      <w:r w:rsidR="00247925" w:rsidRPr="000A0F0D">
        <w:t>7</w:t>
      </w:r>
      <w:r w:rsidR="00DE7B83" w:rsidRPr="000A0F0D">
        <w:t>-0.15</w:t>
      </w:r>
      <w:r w:rsidRPr="000A0F0D">
        <w:t xml:space="preserve"> MJ/pkm</w:t>
      </w:r>
      <w:r w:rsidR="00DE7B83" w:rsidRPr="000A0F0D">
        <w:t xml:space="preserve"> are offer</w:t>
      </w:r>
      <w:r w:rsidR="000A0F0D" w:rsidRPr="000A0F0D">
        <w:t>ed</w:t>
      </w:r>
      <w:r w:rsidR="006A2825" w:rsidRPr="006A2825">
        <w:rPr>
          <w:noProof/>
          <w:vertAlign w:val="superscript"/>
        </w:rPr>
        <w:t>36, 37</w:t>
      </w:r>
      <w:r w:rsidR="002F1B08">
        <w:t xml:space="preserve">, </w:t>
      </w:r>
      <w:r w:rsidRPr="000A0F0D">
        <w:rPr>
          <w:rFonts w:cstheme="minorHAnsi"/>
        </w:rPr>
        <w:t xml:space="preserve">assuming </w:t>
      </w:r>
      <w:r w:rsidR="00C33E1B">
        <w:rPr>
          <w:rFonts w:cstheme="minorHAnsi"/>
        </w:rPr>
        <w:t>peak-</w:t>
      </w:r>
      <w:r w:rsidR="00DE7B83" w:rsidRPr="000A0F0D">
        <w:rPr>
          <w:rFonts w:cstheme="minorHAnsi"/>
        </w:rPr>
        <w:t xml:space="preserve">occupancy </w:t>
      </w:r>
      <w:r w:rsidRPr="000A0F0D">
        <w:rPr>
          <w:rFonts w:cstheme="minorHAnsi"/>
        </w:rPr>
        <w:t>rates</w:t>
      </w:r>
      <w:r w:rsidR="002F1B08">
        <w:rPr>
          <w:rFonts w:cstheme="minorHAnsi"/>
        </w:rPr>
        <w:t>.</w:t>
      </w:r>
      <w:r w:rsidRPr="000A0F0D">
        <w:rPr>
          <w:rFonts w:cstheme="minorHAnsi"/>
        </w:rPr>
        <w:t xml:space="preserve"> </w:t>
      </w:r>
      <w:r w:rsidR="002F1B08">
        <w:rPr>
          <w:rFonts w:cstheme="minorHAnsi"/>
        </w:rPr>
        <w:t>T</w:t>
      </w:r>
      <w:r w:rsidR="00DE7B83" w:rsidRPr="000A0F0D">
        <w:rPr>
          <w:rFonts w:cstheme="minorHAnsi"/>
        </w:rPr>
        <w:t xml:space="preserve">he lower value </w:t>
      </w:r>
      <w:r w:rsidR="00247925" w:rsidRPr="000A0F0D">
        <w:rPr>
          <w:rFonts w:cstheme="minorHAnsi"/>
        </w:rPr>
        <w:t xml:space="preserve">is part of a </w:t>
      </w:r>
      <w:r w:rsidR="00247925" w:rsidRPr="000A0F0D">
        <w:rPr>
          <w:rFonts w:cstheme="minorHAnsi"/>
          <w:i/>
        </w:rPr>
        <w:t>long-term</w:t>
      </w:r>
      <w:r w:rsidR="00247925" w:rsidRPr="000A0F0D">
        <w:rPr>
          <w:rFonts w:cstheme="minorHAnsi"/>
        </w:rPr>
        <w:t xml:space="preserve"> forecast for an advanced bus rapid transport system in Los Angeles</w:t>
      </w:r>
      <w:r w:rsidRPr="000A0F0D">
        <w:rPr>
          <w:rFonts w:cstheme="minorHAnsi"/>
        </w:rPr>
        <w:t xml:space="preserve">. </w:t>
      </w:r>
      <w:r w:rsidR="00247925" w:rsidRPr="000A0F0D">
        <w:rPr>
          <w:rFonts w:cstheme="minorHAnsi"/>
        </w:rPr>
        <w:t>As for cars, w</w:t>
      </w:r>
      <w:r w:rsidRPr="000A0F0D">
        <w:rPr>
          <w:rFonts w:cstheme="minorHAnsi"/>
        </w:rPr>
        <w:t>e</w:t>
      </w:r>
      <w:r w:rsidR="00247925" w:rsidRPr="000A0F0D">
        <w:rPr>
          <w:rFonts w:cstheme="minorHAnsi"/>
        </w:rPr>
        <w:t xml:space="preserve"> assume more efficient manufacturing and</w:t>
      </w:r>
      <w:r w:rsidRPr="000A0F0D">
        <w:rPr>
          <w:rFonts w:cstheme="minorHAnsi"/>
        </w:rPr>
        <w:t xml:space="preserve"> thus cut this value down 33%</w:t>
      </w:r>
      <w:r w:rsidR="00247925" w:rsidRPr="000A0F0D">
        <w:rPr>
          <w:rFonts w:cstheme="minorHAnsi"/>
        </w:rPr>
        <w:t>. This brings the 0.0</w:t>
      </w:r>
      <w:r w:rsidRPr="000A0F0D">
        <w:rPr>
          <w:rFonts w:cstheme="minorHAnsi"/>
        </w:rPr>
        <w:t xml:space="preserve">7 MJ/pkm down to </w:t>
      </w:r>
      <w:r w:rsidRPr="000A0F0D">
        <w:rPr>
          <w:rFonts w:cstheme="minorHAnsi"/>
          <w:b/>
        </w:rPr>
        <w:t>0.0</w:t>
      </w:r>
      <w:r w:rsidR="00247925" w:rsidRPr="000A0F0D">
        <w:rPr>
          <w:rFonts w:cstheme="minorHAnsi"/>
          <w:b/>
        </w:rPr>
        <w:t>4</w:t>
      </w:r>
      <w:r w:rsidRPr="000A0F0D">
        <w:rPr>
          <w:rFonts w:cstheme="minorHAnsi"/>
          <w:b/>
        </w:rPr>
        <w:t xml:space="preserve"> MJ/pkm</w:t>
      </w:r>
      <w:r w:rsidRPr="000A0F0D">
        <w:rPr>
          <w:rFonts w:cstheme="minorHAnsi"/>
        </w:rPr>
        <w:t>.</w:t>
      </w:r>
    </w:p>
    <w:p w14:paraId="4FC9D19E" w14:textId="7A8900D8" w:rsidR="00247925" w:rsidRPr="000A0F0D" w:rsidRDefault="00247925" w:rsidP="00247925">
      <w:pPr>
        <w:ind w:left="142"/>
      </w:pPr>
      <w:r w:rsidRPr="000A0F0D">
        <w:t>For</w:t>
      </w:r>
      <w:r w:rsidR="002F1B08">
        <w:t xml:space="preserve"> manufacturing</w:t>
      </w:r>
      <w:r w:rsidRPr="000A0F0D">
        <w:rPr>
          <w:b/>
        </w:rPr>
        <w:t xml:space="preserve"> trains</w:t>
      </w:r>
      <w:r w:rsidRPr="000A0F0D">
        <w:t xml:space="preserve">, averaged embodied energy values </w:t>
      </w:r>
      <w:r w:rsidR="000A0F0D" w:rsidRPr="000A0F0D">
        <w:t>as low as</w:t>
      </w:r>
      <w:r w:rsidRPr="000A0F0D">
        <w:t xml:space="preserve"> 0.0</w:t>
      </w:r>
      <w:r w:rsidR="000A0F0D" w:rsidRPr="000A0F0D">
        <w:t xml:space="preserve">1 </w:t>
      </w:r>
      <w:r w:rsidRPr="000A0F0D">
        <w:t>MJ/pkm are offer</w:t>
      </w:r>
      <w:r w:rsidR="000A0F0D" w:rsidRPr="000A0F0D">
        <w:t>ed</w:t>
      </w:r>
      <w:r w:rsidR="006A2825" w:rsidRPr="006A2825">
        <w:rPr>
          <w:noProof/>
          <w:vertAlign w:val="superscript"/>
        </w:rPr>
        <w:t>36, 37</w:t>
      </w:r>
      <w:r w:rsidRPr="000A0F0D">
        <w:t>.</w:t>
      </w:r>
      <w:r w:rsidRPr="000A0F0D">
        <w:rPr>
          <w:rFonts w:cstheme="minorHAnsi"/>
        </w:rPr>
        <w:t xml:space="preserve"> </w:t>
      </w:r>
      <w:r w:rsidR="000A0F0D" w:rsidRPr="000A0F0D">
        <w:rPr>
          <w:rFonts w:cstheme="minorHAnsi"/>
        </w:rPr>
        <w:t>Again this</w:t>
      </w:r>
      <w:r w:rsidRPr="000A0F0D">
        <w:rPr>
          <w:rFonts w:cstheme="minorHAnsi"/>
        </w:rPr>
        <w:t xml:space="preserve"> </w:t>
      </w:r>
      <w:r w:rsidR="009F42CB">
        <w:rPr>
          <w:rFonts w:cstheme="minorHAnsi"/>
        </w:rPr>
        <w:t>assumes</w:t>
      </w:r>
      <w:r w:rsidRPr="000A0F0D">
        <w:rPr>
          <w:rFonts w:cstheme="minorHAnsi"/>
        </w:rPr>
        <w:t xml:space="preserve"> </w:t>
      </w:r>
      <w:r w:rsidR="000A0F0D" w:rsidRPr="000A0F0D">
        <w:rPr>
          <w:rFonts w:cstheme="minorHAnsi"/>
        </w:rPr>
        <w:t xml:space="preserve">high </w:t>
      </w:r>
      <w:r w:rsidRPr="000A0F0D">
        <w:rPr>
          <w:rFonts w:cstheme="minorHAnsi"/>
        </w:rPr>
        <w:t xml:space="preserve">occupancy rates </w:t>
      </w:r>
      <w:r w:rsidR="000A0F0D" w:rsidRPr="000A0F0D">
        <w:rPr>
          <w:rFonts w:cstheme="minorHAnsi"/>
        </w:rPr>
        <w:t xml:space="preserve">and </w:t>
      </w:r>
      <w:r w:rsidRPr="000A0F0D">
        <w:rPr>
          <w:rFonts w:cstheme="minorHAnsi"/>
        </w:rPr>
        <w:t xml:space="preserve">a </w:t>
      </w:r>
      <w:r w:rsidRPr="000A0F0D">
        <w:rPr>
          <w:rFonts w:cstheme="minorHAnsi"/>
          <w:i/>
        </w:rPr>
        <w:t>long-term</w:t>
      </w:r>
      <w:r w:rsidRPr="000A0F0D">
        <w:rPr>
          <w:rFonts w:cstheme="minorHAnsi"/>
        </w:rPr>
        <w:t xml:space="preserve"> forecast for an advanced </w:t>
      </w:r>
      <w:r w:rsidR="000A0F0D" w:rsidRPr="000A0F0D">
        <w:rPr>
          <w:rFonts w:cstheme="minorHAnsi"/>
        </w:rPr>
        <w:t xml:space="preserve">rail transport </w:t>
      </w:r>
      <w:r w:rsidRPr="000A0F0D">
        <w:rPr>
          <w:rFonts w:cstheme="minorHAnsi"/>
        </w:rPr>
        <w:t xml:space="preserve">system. </w:t>
      </w:r>
      <w:r w:rsidR="000A0F0D" w:rsidRPr="000A0F0D">
        <w:rPr>
          <w:rFonts w:cstheme="minorHAnsi"/>
        </w:rPr>
        <w:t>We</w:t>
      </w:r>
      <w:r w:rsidRPr="000A0F0D">
        <w:rPr>
          <w:rFonts w:cstheme="minorHAnsi"/>
        </w:rPr>
        <w:t xml:space="preserve"> </w:t>
      </w:r>
      <w:r w:rsidR="003D117B" w:rsidRPr="000A0F0D">
        <w:rPr>
          <w:rFonts w:cstheme="minorHAnsi"/>
        </w:rPr>
        <w:t>again</w:t>
      </w:r>
      <w:r w:rsidR="003D117B">
        <w:rPr>
          <w:rFonts w:cstheme="minorHAnsi"/>
        </w:rPr>
        <w:t xml:space="preserve"> </w:t>
      </w:r>
      <w:r w:rsidRPr="000A0F0D">
        <w:rPr>
          <w:rFonts w:cstheme="minorHAnsi"/>
        </w:rPr>
        <w:t>cut this value down 33%</w:t>
      </w:r>
      <w:r w:rsidR="000A0F0D" w:rsidRPr="000A0F0D">
        <w:rPr>
          <w:rFonts w:cstheme="minorHAnsi"/>
        </w:rPr>
        <w:t xml:space="preserve"> </w:t>
      </w:r>
      <w:r w:rsidR="008759DA">
        <w:rPr>
          <w:rFonts w:cstheme="minorHAnsi"/>
        </w:rPr>
        <w:t>for manufacturing improvements</w:t>
      </w:r>
      <w:r w:rsidR="000A0F0D" w:rsidRPr="000A0F0D">
        <w:rPr>
          <w:rFonts w:cstheme="minorHAnsi"/>
        </w:rPr>
        <w:t>,</w:t>
      </w:r>
      <w:r w:rsidRPr="000A0F0D">
        <w:rPr>
          <w:rFonts w:cstheme="minorHAnsi"/>
        </w:rPr>
        <w:t xml:space="preserve"> </w:t>
      </w:r>
      <w:r w:rsidR="000A0F0D" w:rsidRPr="000A0F0D">
        <w:rPr>
          <w:rFonts w:cstheme="minorHAnsi"/>
        </w:rPr>
        <w:t>giv</w:t>
      </w:r>
      <w:r w:rsidR="0099300A">
        <w:rPr>
          <w:rFonts w:cstheme="minorHAnsi"/>
        </w:rPr>
        <w:t>ing</w:t>
      </w:r>
      <w:r w:rsidRPr="000A0F0D">
        <w:rPr>
          <w:rFonts w:cstheme="minorHAnsi"/>
        </w:rPr>
        <w:t xml:space="preserve"> </w:t>
      </w:r>
      <w:r w:rsidRPr="000A0F0D">
        <w:rPr>
          <w:rFonts w:cstheme="minorHAnsi"/>
          <w:b/>
        </w:rPr>
        <w:t>0.0</w:t>
      </w:r>
      <w:r w:rsidR="000A0F0D" w:rsidRPr="000A0F0D">
        <w:rPr>
          <w:rFonts w:cstheme="minorHAnsi"/>
          <w:b/>
        </w:rPr>
        <w:t>07</w:t>
      </w:r>
      <w:r w:rsidRPr="000A0F0D">
        <w:rPr>
          <w:rFonts w:cstheme="minorHAnsi"/>
          <w:b/>
        </w:rPr>
        <w:t xml:space="preserve"> MJ/pkm</w:t>
      </w:r>
      <w:r w:rsidRPr="000A0F0D">
        <w:rPr>
          <w:rFonts w:cstheme="minorHAnsi"/>
        </w:rPr>
        <w:t>.</w:t>
      </w:r>
    </w:p>
    <w:p w14:paraId="543D3850" w14:textId="0A06FA23" w:rsidR="008759DA" w:rsidRDefault="00C92505" w:rsidP="002F1B08">
      <w:pPr>
        <w:ind w:left="142"/>
      </w:pPr>
      <w:r w:rsidRPr="008759DA">
        <w:t>For</w:t>
      </w:r>
      <w:r w:rsidRPr="008759DA">
        <w:rPr>
          <w:b/>
        </w:rPr>
        <w:t xml:space="preserve"> </w:t>
      </w:r>
      <w:r w:rsidR="002F1B08" w:rsidRPr="002F1B08">
        <w:t>manufacturing</w:t>
      </w:r>
      <w:r w:rsidR="002F1B08">
        <w:rPr>
          <w:b/>
        </w:rPr>
        <w:t xml:space="preserve"> </w:t>
      </w:r>
      <w:r w:rsidR="000A0F0D" w:rsidRPr="008759DA">
        <w:rPr>
          <w:b/>
        </w:rPr>
        <w:t>planes</w:t>
      </w:r>
      <w:r w:rsidRPr="008759DA">
        <w:t xml:space="preserve">, </w:t>
      </w:r>
      <w:r w:rsidR="00B82B6E" w:rsidRPr="008759DA">
        <w:rPr>
          <w:noProof/>
        </w:rPr>
        <w:t>Chester and Horvath</w:t>
      </w:r>
      <w:r w:rsidR="006A2825" w:rsidRPr="006A2825">
        <w:rPr>
          <w:noProof/>
          <w:vertAlign w:val="superscript"/>
        </w:rPr>
        <w:t>36</w:t>
      </w:r>
      <w:r w:rsidRPr="008759DA">
        <w:t xml:space="preserve"> </w:t>
      </w:r>
      <w:r w:rsidR="000A0F0D" w:rsidRPr="008759DA">
        <w:t xml:space="preserve">offer values </w:t>
      </w:r>
      <w:r w:rsidR="002F1B08">
        <w:t xml:space="preserve">for </w:t>
      </w:r>
      <w:r w:rsidR="000A0F0D" w:rsidRPr="008759DA">
        <w:t>large</w:t>
      </w:r>
      <w:r w:rsidR="002F1B08">
        <w:t>,</w:t>
      </w:r>
      <w:r w:rsidR="000A0F0D" w:rsidRPr="008759DA">
        <w:t xml:space="preserve"> </w:t>
      </w:r>
      <w:r w:rsidR="002F1B08">
        <w:t xml:space="preserve">medium </w:t>
      </w:r>
      <w:r w:rsidR="000A0F0D" w:rsidRPr="008759DA">
        <w:t xml:space="preserve">and small aircraft, and we use the former </w:t>
      </w:r>
      <w:r w:rsidR="002C0446">
        <w:t>(lowest</w:t>
      </w:r>
      <w:r w:rsidR="000A0F0D" w:rsidRPr="008759DA">
        <w:t xml:space="preserve">) value, namely </w:t>
      </w:r>
      <w:r w:rsidRPr="008759DA">
        <w:t>0.</w:t>
      </w:r>
      <w:r w:rsidR="000A0F0D" w:rsidRPr="008759DA">
        <w:t>13</w:t>
      </w:r>
      <w:r w:rsidRPr="008759DA">
        <w:t xml:space="preserve"> MJ/pkm</w:t>
      </w:r>
      <w:r w:rsidR="000A0F0D" w:rsidRPr="008759DA">
        <w:t>.</w:t>
      </w:r>
      <w:r w:rsidRPr="008759DA">
        <w:t xml:space="preserve"> </w:t>
      </w:r>
      <w:r w:rsidR="008759DA" w:rsidRPr="008759DA">
        <w:rPr>
          <w:rFonts w:cstheme="minorHAnsi"/>
        </w:rPr>
        <w:t xml:space="preserve">Again we cut this down 33% for manufacturing improvements, to give 0.09 MJ/pkm. </w:t>
      </w:r>
      <w:r w:rsidR="000A0F0D" w:rsidRPr="008759DA">
        <w:t xml:space="preserve">We also </w:t>
      </w:r>
      <w:r w:rsidR="008759DA" w:rsidRPr="008759DA">
        <w:t xml:space="preserve">add </w:t>
      </w:r>
      <w:r w:rsidR="000A0F0D" w:rsidRPr="008759DA">
        <w:t xml:space="preserve">their estimates for the </w:t>
      </w:r>
      <w:r w:rsidR="00C33E1B" w:rsidRPr="008759DA">
        <w:t xml:space="preserve">embodied </w:t>
      </w:r>
      <w:r w:rsidR="000A0F0D" w:rsidRPr="008759DA">
        <w:lastRenderedPageBreak/>
        <w:t xml:space="preserve">energy </w:t>
      </w:r>
      <w:r w:rsidR="00C33E1B">
        <w:t>of</w:t>
      </w:r>
      <w:r w:rsidR="000A0F0D" w:rsidRPr="008759DA">
        <w:t xml:space="preserve"> fuel provision, namely 0.14 MJ/pkm</w:t>
      </w:r>
      <w:r w:rsidR="008759DA" w:rsidRPr="008759DA">
        <w:t xml:space="preserve">, </w:t>
      </w:r>
      <w:r w:rsidR="00777870">
        <w:t>but</w:t>
      </w:r>
      <w:r w:rsidR="008759DA" w:rsidRPr="008759DA">
        <w:t xml:space="preserve"> we reduce this to 0.09 MJ/pkm to be consistent with the efficiency inc</w:t>
      </w:r>
      <w:r w:rsidR="002C0446">
        <w:t xml:space="preserve">reases in direct energy that we‘ve </w:t>
      </w:r>
      <w:r w:rsidR="008759DA" w:rsidRPr="008759DA">
        <w:t>assumed for planes</w:t>
      </w:r>
      <w:r w:rsidR="000A0F0D" w:rsidRPr="008759DA">
        <w:t>. (Note, as described later, we</w:t>
      </w:r>
      <w:r w:rsidR="00241ACC">
        <w:t xml:space="preserve"> assume</w:t>
      </w:r>
      <w:r w:rsidR="000A0F0D" w:rsidRPr="008759DA">
        <w:t xml:space="preserve"> surface transport is electrified, thus </w:t>
      </w:r>
      <w:r w:rsidR="002C0446">
        <w:t xml:space="preserve">the </w:t>
      </w:r>
      <w:r w:rsidR="000A0F0D" w:rsidRPr="008759DA">
        <w:t xml:space="preserve">energy embodied in </w:t>
      </w:r>
      <w:r w:rsidR="00241ACC">
        <w:t xml:space="preserve">is included below in </w:t>
      </w:r>
      <w:r w:rsidR="00241ACC">
        <w:rPr>
          <w:i/>
        </w:rPr>
        <w:t>P</w:t>
      </w:r>
      <w:r w:rsidR="00241ACC" w:rsidRPr="00241ACC">
        <w:rPr>
          <w:i/>
        </w:rPr>
        <w:t xml:space="preserve">ower </w:t>
      </w:r>
      <w:r w:rsidR="00241ACC">
        <w:rPr>
          <w:i/>
        </w:rPr>
        <w:t>Supply</w:t>
      </w:r>
      <w:r w:rsidR="000A0F0D" w:rsidRPr="008759DA">
        <w:t>.)</w:t>
      </w:r>
      <w:r w:rsidR="008759DA" w:rsidRPr="008759DA">
        <w:t xml:space="preserve"> This gives </w:t>
      </w:r>
      <w:r w:rsidR="008759DA" w:rsidRPr="008759DA">
        <w:rPr>
          <w:b/>
        </w:rPr>
        <w:t>0.18 MJ/pkm</w:t>
      </w:r>
      <w:r w:rsidR="008759DA" w:rsidRPr="008759DA">
        <w:t xml:space="preserve"> for the </w:t>
      </w:r>
      <w:r w:rsidR="002C0446">
        <w:t xml:space="preserve">combined </w:t>
      </w:r>
      <w:r w:rsidR="008759DA" w:rsidRPr="008759DA">
        <w:t>energy embodied in planes and their fuel.</w:t>
      </w:r>
    </w:p>
    <w:p w14:paraId="3FC6ECEE" w14:textId="0B96BEC0" w:rsidR="0099416A" w:rsidRDefault="00C055F8" w:rsidP="007A062E">
      <w:pPr>
        <w:ind w:left="142"/>
      </w:pPr>
      <w:r>
        <w:t xml:space="preserve">Finally, we assume the embodied energy in any </w:t>
      </w:r>
      <w:r w:rsidRPr="008759DA">
        <w:rPr>
          <w:b/>
        </w:rPr>
        <w:t xml:space="preserve">non-motorised transport </w:t>
      </w:r>
      <w:r>
        <w:t>equipment is negligib</w:t>
      </w:r>
      <w:r w:rsidR="007A062E">
        <w:t>le.</w:t>
      </w:r>
    </w:p>
    <w:p w14:paraId="213890E4" w14:textId="7ED1E6DC" w:rsidR="000F0AE9" w:rsidRDefault="000F0AE9" w:rsidP="00A5581F">
      <w:pPr>
        <w:pStyle w:val="Heading3"/>
        <w:spacing w:before="360"/>
      </w:pPr>
      <w:r w:rsidRPr="0007346F">
        <w:t>Infrastructure</w:t>
      </w:r>
    </w:p>
    <w:p w14:paraId="121B3FB1" w14:textId="2F33B6A4" w:rsidR="000F0AE9" w:rsidRDefault="000F0AE9" w:rsidP="000F0AE9">
      <w:r>
        <w:t xml:space="preserve">To estimate the energy embodied in infrastructure supporting the mobility requirements outlined above, we again use data from </w:t>
      </w:r>
      <w:r w:rsidR="00E46CF1">
        <w:rPr>
          <w:noProof/>
        </w:rPr>
        <w:t>Chester and Horvath</w:t>
      </w:r>
      <w:r w:rsidR="006A2825" w:rsidRPr="006A2825">
        <w:rPr>
          <w:noProof/>
          <w:vertAlign w:val="superscript"/>
        </w:rPr>
        <w:t>36</w:t>
      </w:r>
      <w:r>
        <w:t xml:space="preserve"> and </w:t>
      </w:r>
      <w:r w:rsidR="00E46CF1">
        <w:rPr>
          <w:noProof/>
        </w:rPr>
        <w:t>Chester</w:t>
      </w:r>
      <w:r w:rsidR="00E46CF1" w:rsidRPr="00B20917">
        <w:rPr>
          <w:i/>
          <w:noProof/>
        </w:rPr>
        <w:t xml:space="preserve"> et al.</w:t>
      </w:r>
      <w:r w:rsidR="006A2825" w:rsidRPr="006A2825">
        <w:rPr>
          <w:noProof/>
          <w:vertAlign w:val="superscript"/>
        </w:rPr>
        <w:t>37</w:t>
      </w:r>
      <w:r>
        <w:t xml:space="preserve">. They offer the embodied energy of infrastructure in the same format – and for the same transport networks – as </w:t>
      </w:r>
      <w:r w:rsidR="00E46CF1">
        <w:t>they do for vehicle manufacture (</w:t>
      </w:r>
      <w:r>
        <w:t>averaged to MJ/pkm values</w:t>
      </w:r>
      <w:r w:rsidR="00E46CF1">
        <w:t>)</w:t>
      </w:r>
      <w:r>
        <w:t xml:space="preserve">. </w:t>
      </w:r>
      <w:r w:rsidR="00E46CF1">
        <w:t>T</w:t>
      </w:r>
      <w:r>
        <w:t>heir values for conventional cars range from 0.11-0.4 MJ/pkm, for buses 0.02-0.37 MJ/pkm, for rail transport 0.16-0.76 MJ/pkm, and for air transport 0.06-0.07 MJ/pkm.</w:t>
      </w:r>
    </w:p>
    <w:p w14:paraId="3A671A01" w14:textId="5A72A639" w:rsidR="000F0AE9" w:rsidRDefault="000F0AE9" w:rsidP="000F0AE9">
      <w:pPr>
        <w:ind w:left="284"/>
      </w:pPr>
      <w:r>
        <w:t xml:space="preserve">For </w:t>
      </w:r>
      <w:r w:rsidRPr="00271298">
        <w:rPr>
          <w:b/>
        </w:rPr>
        <w:t>cars</w:t>
      </w:r>
      <w:r>
        <w:t>, we take the average as our starting point, 0.25 MJ/pkm. We then reduce this to account for higher occupancy rates (3 peo</w:t>
      </w:r>
      <w:r w:rsidR="00E46CF1">
        <w:t>ple per vehicle, as opposed to ~</w:t>
      </w:r>
      <w:r>
        <w:t xml:space="preserve">1.6) and more efficient production. For the latter, we take the potential 2050 improvements in cement production efficiency as a proxy for road transport infrastructure in general, namely a 22% improvement from </w:t>
      </w:r>
      <w:r w:rsidR="005B396D">
        <w:rPr>
          <w:noProof/>
        </w:rPr>
        <w:t>Millward-Hopkins</w:t>
      </w:r>
      <w:r w:rsidR="005B396D" w:rsidRPr="00B20917">
        <w:rPr>
          <w:i/>
          <w:noProof/>
        </w:rPr>
        <w:t xml:space="preserve"> et al.</w:t>
      </w:r>
      <w:r w:rsidR="006A2825" w:rsidRPr="006A2825">
        <w:rPr>
          <w:noProof/>
          <w:vertAlign w:val="superscript"/>
        </w:rPr>
        <w:t>39</w:t>
      </w:r>
      <w:r>
        <w:t xml:space="preserve">. This gives a final input value of </w:t>
      </w:r>
      <w:r w:rsidRPr="00271298">
        <w:rPr>
          <w:b/>
        </w:rPr>
        <w:t>0.11 MJ/pkm</w:t>
      </w:r>
      <w:r>
        <w:t xml:space="preserve">. This infrastructure is assumed to be sufficient to support </w:t>
      </w:r>
      <w:r w:rsidRPr="001732CD">
        <w:rPr>
          <w:b/>
        </w:rPr>
        <w:t>non-motorised travel</w:t>
      </w:r>
      <w:r>
        <w:t xml:space="preserve"> as well.</w:t>
      </w:r>
    </w:p>
    <w:p w14:paraId="205D74C1" w14:textId="4576386C" w:rsidR="000F0AE9" w:rsidRDefault="000F0AE9" w:rsidP="000F0AE9">
      <w:pPr>
        <w:ind w:left="284"/>
      </w:pPr>
      <w:r>
        <w:t xml:space="preserve">For </w:t>
      </w:r>
      <w:r>
        <w:rPr>
          <w:b/>
        </w:rPr>
        <w:t>buses</w:t>
      </w:r>
      <w:r>
        <w:t xml:space="preserve">, we take a value towards the lower end of the range as our starting point, specifically 0.07 MJ/pkm (the higher values assume low occupancy). This is the </w:t>
      </w:r>
      <w:r>
        <w:rPr>
          <w:i/>
        </w:rPr>
        <w:t>long-term</w:t>
      </w:r>
      <w:r>
        <w:t xml:space="preserve"> estimate of </w:t>
      </w:r>
      <w:r w:rsidR="005B396D">
        <w:rPr>
          <w:noProof/>
        </w:rPr>
        <w:t>Chester</w:t>
      </w:r>
      <w:r w:rsidR="005B396D" w:rsidRPr="00B20917">
        <w:rPr>
          <w:i/>
          <w:noProof/>
        </w:rPr>
        <w:t xml:space="preserve"> et al.</w:t>
      </w:r>
      <w:r w:rsidR="006A2825" w:rsidRPr="006A2825">
        <w:rPr>
          <w:noProof/>
          <w:vertAlign w:val="superscript"/>
        </w:rPr>
        <w:t>37</w:t>
      </w:r>
      <w:r>
        <w:t xml:space="preserve"> for Bus Rapid Transport in Los Angeles, and assumes high occupancy rates. We reduce this to account for more efficient production, using th</w:t>
      </w:r>
      <w:r w:rsidR="001732CD">
        <w:t>e same 22% reduction as for car infrastructure</w:t>
      </w:r>
      <w:r>
        <w:t xml:space="preserve">, giving a final input value of </w:t>
      </w:r>
      <w:r>
        <w:rPr>
          <w:b/>
        </w:rPr>
        <w:t>0.05</w:t>
      </w:r>
      <w:r w:rsidRPr="00271298">
        <w:rPr>
          <w:b/>
        </w:rPr>
        <w:t xml:space="preserve"> MJ/pkm</w:t>
      </w:r>
      <w:r>
        <w:t>.</w:t>
      </w:r>
    </w:p>
    <w:p w14:paraId="3C54C22A" w14:textId="3DE3D54D" w:rsidR="000F0AE9" w:rsidRDefault="000F0AE9" w:rsidP="000F0AE9">
      <w:pPr>
        <w:ind w:left="284"/>
      </w:pPr>
      <w:r>
        <w:t xml:space="preserve">For </w:t>
      </w:r>
      <w:r>
        <w:rPr>
          <w:b/>
        </w:rPr>
        <w:t>rail transport</w:t>
      </w:r>
      <w:r>
        <w:t xml:space="preserve">, we again take a value towards the lower end of the range as our starting point, specifically 0.33 MJ/pkm, which lies in the middle of the estimates of </w:t>
      </w:r>
      <w:r w:rsidR="005B396D">
        <w:rPr>
          <w:noProof/>
        </w:rPr>
        <w:t>Chester and Horvath</w:t>
      </w:r>
      <w:r w:rsidR="006A2825" w:rsidRPr="006A2825">
        <w:rPr>
          <w:noProof/>
          <w:vertAlign w:val="superscript"/>
        </w:rPr>
        <w:t>36</w:t>
      </w:r>
      <w:r>
        <w:t xml:space="preserve"> and </w:t>
      </w:r>
      <w:r w:rsidR="005B396D">
        <w:rPr>
          <w:noProof/>
        </w:rPr>
        <w:t>Chester</w:t>
      </w:r>
      <w:r w:rsidR="005B396D" w:rsidRPr="00B20917">
        <w:rPr>
          <w:i/>
          <w:noProof/>
        </w:rPr>
        <w:t xml:space="preserve"> et al.</w:t>
      </w:r>
      <w:r w:rsidR="006A2825" w:rsidRPr="006A2825">
        <w:rPr>
          <w:noProof/>
          <w:vertAlign w:val="superscript"/>
        </w:rPr>
        <w:t>37</w:t>
      </w:r>
      <w:r>
        <w:t xml:space="preserve"> that use high occupancy rates. We then reduce this by 33% to account for more efficient production, now using steel as the proxy material, thus giving </w:t>
      </w:r>
      <w:r>
        <w:rPr>
          <w:b/>
        </w:rPr>
        <w:t>0.22</w:t>
      </w:r>
      <w:r w:rsidRPr="00271298">
        <w:rPr>
          <w:b/>
        </w:rPr>
        <w:t xml:space="preserve"> MJ/pkm</w:t>
      </w:r>
      <w:r>
        <w:t>.</w:t>
      </w:r>
    </w:p>
    <w:p w14:paraId="1AA9ABFD" w14:textId="1E863C95" w:rsidR="000F0AE9" w:rsidRDefault="000F0AE9" w:rsidP="000F0AE9">
      <w:pPr>
        <w:ind w:left="284"/>
      </w:pPr>
      <w:r>
        <w:t xml:space="preserve">For </w:t>
      </w:r>
      <w:r>
        <w:rPr>
          <w:b/>
        </w:rPr>
        <w:t>air transport</w:t>
      </w:r>
      <w:r>
        <w:t xml:space="preserve">, we start with the narrow range of estimates of </w:t>
      </w:r>
      <w:r w:rsidR="005B396D">
        <w:rPr>
          <w:noProof/>
        </w:rPr>
        <w:t>Chester and Horvath</w:t>
      </w:r>
      <w:r w:rsidR="006A2825" w:rsidRPr="006A2825">
        <w:rPr>
          <w:noProof/>
          <w:vertAlign w:val="superscript"/>
        </w:rPr>
        <w:t>36</w:t>
      </w:r>
      <w:r w:rsidR="005B396D">
        <w:t>, 0.06-0.07 MJ/pkm</w:t>
      </w:r>
      <w:r w:rsidR="00777870" w:rsidRPr="00777870">
        <w:rPr>
          <w:vertAlign w:val="superscript"/>
        </w:rPr>
        <w:t>40</w:t>
      </w:r>
      <w:r>
        <w:t xml:space="preserve">. As they already use high occupancy rates, we reduce them further only to account for more efficient production – </w:t>
      </w:r>
      <w:r w:rsidR="005B396D">
        <w:t>again</w:t>
      </w:r>
      <w:r>
        <w:t xml:space="preserve"> by 22%, with cement as the proxy material. This gives a final input value of </w:t>
      </w:r>
      <w:r>
        <w:rPr>
          <w:b/>
        </w:rPr>
        <w:t>0.05</w:t>
      </w:r>
      <w:r w:rsidRPr="00271298">
        <w:rPr>
          <w:b/>
        </w:rPr>
        <w:t xml:space="preserve"> MJ/pkm</w:t>
      </w:r>
      <w:r>
        <w:t>.</w:t>
      </w:r>
    </w:p>
    <w:p w14:paraId="44073B87" w14:textId="1FEDA921" w:rsidR="001732CD" w:rsidRDefault="00B10CC6" w:rsidP="00777870">
      <w:r>
        <w:t xml:space="preserve">Overall, adding direct and indirect and infrastructure-related emissions for mobility gives values ranging from </w:t>
      </w:r>
      <w:r w:rsidR="001732CD">
        <w:rPr>
          <w:b/>
        </w:rPr>
        <w:t>2</w:t>
      </w:r>
      <w:r w:rsidRPr="00B10CC6">
        <w:rPr>
          <w:b/>
        </w:rPr>
        <w:t>.</w:t>
      </w:r>
      <w:r w:rsidR="001732CD">
        <w:rPr>
          <w:b/>
        </w:rPr>
        <w:t>1</w:t>
      </w:r>
      <w:r w:rsidRPr="00B10CC6">
        <w:rPr>
          <w:b/>
        </w:rPr>
        <w:t>-</w:t>
      </w:r>
      <w:r w:rsidR="001732CD">
        <w:rPr>
          <w:b/>
        </w:rPr>
        <w:t>4</w:t>
      </w:r>
      <w:r w:rsidRPr="00B10CC6">
        <w:rPr>
          <w:b/>
        </w:rPr>
        <w:t>.</w:t>
      </w:r>
      <w:r w:rsidR="001732CD">
        <w:rPr>
          <w:b/>
        </w:rPr>
        <w:t>0</w:t>
      </w:r>
      <w:r w:rsidRPr="00B10CC6">
        <w:rPr>
          <w:b/>
        </w:rPr>
        <w:t xml:space="preserve"> GJ/cap/</w:t>
      </w:r>
      <w:proofErr w:type="spellStart"/>
      <w:r w:rsidRPr="00B10CC6">
        <w:rPr>
          <w:b/>
        </w:rPr>
        <w:t>yr</w:t>
      </w:r>
      <w:proofErr w:type="spellEnd"/>
      <w:r>
        <w:t xml:space="preserve"> in urban areas and </w:t>
      </w:r>
      <w:r w:rsidRPr="00B10CC6">
        <w:rPr>
          <w:b/>
        </w:rPr>
        <w:t>2.</w:t>
      </w:r>
      <w:r w:rsidR="001732CD">
        <w:rPr>
          <w:b/>
        </w:rPr>
        <w:t>8-5</w:t>
      </w:r>
      <w:r w:rsidRPr="00B10CC6">
        <w:rPr>
          <w:b/>
        </w:rPr>
        <w:t>.</w:t>
      </w:r>
      <w:r w:rsidR="001732CD">
        <w:rPr>
          <w:b/>
        </w:rPr>
        <w:t>4</w:t>
      </w:r>
      <w:r w:rsidRPr="00B10CC6">
        <w:rPr>
          <w:b/>
        </w:rPr>
        <w:t xml:space="preserve"> GJ/cap/</w:t>
      </w:r>
      <w:proofErr w:type="spellStart"/>
      <w:r w:rsidRPr="00B10CC6">
        <w:rPr>
          <w:b/>
        </w:rPr>
        <w:t>yr</w:t>
      </w:r>
      <w:proofErr w:type="spellEnd"/>
      <w:r>
        <w:t xml:space="preserve"> in rural areas.</w:t>
      </w:r>
    </w:p>
    <w:p w14:paraId="712AE4CA" w14:textId="6CD3A269" w:rsidR="00914586" w:rsidRPr="001732CD" w:rsidRDefault="00914586" w:rsidP="00777870">
      <w:pPr>
        <w:pStyle w:val="Heading1"/>
        <w:spacing w:before="360"/>
      </w:pPr>
      <w:r w:rsidRPr="001732CD">
        <w:t>Communication and information</w:t>
      </w:r>
    </w:p>
    <w:p w14:paraId="173A47A0" w14:textId="77777777" w:rsidR="0008571B" w:rsidRDefault="0008571B" w:rsidP="00A5581F">
      <w:pPr>
        <w:pStyle w:val="Heading2"/>
        <w:spacing w:before="80"/>
      </w:pPr>
      <w:r>
        <w:t>Phones</w:t>
      </w:r>
    </w:p>
    <w:p w14:paraId="29455019" w14:textId="1C73AC27" w:rsidR="0008571B" w:rsidRDefault="00AB004E" w:rsidP="00215A1F">
      <w:r>
        <w:rPr>
          <w:noProof/>
        </w:rPr>
        <w:t>Rao and Min</w:t>
      </w:r>
      <w:r w:rsidR="006A2825" w:rsidRPr="006A2825">
        <w:rPr>
          <w:noProof/>
          <w:vertAlign w:val="superscript"/>
        </w:rPr>
        <w:t>3</w:t>
      </w:r>
      <w:r w:rsidR="009A2AC3">
        <w:t xml:space="preserve"> </w:t>
      </w:r>
      <w:r w:rsidR="0008571B">
        <w:t xml:space="preserve">suggest one phone per </w:t>
      </w:r>
      <w:r w:rsidR="00491C51">
        <w:t>adult</w:t>
      </w:r>
      <w:r w:rsidR="00215A1F">
        <w:t xml:space="preserve"> is required for decent living, given the demands of contemporary social participation</w:t>
      </w:r>
      <w:r w:rsidR="0008571B">
        <w:t xml:space="preserve">. </w:t>
      </w:r>
      <w:r w:rsidR="00215A1F">
        <w:t>W</w:t>
      </w:r>
      <w:r w:rsidR="0008571B">
        <w:t xml:space="preserve">e assume this applies only to those over the age of </w:t>
      </w:r>
      <w:r w:rsidR="00491C51">
        <w:t>10</w:t>
      </w:r>
      <w:r w:rsidR="001409CF">
        <w:t xml:space="preserve"> </w:t>
      </w:r>
      <w:proofErr w:type="spellStart"/>
      <w:r w:rsidR="0008571B">
        <w:t>yrs</w:t>
      </w:r>
      <w:proofErr w:type="spellEnd"/>
      <w:r w:rsidR="0008571B">
        <w:t xml:space="preserve">, </w:t>
      </w:r>
      <w:r w:rsidR="00215A1F">
        <w:t>thus obtaining</w:t>
      </w:r>
      <w:r w:rsidR="0008571B">
        <w:t xml:space="preserve"> </w:t>
      </w:r>
      <w:r w:rsidR="00215A1F">
        <w:t xml:space="preserve">average </w:t>
      </w:r>
      <w:r w:rsidR="0008571B">
        <w:t xml:space="preserve">values </w:t>
      </w:r>
      <w:r w:rsidR="00215A1F">
        <w:t>of</w:t>
      </w:r>
      <w:r w:rsidR="00020B82">
        <w:t xml:space="preserve"> </w:t>
      </w:r>
      <w:r w:rsidR="00491C51">
        <w:t>0.75</w:t>
      </w:r>
      <w:r w:rsidR="00020B82">
        <w:t xml:space="preserve"> </w:t>
      </w:r>
      <w:r w:rsidR="00215A1F">
        <w:t>to</w:t>
      </w:r>
      <w:r w:rsidR="00020B82">
        <w:t xml:space="preserve"> </w:t>
      </w:r>
      <w:r w:rsidR="0008571B">
        <w:t>0.9</w:t>
      </w:r>
      <w:r w:rsidR="00491C51">
        <w:t>4</w:t>
      </w:r>
      <w:r w:rsidR="0008571B">
        <w:t xml:space="preserve"> phones/cap</w:t>
      </w:r>
      <w:r w:rsidR="00215A1F">
        <w:t>, depe</w:t>
      </w:r>
      <w:r w:rsidR="001409CF">
        <w:t>nding upon the age distribution</w:t>
      </w:r>
      <w:r w:rsidR="00215A1F">
        <w:t xml:space="preserve"> of </w:t>
      </w:r>
      <w:r w:rsidR="001409CF">
        <w:t>a nation</w:t>
      </w:r>
      <w:r w:rsidR="0008571B">
        <w:t>.</w:t>
      </w:r>
      <w:r w:rsidR="00215A1F">
        <w:t xml:space="preserve"> </w:t>
      </w:r>
      <w:r w:rsidR="0008571B">
        <w:t>We</w:t>
      </w:r>
      <w:r w:rsidR="00215A1F">
        <w:t xml:space="preserve"> then calculate energy requirements</w:t>
      </w:r>
      <w:r w:rsidR="0008571B">
        <w:t xml:space="preserve"> for </w:t>
      </w:r>
      <w:r w:rsidR="0008571B" w:rsidRPr="00215A1F">
        <w:rPr>
          <w:i/>
        </w:rPr>
        <w:t>use</w:t>
      </w:r>
      <w:r w:rsidR="00215A1F">
        <w:t xml:space="preserve"> and</w:t>
      </w:r>
      <w:r w:rsidR="0008571B">
        <w:t xml:space="preserve"> </w:t>
      </w:r>
      <w:r w:rsidR="0008571B" w:rsidRPr="00215A1F">
        <w:rPr>
          <w:i/>
        </w:rPr>
        <w:t>production</w:t>
      </w:r>
      <w:r w:rsidR="0008571B">
        <w:t xml:space="preserve"> </w:t>
      </w:r>
      <w:r w:rsidR="0008571B" w:rsidRPr="00215A1F">
        <w:rPr>
          <w:i/>
        </w:rPr>
        <w:t xml:space="preserve">and </w:t>
      </w:r>
      <w:r w:rsidR="00215A1F" w:rsidRPr="00215A1F">
        <w:rPr>
          <w:i/>
        </w:rPr>
        <w:t>distribution</w:t>
      </w:r>
      <w:r w:rsidR="00215A1F">
        <w:t xml:space="preserve"> – provision of service networks</w:t>
      </w:r>
      <w:r w:rsidR="0008571B">
        <w:t xml:space="preserve"> is estimated separately </w:t>
      </w:r>
      <w:r w:rsidR="001409CF">
        <w:t xml:space="preserve">below </w:t>
      </w:r>
      <w:r w:rsidR="0008571B">
        <w:t xml:space="preserve">in </w:t>
      </w:r>
      <w:r w:rsidR="001409CF" w:rsidRPr="001409CF">
        <w:rPr>
          <w:i/>
        </w:rPr>
        <w:t>networks and</w:t>
      </w:r>
      <w:r w:rsidR="0008571B" w:rsidRPr="001409CF">
        <w:rPr>
          <w:i/>
        </w:rPr>
        <w:t xml:space="preserve"> infrastructure</w:t>
      </w:r>
      <w:r w:rsidR="00215A1F">
        <w:t>.</w:t>
      </w:r>
    </w:p>
    <w:p w14:paraId="60067542" w14:textId="215D8CE2" w:rsidR="008408CD" w:rsidRDefault="0008571B" w:rsidP="00B3745C">
      <w:r>
        <w:t>As</w:t>
      </w:r>
      <w:r w:rsidR="009A2AC3">
        <w:t xml:space="preserve"> </w:t>
      </w:r>
      <w:r w:rsidR="00AB004E">
        <w:rPr>
          <w:noProof/>
        </w:rPr>
        <w:t>Grubler</w:t>
      </w:r>
      <w:r w:rsidR="00AB004E" w:rsidRPr="00B20917">
        <w:rPr>
          <w:i/>
          <w:noProof/>
        </w:rPr>
        <w:t xml:space="preserve"> et al.</w:t>
      </w:r>
      <w:r w:rsidR="006A2825" w:rsidRPr="006A2825">
        <w:rPr>
          <w:noProof/>
          <w:vertAlign w:val="superscript"/>
        </w:rPr>
        <w:t>2</w:t>
      </w:r>
      <w:r>
        <w:t xml:space="preserve"> point out, smart phones can replace many other electronic gadgets – cameras, radios, GPS, etc. – by streamlining functionality</w:t>
      </w:r>
      <w:r w:rsidR="00E05A81">
        <w:t>. This potentially reduces</w:t>
      </w:r>
      <w:r>
        <w:t xml:space="preserve"> both </w:t>
      </w:r>
      <w:r w:rsidR="00E05A81">
        <w:t xml:space="preserve">the </w:t>
      </w:r>
      <w:r>
        <w:t xml:space="preserve">material and </w:t>
      </w:r>
      <w:r>
        <w:lastRenderedPageBreak/>
        <w:t>energy requirements of electronic goods.</w:t>
      </w:r>
      <w:r w:rsidR="00B3745C">
        <w:t xml:space="preserve"> </w:t>
      </w:r>
      <w:r>
        <w:t xml:space="preserve">In use, </w:t>
      </w:r>
      <w:r w:rsidR="00AB004E">
        <w:rPr>
          <w:noProof/>
        </w:rPr>
        <w:t>Grubler</w:t>
      </w:r>
      <w:r w:rsidR="00AB004E" w:rsidRPr="00B20917">
        <w:rPr>
          <w:i/>
          <w:noProof/>
        </w:rPr>
        <w:t xml:space="preserve"> et al.</w:t>
      </w:r>
      <w:r w:rsidR="006A2825" w:rsidRPr="006A2825">
        <w:rPr>
          <w:noProof/>
          <w:vertAlign w:val="superscript"/>
        </w:rPr>
        <w:t>2</w:t>
      </w:r>
      <w:r w:rsidR="009A2AC3">
        <w:t xml:space="preserve"> </w:t>
      </w:r>
      <w:r w:rsidR="00B3745C">
        <w:t>offer</w:t>
      </w:r>
      <w:r>
        <w:t xml:space="preserve"> a value </w:t>
      </w:r>
      <w:r w:rsidR="00B3745C">
        <w:t xml:space="preserve">for smartphone electricity use </w:t>
      </w:r>
      <w:r>
        <w:t>of 5W at full power and 1W in standby (</w:t>
      </w:r>
      <w:r w:rsidR="00B3745C">
        <w:t>or</w:t>
      </w:r>
      <w:r w:rsidR="00C22850">
        <w:t xml:space="preserve"> </w:t>
      </w:r>
      <w:r>
        <w:t>7-32kWh/</w:t>
      </w:r>
      <w:proofErr w:type="spellStart"/>
      <w:r>
        <w:t>yr</w:t>
      </w:r>
      <w:proofErr w:type="spellEnd"/>
      <w:r>
        <w:t>, assuming 8hr</w:t>
      </w:r>
      <w:r w:rsidR="00B3745C">
        <w:t>s</w:t>
      </w:r>
      <w:r>
        <w:t xml:space="preserve"> of total shutdown a day). </w:t>
      </w:r>
      <w:r w:rsidR="00AB004E">
        <w:t xml:space="preserve">Others </w:t>
      </w:r>
      <w:r>
        <w:t>suggest lower</w:t>
      </w:r>
      <w:r w:rsidR="00B3745C">
        <w:t xml:space="preserve"> values, specifically</w:t>
      </w:r>
      <w:r>
        <w:t xml:space="preserve"> 2.8, 3.9 and 7.7 kWh/</w:t>
      </w:r>
      <w:proofErr w:type="spellStart"/>
      <w:r>
        <w:t>yr</w:t>
      </w:r>
      <w:proofErr w:type="spellEnd"/>
      <w:r>
        <w:t xml:space="preserve"> for </w:t>
      </w:r>
      <w:r w:rsidRPr="00B55984">
        <w:rPr>
          <w:i/>
        </w:rPr>
        <w:t>light</w:t>
      </w:r>
      <w:r>
        <w:t xml:space="preserve">, </w:t>
      </w:r>
      <w:r w:rsidRPr="00B55984">
        <w:rPr>
          <w:i/>
        </w:rPr>
        <w:t>representative</w:t>
      </w:r>
      <w:r>
        <w:t xml:space="preserve"> and </w:t>
      </w:r>
      <w:r w:rsidRPr="00B55984">
        <w:rPr>
          <w:i/>
        </w:rPr>
        <w:t>high</w:t>
      </w:r>
      <w:r>
        <w:t xml:space="preserve"> users, respectively</w:t>
      </w:r>
      <w:r w:rsidR="006A2825" w:rsidRPr="006A2825">
        <w:rPr>
          <w:noProof/>
          <w:vertAlign w:val="superscript"/>
        </w:rPr>
        <w:t>41</w:t>
      </w:r>
      <w:r>
        <w:t xml:space="preserve">. </w:t>
      </w:r>
      <w:r w:rsidR="00AB004E">
        <w:t>And L</w:t>
      </w:r>
      <w:r w:rsidR="00E05A81">
        <w:t xml:space="preserve">CA data </w:t>
      </w:r>
      <w:r w:rsidR="005D5424">
        <w:t xml:space="preserve">for the </w:t>
      </w:r>
      <w:proofErr w:type="spellStart"/>
      <w:r w:rsidR="005D5424" w:rsidRPr="005D5424">
        <w:rPr>
          <w:i/>
        </w:rPr>
        <w:t>Fairphone</w:t>
      </w:r>
      <w:proofErr w:type="spellEnd"/>
      <w:r w:rsidR="005D5424">
        <w:t xml:space="preserve"> </w:t>
      </w:r>
      <w:r>
        <w:t>suggests 4.9 kWh/yr</w:t>
      </w:r>
      <w:r w:rsidR="006A2825" w:rsidRPr="006A2825">
        <w:rPr>
          <w:noProof/>
          <w:vertAlign w:val="superscript"/>
        </w:rPr>
        <w:t>42</w:t>
      </w:r>
      <w:r>
        <w:t xml:space="preserve">, </w:t>
      </w:r>
      <w:r w:rsidR="00B3745C">
        <w:t>consistent</w:t>
      </w:r>
      <w:r>
        <w:t xml:space="preserve"> with </w:t>
      </w:r>
      <w:r w:rsidR="00AB004E">
        <w:t>the above</w:t>
      </w:r>
      <w:r w:rsidR="006A2825" w:rsidRPr="006A2825">
        <w:rPr>
          <w:noProof/>
          <w:vertAlign w:val="superscript"/>
        </w:rPr>
        <w:t>41</w:t>
      </w:r>
      <w:r>
        <w:t xml:space="preserve">. We take the </w:t>
      </w:r>
      <w:r w:rsidR="00C27546">
        <w:rPr>
          <w:i/>
        </w:rPr>
        <w:t xml:space="preserve">high </w:t>
      </w:r>
      <w:r w:rsidRPr="00E05A81">
        <w:rPr>
          <w:i/>
        </w:rPr>
        <w:t>use</w:t>
      </w:r>
      <w:r>
        <w:t xml:space="preserve"> value of </w:t>
      </w:r>
      <w:r w:rsidR="00AB004E">
        <w:rPr>
          <w:noProof/>
        </w:rPr>
        <w:t>Ercan</w:t>
      </w:r>
      <w:r w:rsidR="00AB004E" w:rsidRPr="00B20917">
        <w:rPr>
          <w:i/>
          <w:noProof/>
        </w:rPr>
        <w:t xml:space="preserve"> et al.</w:t>
      </w:r>
      <w:r w:rsidR="006A2825" w:rsidRPr="006A2825">
        <w:rPr>
          <w:noProof/>
          <w:vertAlign w:val="superscript"/>
        </w:rPr>
        <w:t>41</w:t>
      </w:r>
      <w:r>
        <w:t xml:space="preserve">, </w:t>
      </w:r>
      <w:r w:rsidR="00C27546">
        <w:t>given that phones are assumed</w:t>
      </w:r>
      <w:r w:rsidR="00084DCB">
        <w:t xml:space="preserve"> by </w:t>
      </w:r>
      <w:r w:rsidR="00AB004E">
        <w:rPr>
          <w:noProof/>
        </w:rPr>
        <w:t>Grubler</w:t>
      </w:r>
      <w:r w:rsidR="00AB004E" w:rsidRPr="00B20917">
        <w:rPr>
          <w:i/>
          <w:noProof/>
        </w:rPr>
        <w:t xml:space="preserve"> et al.</w:t>
      </w:r>
      <w:r w:rsidR="006A2825" w:rsidRPr="006A2825">
        <w:rPr>
          <w:noProof/>
          <w:vertAlign w:val="superscript"/>
        </w:rPr>
        <w:t>2</w:t>
      </w:r>
      <w:r w:rsidR="00C27546">
        <w:t xml:space="preserve"> to replace various other electronics’ functionality. This </w:t>
      </w:r>
      <w:r>
        <w:t xml:space="preserve">converts to </w:t>
      </w:r>
      <w:r w:rsidR="009A0084">
        <w:t>27</w:t>
      </w:r>
      <w:r w:rsidRPr="00B3745C">
        <w:t>.</w:t>
      </w:r>
      <w:r w:rsidR="009A0084">
        <w:t>7</w:t>
      </w:r>
      <w:r w:rsidRPr="00B3745C">
        <w:t xml:space="preserve"> MJ/</w:t>
      </w:r>
      <w:r w:rsidR="009A0084">
        <w:t>phone</w:t>
      </w:r>
      <w:r w:rsidRPr="00B3745C">
        <w:t>.</w:t>
      </w:r>
    </w:p>
    <w:p w14:paraId="30F38306" w14:textId="5A5FAA2F" w:rsidR="00666C31" w:rsidRDefault="0008571B" w:rsidP="008408CD">
      <w:pPr>
        <w:ind w:left="-11"/>
      </w:pPr>
      <w:r>
        <w:t xml:space="preserve">For embodied energy in </w:t>
      </w:r>
      <w:r w:rsidR="00836AB5">
        <w:t>the manufacturing supply chain</w:t>
      </w:r>
      <w:r>
        <w:t xml:space="preserve">, </w:t>
      </w:r>
      <w:r w:rsidR="00CA3D20">
        <w:t xml:space="preserve">we start with the </w:t>
      </w:r>
      <w:r w:rsidR="009A0084">
        <w:t>data</w:t>
      </w:r>
      <w:r w:rsidR="00EE5332" w:rsidRPr="005D5424">
        <w:rPr>
          <w:i/>
        </w:rPr>
        <w:t xml:space="preserve"> </w:t>
      </w:r>
      <w:r w:rsidR="00EE5332" w:rsidRPr="009A0084">
        <w:t>for the</w:t>
      </w:r>
      <w:r w:rsidR="00EE5332">
        <w:rPr>
          <w:i/>
        </w:rPr>
        <w:t xml:space="preserve"> </w:t>
      </w:r>
      <w:r w:rsidR="00EE5332" w:rsidRPr="005D5424">
        <w:rPr>
          <w:i/>
        </w:rPr>
        <w:t>Fairphone</w:t>
      </w:r>
      <w:r w:rsidR="006A2825" w:rsidRPr="006A2825">
        <w:rPr>
          <w:noProof/>
          <w:vertAlign w:val="superscript"/>
        </w:rPr>
        <w:t>42</w:t>
      </w:r>
      <w:r w:rsidR="00836AB5">
        <w:t>.</w:t>
      </w:r>
      <w:r w:rsidR="00CA3D20">
        <w:t xml:space="preserve"> </w:t>
      </w:r>
      <w:r w:rsidR="00836AB5">
        <w:t xml:space="preserve">This is </w:t>
      </w:r>
      <w:r w:rsidR="00CA3D20">
        <w:t xml:space="preserve">reported to be </w:t>
      </w:r>
      <w:r w:rsidR="00836AB5">
        <w:t xml:space="preserve">232 MJ/phone (including transport) in a refurbishment scenario intended to capture </w:t>
      </w:r>
      <w:r w:rsidR="00E05A81">
        <w:t xml:space="preserve">the </w:t>
      </w:r>
      <w:r w:rsidR="00836AB5">
        <w:t>repairs necessary to ex</w:t>
      </w:r>
      <w:r w:rsidR="00B3745C">
        <w:t>tend product life to 5</w:t>
      </w:r>
      <w:r w:rsidR="00341142">
        <w:t>yrs. W</w:t>
      </w:r>
      <w:r w:rsidR="00836AB5">
        <w:t xml:space="preserve">e then decrease this based upon </w:t>
      </w:r>
      <w:r w:rsidR="00EE5332">
        <w:t>a recent</w:t>
      </w:r>
      <w:r w:rsidR="00836AB5">
        <w:t xml:space="preserve"> revie</w:t>
      </w:r>
      <w:r w:rsidR="00EE5332">
        <w:t>w</w:t>
      </w:r>
      <w:r w:rsidR="006A2825" w:rsidRPr="006A2825">
        <w:rPr>
          <w:noProof/>
          <w:vertAlign w:val="superscript"/>
        </w:rPr>
        <w:t>43</w:t>
      </w:r>
      <w:r w:rsidR="005D5424">
        <w:t xml:space="preserve">. </w:t>
      </w:r>
      <w:r w:rsidR="00B3745C">
        <w:t>Energy requirements aren’t</w:t>
      </w:r>
      <w:r w:rsidR="00EE5332">
        <w:t xml:space="preserve"> summarised in th</w:t>
      </w:r>
      <w:r w:rsidR="00E05A81">
        <w:t>i</w:t>
      </w:r>
      <w:r w:rsidR="00EE5332">
        <w:t>s</w:t>
      </w:r>
      <w:r w:rsidR="00B3745C">
        <w:t xml:space="preserve"> review,</w:t>
      </w:r>
      <w:r w:rsidR="008B2F18">
        <w:t xml:space="preserve"> </w:t>
      </w:r>
      <w:r w:rsidR="00B3745C">
        <w:t xml:space="preserve">but </w:t>
      </w:r>
      <w:r w:rsidR="008B2F18">
        <w:t xml:space="preserve">comparison of </w:t>
      </w:r>
      <w:r w:rsidR="00B3745C">
        <w:t>GHGs</w:t>
      </w:r>
      <w:r w:rsidR="008B2F18">
        <w:t xml:space="preserve"> shows the </w:t>
      </w:r>
      <w:proofErr w:type="spellStart"/>
      <w:r w:rsidR="008B2F18" w:rsidRPr="005D5424">
        <w:rPr>
          <w:i/>
        </w:rPr>
        <w:t>Fairphone</w:t>
      </w:r>
      <w:proofErr w:type="spellEnd"/>
      <w:r w:rsidR="008B2F18">
        <w:t xml:space="preserve"> to be relatively average in terms of manufacturing intensity (</w:t>
      </w:r>
      <w:r w:rsidR="00341142">
        <w:t>45 kg.CO</w:t>
      </w:r>
      <w:r w:rsidR="00341142" w:rsidRPr="008408CD">
        <w:rPr>
          <w:vertAlign w:val="subscript"/>
        </w:rPr>
        <w:t>2</w:t>
      </w:r>
      <w:r w:rsidR="00341142">
        <w:t>e</w:t>
      </w:r>
      <w:r w:rsidR="008B2F18">
        <w:t>)</w:t>
      </w:r>
      <w:r w:rsidR="00341142">
        <w:t xml:space="preserve">. </w:t>
      </w:r>
      <w:r w:rsidR="00B3745C">
        <w:t xml:space="preserve">Smartphones </w:t>
      </w:r>
      <w:r w:rsidR="00341142">
        <w:t xml:space="preserve">from </w:t>
      </w:r>
      <w:r w:rsidR="00341142" w:rsidRPr="005D5424">
        <w:rPr>
          <w:i/>
        </w:rPr>
        <w:t>Nokia</w:t>
      </w:r>
      <w:r w:rsidR="00341142">
        <w:t xml:space="preserve"> and </w:t>
      </w:r>
      <w:r w:rsidR="00341142" w:rsidRPr="005D5424">
        <w:rPr>
          <w:i/>
        </w:rPr>
        <w:t>HTC</w:t>
      </w:r>
      <w:r w:rsidR="00341142">
        <w:t xml:space="preserve"> are suggested to be produced with much lower emissions (17-30 kg.CO</w:t>
      </w:r>
      <w:r w:rsidR="00341142" w:rsidRPr="008408CD">
        <w:rPr>
          <w:vertAlign w:val="subscript"/>
        </w:rPr>
        <w:t>2</w:t>
      </w:r>
      <w:r w:rsidR="00341142">
        <w:t>e)</w:t>
      </w:r>
      <w:r w:rsidR="00B3745C">
        <w:t xml:space="preserve"> than the </w:t>
      </w:r>
      <w:proofErr w:type="spellStart"/>
      <w:r w:rsidR="00B3745C" w:rsidRPr="005D5424">
        <w:rPr>
          <w:i/>
        </w:rPr>
        <w:t>Fairphone</w:t>
      </w:r>
      <w:proofErr w:type="spellEnd"/>
      <w:r w:rsidR="000D0CF7">
        <w:t>. This is only partially explained by refurbishment</w:t>
      </w:r>
      <w:r w:rsidR="00B3745C">
        <w:t xml:space="preserve"> of the latter</w:t>
      </w:r>
      <w:r w:rsidR="000D0CF7">
        <w:t xml:space="preserve">, </w:t>
      </w:r>
      <w:r w:rsidR="00B3745C">
        <w:t>thus</w:t>
      </w:r>
      <w:r w:rsidR="000D0CF7">
        <w:t xml:space="preserve"> we take the embodied energy for the </w:t>
      </w:r>
      <w:proofErr w:type="spellStart"/>
      <w:r w:rsidR="000D0CF7" w:rsidRPr="005D5424">
        <w:rPr>
          <w:i/>
        </w:rPr>
        <w:t>Fairphone</w:t>
      </w:r>
      <w:proofErr w:type="spellEnd"/>
      <w:r w:rsidR="000D0CF7">
        <w:t xml:space="preserve"> and reduce this by 50% to </w:t>
      </w:r>
      <w:r w:rsidR="005D5424">
        <w:t>obtain a production intensity for our model of</w:t>
      </w:r>
      <w:r w:rsidR="00E37233">
        <w:t xml:space="preserve"> 110 MJ</w:t>
      </w:r>
      <w:r w:rsidR="000D0CF7">
        <w:t>/phone</w:t>
      </w:r>
      <w:r w:rsidR="008408CD">
        <w:t>.</w:t>
      </w:r>
      <w:r w:rsidR="00666C31">
        <w:t xml:space="preserve"> </w:t>
      </w:r>
    </w:p>
    <w:p w14:paraId="279EDC50" w14:textId="0F2914C6" w:rsidR="0008571B" w:rsidRDefault="008408CD" w:rsidP="008408CD">
      <w:pPr>
        <w:ind w:left="-11"/>
      </w:pPr>
      <w:r>
        <w:t xml:space="preserve">Spreading </w:t>
      </w:r>
      <w:r w:rsidR="005D5424">
        <w:t>production impacts</w:t>
      </w:r>
      <w:r>
        <w:t xml:space="preserve"> </w:t>
      </w:r>
      <w:r w:rsidR="00091DB6">
        <w:t>over the 5</w:t>
      </w:r>
      <w:r>
        <w:t>yr lifetime give</w:t>
      </w:r>
      <w:r w:rsidR="005D5424">
        <w:t>s</w:t>
      </w:r>
      <w:r w:rsidR="00666C31">
        <w:t xml:space="preserve"> </w:t>
      </w:r>
      <w:r>
        <w:t>22 MJ</w:t>
      </w:r>
      <w:r w:rsidR="00E05A81">
        <w:t>.</w:t>
      </w:r>
      <w:r>
        <w:t xml:space="preserve"> </w:t>
      </w:r>
      <w:r w:rsidR="00E05A81">
        <w:t>Adding this</w:t>
      </w:r>
      <w:r>
        <w:t xml:space="preserve"> to in-use energy </w:t>
      </w:r>
      <w:r w:rsidR="00E05A81">
        <w:t>and multiplying</w:t>
      </w:r>
      <w:r>
        <w:t xml:space="preserve"> by the number of phones per capita </w:t>
      </w:r>
      <w:r w:rsidR="00E05A81">
        <w:t>gives</w:t>
      </w:r>
      <w:r>
        <w:t xml:space="preserve"> </w:t>
      </w:r>
      <w:r w:rsidR="00E05A81">
        <w:t xml:space="preserve">nationally-averaged </w:t>
      </w:r>
      <w:r>
        <w:t xml:space="preserve">values of </w:t>
      </w:r>
      <w:r w:rsidR="009A0084">
        <w:rPr>
          <w:b/>
        </w:rPr>
        <w:t>37</w:t>
      </w:r>
      <w:r w:rsidRPr="004607DA">
        <w:rPr>
          <w:b/>
        </w:rPr>
        <w:t>-</w:t>
      </w:r>
      <w:r w:rsidR="009A0084">
        <w:rPr>
          <w:b/>
        </w:rPr>
        <w:t>47</w:t>
      </w:r>
      <w:r w:rsidRPr="004607DA">
        <w:rPr>
          <w:b/>
        </w:rPr>
        <w:t xml:space="preserve"> MJ</w:t>
      </w:r>
      <w:r w:rsidR="008D438A" w:rsidRPr="00B10CC6">
        <w:rPr>
          <w:b/>
        </w:rPr>
        <w:t>/cap/</w:t>
      </w:r>
      <w:proofErr w:type="spellStart"/>
      <w:r w:rsidR="008D438A" w:rsidRPr="00B10CC6">
        <w:rPr>
          <w:b/>
        </w:rPr>
        <w:t>yr</w:t>
      </w:r>
      <w:proofErr w:type="spellEnd"/>
      <w:r w:rsidR="008D438A">
        <w:t xml:space="preserve">, </w:t>
      </w:r>
      <w:r>
        <w:t>depending upon the fraction of the population that</w:t>
      </w:r>
      <w:r w:rsidR="00491C51">
        <w:t xml:space="preserve">’s </w:t>
      </w:r>
      <w:r w:rsidR="00894024">
        <w:t>over</w:t>
      </w:r>
      <w:r w:rsidR="00491C51">
        <w:t xml:space="preserve"> 10</w:t>
      </w:r>
      <w:r>
        <w:t>yrs old.</w:t>
      </w:r>
    </w:p>
    <w:p w14:paraId="15980954" w14:textId="16E393DC" w:rsidR="00914586" w:rsidRPr="0029080E" w:rsidRDefault="00914586" w:rsidP="0091711E">
      <w:pPr>
        <w:pStyle w:val="Heading2"/>
      </w:pPr>
      <w:r w:rsidRPr="0029080E">
        <w:t>Computers</w:t>
      </w:r>
    </w:p>
    <w:p w14:paraId="1B91D053" w14:textId="31E7F8FF" w:rsidR="005E78E2" w:rsidRDefault="00EE5332" w:rsidP="005E78E2">
      <w:r>
        <w:rPr>
          <w:noProof/>
        </w:rPr>
        <w:t>Rao and Min</w:t>
      </w:r>
      <w:r w:rsidR="006A2825" w:rsidRPr="006A2825">
        <w:rPr>
          <w:noProof/>
          <w:vertAlign w:val="superscript"/>
        </w:rPr>
        <w:t>3</w:t>
      </w:r>
      <w:r w:rsidR="005E78E2">
        <w:t xml:space="preserve"> suggest one ICT system per household for decent living. We thus calculate energy requirements for </w:t>
      </w:r>
      <w:r w:rsidR="005E78E2" w:rsidRPr="00215A1F">
        <w:rPr>
          <w:i/>
        </w:rPr>
        <w:t>use</w:t>
      </w:r>
      <w:r w:rsidR="005E78E2">
        <w:t xml:space="preserve"> and </w:t>
      </w:r>
      <w:r w:rsidR="005E78E2" w:rsidRPr="00215A1F">
        <w:rPr>
          <w:i/>
        </w:rPr>
        <w:t>production</w:t>
      </w:r>
      <w:r w:rsidR="005E78E2">
        <w:t xml:space="preserve"> </w:t>
      </w:r>
      <w:r w:rsidR="005E78E2" w:rsidRPr="00215A1F">
        <w:rPr>
          <w:i/>
        </w:rPr>
        <w:t>and distribution</w:t>
      </w:r>
      <w:r w:rsidR="005E78E2">
        <w:t xml:space="preserve"> for providing a laptop in each home, again with service networks accounted for separately in the infrastructure section.</w:t>
      </w:r>
    </w:p>
    <w:p w14:paraId="37C9FCBF" w14:textId="3147F97B" w:rsidR="00607281" w:rsidRDefault="00607281" w:rsidP="005E78E2">
      <w:r>
        <w:t xml:space="preserve">The estimate is made uncertain by the rapid change that characterises computer technologies, which makes it difficult to estimate what a </w:t>
      </w:r>
      <w:r w:rsidR="00ED239A" w:rsidRPr="00ED239A">
        <w:rPr>
          <w:i/>
        </w:rPr>
        <w:t>sufficient</w:t>
      </w:r>
      <w:r>
        <w:t xml:space="preserve"> </w:t>
      </w:r>
      <w:r w:rsidR="00ED239A">
        <w:t>level of computing</w:t>
      </w:r>
      <w:r>
        <w:t xml:space="preserve"> technology could be. For computers, as with most technologies, increases in </w:t>
      </w:r>
      <w:r w:rsidR="0085434B">
        <w:t xml:space="preserve">the </w:t>
      </w:r>
      <w:r>
        <w:t xml:space="preserve">efficiency </w:t>
      </w:r>
      <w:r w:rsidR="0085434B">
        <w:t xml:space="preserve">of production </w:t>
      </w:r>
      <w:r>
        <w:t xml:space="preserve">have been </w:t>
      </w:r>
      <w:r w:rsidR="0085434B">
        <w:t>negated</w:t>
      </w:r>
      <w:r>
        <w:t xml:space="preserve"> by producing more complex goods, such that a typical computer processor in 2006 required roughly the same e</w:t>
      </w:r>
      <w:r w:rsidR="00ED239A">
        <w:t>nergy to produce as one in 1995</w:t>
      </w:r>
      <w:r w:rsidR="006A2825" w:rsidRPr="006A2825">
        <w:rPr>
          <w:noProof/>
          <w:vertAlign w:val="superscript"/>
        </w:rPr>
        <w:t>44</w:t>
      </w:r>
      <w:r>
        <w:t>. We thus use current best practice for in-use- and production-energy requirements. As with phones, the majority of energy use for a computer is in production, rather than use</w:t>
      </w:r>
      <w:r w:rsidR="006A2825" w:rsidRPr="006A2825">
        <w:rPr>
          <w:noProof/>
          <w:vertAlign w:val="superscript"/>
        </w:rPr>
        <w:t>44</w:t>
      </w:r>
      <w:r>
        <w:t xml:space="preserve">, although the difference is </w:t>
      </w:r>
      <w:r w:rsidR="0085434B">
        <w:t>reduced</w:t>
      </w:r>
      <w:r>
        <w:t xml:space="preserve"> </w:t>
      </w:r>
      <w:r w:rsidR="0085434B">
        <w:t>via</w:t>
      </w:r>
      <w:r>
        <w:t xml:space="preserve"> lifetime </w:t>
      </w:r>
      <w:r w:rsidR="0085434B">
        <w:t>extension</w:t>
      </w:r>
      <w:r>
        <w:t>.</w:t>
      </w:r>
    </w:p>
    <w:p w14:paraId="1A4AEEE2" w14:textId="0F3F950F" w:rsidR="000F0AE9" w:rsidRPr="00BF4CF3" w:rsidRDefault="00840556" w:rsidP="005E78E2">
      <w:pPr>
        <w:rPr>
          <w:rFonts w:cstheme="minorHAnsi"/>
        </w:rPr>
      </w:pPr>
      <w:r>
        <w:t xml:space="preserve">We use values from </w:t>
      </w:r>
      <w:r w:rsidR="00ED239A">
        <w:rPr>
          <w:noProof/>
        </w:rPr>
        <w:t>Deng, Babbitt and Williams</w:t>
      </w:r>
      <w:r w:rsidR="006A2825" w:rsidRPr="006A2825">
        <w:rPr>
          <w:noProof/>
          <w:vertAlign w:val="superscript"/>
        </w:rPr>
        <w:t>45</w:t>
      </w:r>
      <w:r>
        <w:t xml:space="preserve"> for use and production</w:t>
      </w:r>
      <w:r w:rsidR="00A82881">
        <w:t>,</w:t>
      </w:r>
      <w:r>
        <w:t xml:space="preserve"> and</w:t>
      </w:r>
      <w:r w:rsidR="00A82881">
        <w:t xml:space="preserve"> for</w:t>
      </w:r>
      <w:r>
        <w:t xml:space="preserve"> distribution. They suggest a range of 3,000-4,300 MJ/laptop for production</w:t>
      </w:r>
      <w:r w:rsidR="004549B5">
        <w:t xml:space="preserve"> and distribution</w:t>
      </w:r>
      <w:r>
        <w:t>, of which we take the lower</w:t>
      </w:r>
      <w:r w:rsidR="005D5206">
        <w:t xml:space="preserve"> value. For use, they suggest 62</w:t>
      </w:r>
      <w:r>
        <w:t xml:space="preserve"> kWh/</w:t>
      </w:r>
      <w:proofErr w:type="spellStart"/>
      <w:r>
        <w:t>yr</w:t>
      </w:r>
      <w:proofErr w:type="spellEnd"/>
      <w:r w:rsidR="005D5206">
        <w:t>, or 220 MJ/yr</w:t>
      </w:r>
      <w:r>
        <w:t xml:space="preserve">. Compared to our estimates for smartphones, these are a factor of </w:t>
      </w:r>
      <w:r w:rsidR="00ED239A">
        <w:rPr>
          <w:rFonts w:cstheme="minorHAnsi"/>
        </w:rPr>
        <w:t>~</w:t>
      </w:r>
      <w:r>
        <w:t xml:space="preserve">27 and </w:t>
      </w:r>
      <w:r w:rsidR="00ED239A">
        <w:rPr>
          <w:rFonts w:cstheme="minorHAnsi"/>
        </w:rPr>
        <w:t>~</w:t>
      </w:r>
      <w:r w:rsidR="00A82881">
        <w:rPr>
          <w:rFonts w:cstheme="minorHAnsi"/>
        </w:rPr>
        <w:t>8</w:t>
      </w:r>
      <w:r w:rsidR="005D5206">
        <w:rPr>
          <w:rFonts w:cstheme="minorHAnsi"/>
        </w:rPr>
        <w:t xml:space="preserve"> larger for p</w:t>
      </w:r>
      <w:r w:rsidR="00C27546">
        <w:rPr>
          <w:rFonts w:cstheme="minorHAnsi"/>
        </w:rPr>
        <w:t>roduction and use, respectively</w:t>
      </w:r>
      <w:r w:rsidR="00ED239A">
        <w:rPr>
          <w:rFonts w:cstheme="minorHAnsi"/>
        </w:rPr>
        <w:t xml:space="preserve">, </w:t>
      </w:r>
      <w:r w:rsidR="005D5206">
        <w:rPr>
          <w:rFonts w:cstheme="minorHAnsi"/>
        </w:rPr>
        <w:t>which passes a sense check</w:t>
      </w:r>
      <w:r w:rsidR="00A70F63">
        <w:rPr>
          <w:rFonts w:cstheme="minorHAnsi"/>
        </w:rPr>
        <w:t xml:space="preserve"> given </w:t>
      </w:r>
      <w:r w:rsidR="00C27546">
        <w:rPr>
          <w:rFonts w:cstheme="minorHAnsi"/>
        </w:rPr>
        <w:t xml:space="preserve">their </w:t>
      </w:r>
      <w:r w:rsidR="00ED239A">
        <w:rPr>
          <w:rFonts w:cstheme="minorHAnsi"/>
        </w:rPr>
        <w:t>relative</w:t>
      </w:r>
      <w:r w:rsidR="00A82881">
        <w:rPr>
          <w:rFonts w:cstheme="minorHAnsi"/>
        </w:rPr>
        <w:t xml:space="preserve"> </w:t>
      </w:r>
      <w:r w:rsidR="00ED239A">
        <w:rPr>
          <w:rFonts w:cstheme="minorHAnsi"/>
        </w:rPr>
        <w:t>masses</w:t>
      </w:r>
      <w:r w:rsidR="005D5206">
        <w:rPr>
          <w:rFonts w:cstheme="minorHAnsi"/>
        </w:rPr>
        <w:t>. We assume the lifetime of a laptop is</w:t>
      </w:r>
      <w:r w:rsidR="007543F7">
        <w:rPr>
          <w:rFonts w:cstheme="minorHAnsi"/>
        </w:rPr>
        <w:t xml:space="preserve"> 10 years</w:t>
      </w:r>
      <w:r w:rsidR="005D5206">
        <w:rPr>
          <w:rFonts w:cstheme="minorHAnsi"/>
        </w:rPr>
        <w:t xml:space="preserve"> </w:t>
      </w:r>
      <w:r w:rsidR="007543F7">
        <w:rPr>
          <w:rFonts w:cstheme="minorHAnsi"/>
        </w:rPr>
        <w:t>(</w:t>
      </w:r>
      <w:r w:rsidR="005D5206">
        <w:rPr>
          <w:rFonts w:cstheme="minorHAnsi"/>
        </w:rPr>
        <w:t>twice that of a phone</w:t>
      </w:r>
      <w:r w:rsidR="007543F7">
        <w:rPr>
          <w:rFonts w:cstheme="minorHAnsi"/>
        </w:rPr>
        <w:t>)</w:t>
      </w:r>
      <w:r w:rsidR="005D5206">
        <w:rPr>
          <w:rFonts w:cstheme="minorHAnsi"/>
        </w:rPr>
        <w:t xml:space="preserve"> given the lack of daily transportation and </w:t>
      </w:r>
      <w:r w:rsidR="002376C3">
        <w:rPr>
          <w:rFonts w:cstheme="minorHAnsi"/>
        </w:rPr>
        <w:t>lower</w:t>
      </w:r>
      <w:r w:rsidR="007543F7">
        <w:rPr>
          <w:rFonts w:cstheme="minorHAnsi"/>
        </w:rPr>
        <w:t>ed</w:t>
      </w:r>
      <w:r w:rsidR="002376C3">
        <w:rPr>
          <w:rFonts w:cstheme="minorHAnsi"/>
        </w:rPr>
        <w:t xml:space="preserve"> </w:t>
      </w:r>
      <w:r w:rsidR="005D5206">
        <w:rPr>
          <w:rFonts w:cstheme="minorHAnsi"/>
        </w:rPr>
        <w:t>wear and tear. Overall, we obtain a value of 520 MJ/household (</w:t>
      </w:r>
      <w:r w:rsidR="00750D68">
        <w:rPr>
          <w:rFonts w:cstheme="minorHAnsi"/>
        </w:rPr>
        <w:t xml:space="preserve">i.e. </w:t>
      </w:r>
      <w:r w:rsidR="005D5206">
        <w:rPr>
          <w:rFonts w:cstheme="minorHAnsi"/>
        </w:rPr>
        <w:t xml:space="preserve">3,000/10 + 220) or </w:t>
      </w:r>
      <w:r w:rsidR="00A82881">
        <w:rPr>
          <w:rFonts w:cstheme="minorHAnsi"/>
          <w:b/>
        </w:rPr>
        <w:t>1</w:t>
      </w:r>
      <w:r w:rsidR="005D5206" w:rsidRPr="004607DA">
        <w:rPr>
          <w:rFonts w:cstheme="minorHAnsi"/>
          <w:b/>
        </w:rPr>
        <w:t>3</w:t>
      </w:r>
      <w:r w:rsidR="00A82881">
        <w:rPr>
          <w:rFonts w:cstheme="minorHAnsi"/>
          <w:b/>
        </w:rPr>
        <w:t>0</w:t>
      </w:r>
      <w:r w:rsidR="005D5206" w:rsidRPr="004607DA">
        <w:rPr>
          <w:rFonts w:cstheme="minorHAnsi"/>
          <w:b/>
        </w:rPr>
        <w:t xml:space="preserve"> MJ</w:t>
      </w:r>
      <w:r w:rsidR="005D5206" w:rsidRPr="00B10CC6">
        <w:rPr>
          <w:rFonts w:cstheme="minorHAnsi"/>
          <w:b/>
        </w:rPr>
        <w:t>/cap</w:t>
      </w:r>
      <w:r w:rsidR="00B10CC6">
        <w:rPr>
          <w:rFonts w:cstheme="minorHAnsi"/>
          <w:b/>
        </w:rPr>
        <w:t>/yr</w:t>
      </w:r>
      <w:r w:rsidR="005D5206">
        <w:rPr>
          <w:rFonts w:cstheme="minorHAnsi"/>
        </w:rPr>
        <w:t>.</w:t>
      </w:r>
    </w:p>
    <w:p w14:paraId="566A6C75" w14:textId="69BBB4EE" w:rsidR="000F0AE9" w:rsidRDefault="000F0AE9" w:rsidP="0091711E">
      <w:pPr>
        <w:pStyle w:val="Heading2"/>
      </w:pPr>
      <w:r w:rsidRPr="002177BD">
        <w:t>Networks and infrastructure</w:t>
      </w:r>
    </w:p>
    <w:p w14:paraId="4BCFB964" w14:textId="673A27BF" w:rsidR="000F0AE9" w:rsidRDefault="000F0AE9" w:rsidP="000F0AE9">
      <w:r>
        <w:t xml:space="preserve">As </w:t>
      </w:r>
      <w:r w:rsidR="00A20780">
        <w:t>mentioned</w:t>
      </w:r>
      <w:r>
        <w:t xml:space="preserve"> above, energy use in producing</w:t>
      </w:r>
      <w:r w:rsidR="0063682C">
        <w:t xml:space="preserve"> electronic gadgets</w:t>
      </w:r>
      <w:r>
        <w:t xml:space="preserve"> tends to be higher than </w:t>
      </w:r>
      <w:r w:rsidR="0063682C">
        <w:t>direct energy use</w:t>
      </w:r>
      <w:r>
        <w:t xml:space="preserve"> over their lifetimes. But higher still is the energy used by, and embodied within, the networks and data centres that form the backbone of modern commun</w:t>
      </w:r>
      <w:r w:rsidR="0063682C">
        <w:t>ication and information systems</w:t>
      </w:r>
      <w:r w:rsidR="006A2825" w:rsidRPr="006A2825">
        <w:rPr>
          <w:noProof/>
          <w:vertAlign w:val="superscript"/>
        </w:rPr>
        <w:t>46, 47, 48</w:t>
      </w:r>
      <w:r>
        <w:t>.</w:t>
      </w:r>
    </w:p>
    <w:p w14:paraId="7B0818F3" w14:textId="62FEDF39" w:rsidR="000F0AE9" w:rsidRDefault="0063682C" w:rsidP="000F0AE9">
      <w:pPr>
        <w:rPr>
          <w:rFonts w:cstheme="minorHAnsi"/>
        </w:rPr>
      </w:pPr>
      <w:r>
        <w:rPr>
          <w:noProof/>
        </w:rPr>
        <w:t>Ercan</w:t>
      </w:r>
      <w:r w:rsidRPr="00B20917">
        <w:rPr>
          <w:i/>
          <w:noProof/>
        </w:rPr>
        <w:t xml:space="preserve"> et al.</w:t>
      </w:r>
      <w:r w:rsidR="006A2825" w:rsidRPr="006A2825">
        <w:rPr>
          <w:noProof/>
          <w:vertAlign w:val="superscript"/>
        </w:rPr>
        <w:t>41</w:t>
      </w:r>
      <w:r w:rsidR="000F0AE9">
        <w:t xml:space="preserve"> offer estimates of the energy use of </w:t>
      </w:r>
      <w:r w:rsidR="00DD78F7">
        <w:t>Wi-Fi</w:t>
      </w:r>
      <w:r w:rsidR="000F0AE9">
        <w:t xml:space="preserve"> networks and data centres to go alongside their estimates for production of smartphones and their use. The give 28.7, 33.3 and 49 </w:t>
      </w:r>
      <w:r w:rsidR="000F0AE9">
        <w:lastRenderedPageBreak/>
        <w:t>kWh/phone/</w:t>
      </w:r>
      <w:proofErr w:type="spellStart"/>
      <w:r w:rsidR="000F0AE9">
        <w:t>yr</w:t>
      </w:r>
      <w:proofErr w:type="spellEnd"/>
      <w:r w:rsidR="000F0AE9">
        <w:t xml:space="preserve"> for </w:t>
      </w:r>
      <w:r w:rsidR="000F0AE9">
        <w:rPr>
          <w:i/>
        </w:rPr>
        <w:t>low</w:t>
      </w:r>
      <w:r w:rsidR="000F0AE9">
        <w:t xml:space="preserve">, </w:t>
      </w:r>
      <w:r w:rsidR="000F0AE9" w:rsidRPr="008D438A">
        <w:rPr>
          <w:i/>
        </w:rPr>
        <w:t>representative</w:t>
      </w:r>
      <w:r w:rsidR="000F0AE9">
        <w:t xml:space="preserve"> and </w:t>
      </w:r>
      <w:r w:rsidR="000F0AE9" w:rsidRPr="008D438A">
        <w:rPr>
          <w:i/>
        </w:rPr>
        <w:t>high</w:t>
      </w:r>
      <w:r w:rsidR="000F0AE9">
        <w:t xml:space="preserve"> users as before. We take the </w:t>
      </w:r>
      <w:r w:rsidR="000F0AE9">
        <w:rPr>
          <w:i/>
        </w:rPr>
        <w:t>high</w:t>
      </w:r>
      <w:r w:rsidR="000F0AE9">
        <w:t xml:space="preserve"> value to be consistent with our in-use estimates above, which converts to 176 MJ/phone/</w:t>
      </w:r>
      <w:proofErr w:type="spellStart"/>
      <w:r w:rsidR="000F0AE9">
        <w:t>yr</w:t>
      </w:r>
      <w:proofErr w:type="spellEnd"/>
      <w:r w:rsidR="000F0AE9">
        <w:t xml:space="preserve"> – a factor of 3.5 larger than smartphone production and use combined. We assume that laptops require 5</w:t>
      </w:r>
      <w:r w:rsidR="000F0AE9">
        <w:rPr>
          <w:rFonts w:cstheme="minorHAnsi"/>
        </w:rPr>
        <w:t>× as much network and data centre</w:t>
      </w:r>
      <w:r w:rsidR="00A20780">
        <w:rPr>
          <w:rFonts w:cstheme="minorHAnsi"/>
        </w:rPr>
        <w:t xml:space="preserve"> usage, giving a value of </w:t>
      </w:r>
      <w:r w:rsidR="000F0AE9">
        <w:rPr>
          <w:rFonts w:cstheme="minorHAnsi"/>
        </w:rPr>
        <w:t>88</w:t>
      </w:r>
      <w:r w:rsidR="00A20780">
        <w:rPr>
          <w:rFonts w:cstheme="minorHAnsi"/>
        </w:rPr>
        <w:t>0</w:t>
      </w:r>
      <w:r w:rsidR="000F0AE9">
        <w:rPr>
          <w:rFonts w:cstheme="minorHAnsi"/>
        </w:rPr>
        <w:t xml:space="preserve"> </w:t>
      </w:r>
      <w:r w:rsidR="00A20780">
        <w:rPr>
          <w:rFonts w:cstheme="minorHAnsi"/>
        </w:rPr>
        <w:t>M</w:t>
      </w:r>
      <w:r w:rsidR="000F0AE9">
        <w:rPr>
          <w:rFonts w:cstheme="minorHAnsi"/>
        </w:rPr>
        <w:t xml:space="preserve">J/laptop/yr. Overall, this gives an energy requirement of </w:t>
      </w:r>
      <w:r w:rsidR="00C07867">
        <w:rPr>
          <w:rFonts w:cstheme="minorHAnsi"/>
          <w:b/>
        </w:rPr>
        <w:t>0.35-0.39</w:t>
      </w:r>
      <w:r w:rsidR="000F0AE9" w:rsidRPr="00AA071D">
        <w:rPr>
          <w:rFonts w:cstheme="minorHAnsi"/>
          <w:b/>
        </w:rPr>
        <w:t xml:space="preserve"> GJ/cap/</w:t>
      </w:r>
      <w:proofErr w:type="spellStart"/>
      <w:r w:rsidR="000F0AE9" w:rsidRPr="00AA071D">
        <w:rPr>
          <w:rFonts w:cstheme="minorHAnsi"/>
          <w:b/>
        </w:rPr>
        <w:t>yr</w:t>
      </w:r>
      <w:proofErr w:type="spellEnd"/>
      <w:r w:rsidR="000F0AE9">
        <w:rPr>
          <w:rFonts w:cstheme="minorHAnsi"/>
        </w:rPr>
        <w:t xml:space="preserve"> for information and communication infrastructure – just over two </w:t>
      </w:r>
      <w:r>
        <w:rPr>
          <w:rFonts w:cstheme="minorHAnsi"/>
        </w:rPr>
        <w:t xml:space="preserve">times </w:t>
      </w:r>
      <w:r w:rsidR="000F0AE9">
        <w:rPr>
          <w:rFonts w:cstheme="minorHAnsi"/>
        </w:rPr>
        <w:t>larger than that required for production of smartphones and laptops and their use.</w:t>
      </w:r>
    </w:p>
    <w:p w14:paraId="76FA709C" w14:textId="348FEB62" w:rsidR="00C94F35" w:rsidRDefault="000F0AE9" w:rsidP="00914586">
      <w:r>
        <w:rPr>
          <w:rFonts w:cstheme="minorHAnsi"/>
        </w:rPr>
        <w:t xml:space="preserve">As a sense check, the widely cited forecast of </w:t>
      </w:r>
      <w:r w:rsidR="0063682C">
        <w:rPr>
          <w:noProof/>
        </w:rPr>
        <w:t>Andrae and Edler</w:t>
      </w:r>
      <w:r w:rsidR="006A2825" w:rsidRPr="006A2825">
        <w:rPr>
          <w:noProof/>
          <w:vertAlign w:val="superscript"/>
        </w:rPr>
        <w:t>46</w:t>
      </w:r>
      <w:r>
        <w:t xml:space="preserve"> suggests that</w:t>
      </w:r>
      <w:r w:rsidR="00A20780">
        <w:t>,</w:t>
      </w:r>
      <w:r>
        <w:t xml:space="preserve"> by 2030, global ICT systems could require over 8,000 </w:t>
      </w:r>
      <w:proofErr w:type="spellStart"/>
      <w:r>
        <w:t>TWh</w:t>
      </w:r>
      <w:proofErr w:type="spellEnd"/>
      <w:r>
        <w:t>/</w:t>
      </w:r>
      <w:proofErr w:type="spellStart"/>
      <w:r>
        <w:t>yr</w:t>
      </w:r>
      <w:proofErr w:type="spellEnd"/>
      <w:r>
        <w:t xml:space="preserve"> of energy to support direct energy usage of consumer electronics, production of these electronics, and network infrastructure and data centres. This is equivalent to a global average of </w:t>
      </w:r>
      <w:r>
        <w:rPr>
          <w:rFonts w:cstheme="minorHAnsi"/>
        </w:rPr>
        <w:t>≈</w:t>
      </w:r>
      <w:r w:rsidR="00A20780">
        <w:rPr>
          <w:rFonts w:cstheme="minorHAnsi"/>
        </w:rPr>
        <w:t xml:space="preserve"> </w:t>
      </w:r>
      <w:r>
        <w:t>3.5 GJ/cap/yr. Further, their forecast shows the energy use of networks and data centres to be 4</w:t>
      </w:r>
      <w:r>
        <w:rPr>
          <w:rFonts w:cstheme="minorHAnsi"/>
        </w:rPr>
        <w:t>×</w:t>
      </w:r>
      <w:r>
        <w:t xml:space="preserve"> larger than production of consumer electronics and their use. Note that this is a business-as-usual forecast, and includes far more consumer electronics than smartphones and a laptop per house alone. For comparison, we have values of </w:t>
      </w:r>
      <w:r w:rsidR="0063682C">
        <w:t>~</w:t>
      </w:r>
      <w:r>
        <w:t>0.65-0.7 GJ/cap/</w:t>
      </w:r>
      <w:proofErr w:type="spellStart"/>
      <w:r>
        <w:t>yr</w:t>
      </w:r>
      <w:proofErr w:type="spellEnd"/>
      <w:r>
        <w:t xml:space="preserve"> for the entire infor</w:t>
      </w:r>
      <w:r w:rsidR="0063682C">
        <w:t>mation and communication sector –</w:t>
      </w:r>
      <w:r>
        <w:t xml:space="preserve"> 80% lower than their estimate. </w:t>
      </w:r>
      <w:r w:rsidR="00A20780">
        <w:t>G</w:t>
      </w:r>
      <w:r>
        <w:t>iven our</w:t>
      </w:r>
      <w:r w:rsidR="007B7BBA">
        <w:t>s</w:t>
      </w:r>
      <w:r w:rsidR="00BF33F6">
        <w:t xml:space="preserve"> </w:t>
      </w:r>
      <w:r w:rsidR="007B7BBA">
        <w:t xml:space="preserve">is a </w:t>
      </w:r>
      <w:r w:rsidR="00BF33F6">
        <w:t xml:space="preserve">minimum-energy-use </w:t>
      </w:r>
      <w:r w:rsidR="007B7BBA">
        <w:t>scenario</w:t>
      </w:r>
      <w:r w:rsidR="00A20780">
        <w:t>, this seems reasonable</w:t>
      </w:r>
      <w:r w:rsidR="00BF33F6">
        <w:t>.</w:t>
      </w:r>
    </w:p>
    <w:p w14:paraId="6B9B0C30" w14:textId="5320FA9D" w:rsidR="00914586" w:rsidRDefault="00914586" w:rsidP="00777870">
      <w:pPr>
        <w:pStyle w:val="Heading1"/>
        <w:spacing w:before="360"/>
      </w:pPr>
      <w:r w:rsidRPr="002177BD">
        <w:t>Clothing</w:t>
      </w:r>
    </w:p>
    <w:p w14:paraId="6710AA2C" w14:textId="2D7EB97E" w:rsidR="00C85BB9" w:rsidRDefault="00795C15" w:rsidP="00914586">
      <w:r>
        <w:t>For clothing, we assume a s</w:t>
      </w:r>
      <w:r w:rsidR="0063682C">
        <w:t>tandard wardrobe across regions –</w:t>
      </w:r>
      <w:r>
        <w:t xml:space="preserve"> </w:t>
      </w:r>
      <w:r w:rsidR="0044447C">
        <w:t>clearly</w:t>
      </w:r>
      <w:r>
        <w:t xml:space="preserve"> a crude assumption</w:t>
      </w:r>
      <w:r w:rsidR="00D04A98">
        <w:t>,</w:t>
      </w:r>
      <w:r>
        <w:t xml:space="preserve"> given climat</w:t>
      </w:r>
      <w:r w:rsidR="007E454D">
        <w:t>ic variation</w:t>
      </w:r>
      <w:r>
        <w:t xml:space="preserve"> and</w:t>
      </w:r>
      <w:r w:rsidR="0044447C">
        <w:t xml:space="preserve"> hence</w:t>
      </w:r>
      <w:r>
        <w:t xml:space="preserve"> requirements for </w:t>
      </w:r>
      <w:r w:rsidR="0044447C">
        <w:t xml:space="preserve">more </w:t>
      </w:r>
      <w:r w:rsidR="0010737F">
        <w:t>(</w:t>
      </w:r>
      <w:r w:rsidR="0044447C">
        <w:t>or less</w:t>
      </w:r>
      <w:r w:rsidR="0010737F">
        <w:t>)</w:t>
      </w:r>
      <w:r w:rsidR="0044447C">
        <w:t xml:space="preserve"> </w:t>
      </w:r>
      <w:r>
        <w:t xml:space="preserve">warm clothes. </w:t>
      </w:r>
      <w:r w:rsidR="007E454D">
        <w:t>However,</w:t>
      </w:r>
      <w:r>
        <w:t xml:space="preserve"> clothing makes a small contribution to overall </w:t>
      </w:r>
      <w:r w:rsidR="0063682C">
        <w:t>DLE</w:t>
      </w:r>
      <w:r>
        <w:t xml:space="preserve">, and at least some of the error cancels </w:t>
      </w:r>
      <w:r w:rsidR="007E454D">
        <w:t xml:space="preserve">– </w:t>
      </w:r>
      <w:r>
        <w:t>hotter climates may require less clothes</w:t>
      </w:r>
      <w:r w:rsidR="007E454D">
        <w:t>, but</w:t>
      </w:r>
      <w:r>
        <w:t xml:space="preserve"> </w:t>
      </w:r>
      <w:r w:rsidR="0044447C">
        <w:t>t</w:t>
      </w:r>
      <w:r>
        <w:t>he</w:t>
      </w:r>
      <w:r w:rsidR="0044447C">
        <w:t>se</w:t>
      </w:r>
      <w:r>
        <w:t xml:space="preserve"> may be washed more frequently for hygiene reasons. Nonetheless</w:t>
      </w:r>
      <w:r w:rsidR="00797F87">
        <w:t>,</w:t>
      </w:r>
      <w:r w:rsidR="0063682C">
        <w:t xml:space="preserve"> these </w:t>
      </w:r>
      <w:r>
        <w:t xml:space="preserve">assumptions could </w:t>
      </w:r>
      <w:r w:rsidR="0044447C">
        <w:t xml:space="preserve">clearly </w:t>
      </w:r>
      <w:r>
        <w:t xml:space="preserve">be </w:t>
      </w:r>
      <w:r w:rsidR="0063682C">
        <w:t>improved</w:t>
      </w:r>
      <w:r>
        <w:t>.</w:t>
      </w:r>
    </w:p>
    <w:p w14:paraId="0D606954" w14:textId="6AA709B0" w:rsidR="00F87124" w:rsidRDefault="00795C15" w:rsidP="00914586">
      <w:r>
        <w:t xml:space="preserve">We </w:t>
      </w:r>
      <w:r w:rsidR="00DF09E6">
        <w:t>compile</w:t>
      </w:r>
      <w:r>
        <w:t xml:space="preserve"> </w:t>
      </w:r>
      <w:r w:rsidR="0063682C">
        <w:t xml:space="preserve">a list of basic clothing items </w:t>
      </w:r>
      <w:r>
        <w:t>with weights</w:t>
      </w:r>
      <w:r w:rsidR="00DF09E6">
        <w:t>,</w:t>
      </w:r>
      <w:r w:rsidR="00D651FB">
        <w:t xml:space="preserve"> </w:t>
      </w:r>
      <w:r w:rsidR="00DF09E6">
        <w:t xml:space="preserve">lifetimes in days worn, average days worn per wash, current </w:t>
      </w:r>
      <w:r w:rsidR="00681428">
        <w:t xml:space="preserve">embodied </w:t>
      </w:r>
      <w:r w:rsidR="00DF09E6">
        <w:t xml:space="preserve">energy use in </w:t>
      </w:r>
      <w:r w:rsidR="007C0BF8">
        <w:t xml:space="preserve">the </w:t>
      </w:r>
      <w:r w:rsidR="00681428">
        <w:t>full supply chain</w:t>
      </w:r>
      <w:r w:rsidR="00DF09E6">
        <w:t xml:space="preserve">, and </w:t>
      </w:r>
      <w:r w:rsidR="007C0BF8">
        <w:t xml:space="preserve">potential </w:t>
      </w:r>
      <w:r w:rsidR="0063682C">
        <w:t xml:space="preserve">supply-chain </w:t>
      </w:r>
      <w:r w:rsidR="007C0BF8">
        <w:t>energy savings</w:t>
      </w:r>
      <w:r w:rsidR="00DF09E6">
        <w:t>.</w:t>
      </w:r>
      <w:r w:rsidR="007C0BF8">
        <w:t xml:space="preserve"> </w:t>
      </w:r>
      <w:r w:rsidR="00681428">
        <w:t>Data</w:t>
      </w:r>
      <w:r w:rsidR="007C0BF8">
        <w:t xml:space="preserve"> </w:t>
      </w:r>
      <w:r w:rsidR="00BF33F6">
        <w:t xml:space="preserve">are summarised in </w:t>
      </w:r>
      <w:r w:rsidR="00471003">
        <w:t>Table S1</w:t>
      </w:r>
      <w:r w:rsidR="00BD28D6">
        <w:t>0</w:t>
      </w:r>
      <w:r w:rsidR="00681428">
        <w:t xml:space="preserve">, </w:t>
      </w:r>
      <w:r w:rsidR="007D0582">
        <w:t>with</w:t>
      </w:r>
      <w:r w:rsidR="007C0BF8">
        <w:t xml:space="preserve"> </w:t>
      </w:r>
      <w:r w:rsidR="007D0582">
        <w:t xml:space="preserve">the </w:t>
      </w:r>
      <w:r w:rsidR="00797F87">
        <w:t xml:space="preserve">various </w:t>
      </w:r>
      <w:r w:rsidR="007C0BF8">
        <w:t>sources det</w:t>
      </w:r>
      <w:r w:rsidR="00681428">
        <w:t>ailed</w:t>
      </w:r>
      <w:r w:rsidR="007C0BF8">
        <w:t>.</w:t>
      </w:r>
      <w:r w:rsidR="00FA6EEA">
        <w:t xml:space="preserve"> </w:t>
      </w:r>
      <w:r w:rsidR="004D2A40">
        <w:t>The assumptions regarding</w:t>
      </w:r>
      <w:r w:rsidR="00FA6EEA">
        <w:t xml:space="preserve"> energy savings are worth elaborating upon</w:t>
      </w:r>
      <w:r w:rsidR="004D2A40">
        <w:t>,</w:t>
      </w:r>
      <w:r w:rsidR="00FA6EEA">
        <w:t xml:space="preserve"> as these a </w:t>
      </w:r>
      <w:r w:rsidR="004D2A40">
        <w:t>relatively crude</w:t>
      </w:r>
      <w:r w:rsidR="007D0582">
        <w:t>.</w:t>
      </w:r>
    </w:p>
    <w:p w14:paraId="3834022C" w14:textId="411C7635" w:rsidR="007C0BF8" w:rsidRDefault="00FA6EEA" w:rsidP="00914586">
      <w:pPr>
        <w:rPr>
          <w:rFonts w:cstheme="minorHAnsi"/>
        </w:rPr>
      </w:pPr>
      <w:r>
        <w:t xml:space="preserve">In the absence of a detailed estimate of technical limits to production efficiency, we consider the ratio of the </w:t>
      </w:r>
      <w:r w:rsidR="0063682C">
        <w:t xml:space="preserve">current </w:t>
      </w:r>
      <w:r>
        <w:t xml:space="preserve">average- to best-practice </w:t>
      </w:r>
      <w:r w:rsidR="0063682C">
        <w:t>energy efficiencies</w:t>
      </w:r>
      <w:r>
        <w:t xml:space="preserve"> f</w:t>
      </w:r>
      <w:r w:rsidR="0063682C">
        <w:t>or</w:t>
      </w:r>
      <w:r>
        <w:t xml:space="preserve"> producing three key clothing materials: </w:t>
      </w:r>
      <w:r w:rsidRPr="00FA6EEA">
        <w:rPr>
          <w:i/>
        </w:rPr>
        <w:t>cotton</w:t>
      </w:r>
      <w:r>
        <w:t xml:space="preserve">, </w:t>
      </w:r>
      <w:r w:rsidRPr="00FA6EEA">
        <w:rPr>
          <w:i/>
        </w:rPr>
        <w:t>wool</w:t>
      </w:r>
      <w:r>
        <w:t xml:space="preserve"> and </w:t>
      </w:r>
      <w:r w:rsidRPr="00FA6EEA">
        <w:rPr>
          <w:i/>
        </w:rPr>
        <w:t>rubber</w:t>
      </w:r>
      <w:r>
        <w:t>. We take these from the</w:t>
      </w:r>
      <w:r w:rsidR="00F006D4">
        <w:t xml:space="preserve"> latest </w:t>
      </w:r>
      <w:r w:rsidR="00F006D4" w:rsidRPr="00F006D4">
        <w:rPr>
          <w:i/>
        </w:rPr>
        <w:t xml:space="preserve">ICE </w:t>
      </w:r>
      <w:r w:rsidR="00F006D4">
        <w:rPr>
          <w:i/>
        </w:rPr>
        <w:t>D</w:t>
      </w:r>
      <w:r w:rsidR="00F006D4" w:rsidRPr="00F006D4">
        <w:rPr>
          <w:i/>
        </w:rPr>
        <w:t>atabase</w:t>
      </w:r>
      <w:r w:rsidR="006A2825" w:rsidRPr="006A2825">
        <w:rPr>
          <w:noProof/>
          <w:vertAlign w:val="superscript"/>
        </w:rPr>
        <w:t>49</w:t>
      </w:r>
      <w:r>
        <w:t xml:space="preserve">, which show </w:t>
      </w:r>
      <w:r w:rsidR="00F006D4">
        <w:t xml:space="preserve">the </w:t>
      </w:r>
      <w:r>
        <w:t>low</w:t>
      </w:r>
      <w:r w:rsidR="00260149">
        <w:t>est</w:t>
      </w:r>
      <w:r>
        <w:t xml:space="preserve"> </w:t>
      </w:r>
      <w:r w:rsidR="00260149">
        <w:t xml:space="preserve">UK </w:t>
      </w:r>
      <w:r>
        <w:t xml:space="preserve">values for the energy efficiency of cotton production </w:t>
      </w:r>
      <w:r w:rsidR="00F006D4">
        <w:t>to be</w:t>
      </w:r>
      <w:r>
        <w:t xml:space="preserve"> 76% below </w:t>
      </w:r>
      <w:r w:rsidR="00260149">
        <w:t xml:space="preserve">UK </w:t>
      </w:r>
      <w:r w:rsidR="0063682C">
        <w:t>averages, with analogues</w:t>
      </w:r>
      <w:r>
        <w:t xml:space="preserve"> of 44% and 58% for </w:t>
      </w:r>
      <w:r w:rsidR="00260149">
        <w:t>wool and rubber, respectively.</w:t>
      </w:r>
      <w:r w:rsidR="00F006D4">
        <w:t xml:space="preserve"> We make a heuristic assumption, </w:t>
      </w:r>
      <w:r w:rsidR="00260149">
        <w:t>apply</w:t>
      </w:r>
      <w:r w:rsidR="00F006D4">
        <w:t>ing</w:t>
      </w:r>
      <w:r w:rsidR="00260149">
        <w:t xml:space="preserve"> </w:t>
      </w:r>
      <w:r w:rsidR="00F006D4">
        <w:t>reductions relating to single-material</w:t>
      </w:r>
      <w:r w:rsidR="00260149">
        <w:t xml:space="preserve">s to the full </w:t>
      </w:r>
      <w:r w:rsidR="00F006D4">
        <w:t>embodied</w:t>
      </w:r>
      <w:r w:rsidR="00260149">
        <w:t xml:space="preserve"> energy estimates for each </w:t>
      </w:r>
      <w:r w:rsidR="0063682C">
        <w:t xml:space="preserve">clothing </w:t>
      </w:r>
      <w:r w:rsidR="00260149">
        <w:t xml:space="preserve">item, matching </w:t>
      </w:r>
      <w:r w:rsidR="00F006D4">
        <w:t>the</w:t>
      </w:r>
      <w:r w:rsidR="00260149">
        <w:t xml:space="preserve"> most appropriate material </w:t>
      </w:r>
      <w:r w:rsidR="00F006D4">
        <w:t>to each item</w:t>
      </w:r>
      <w:r w:rsidR="00260149">
        <w:t>.</w:t>
      </w:r>
      <w:r w:rsidR="007D0582">
        <w:t xml:space="preserve"> </w:t>
      </w:r>
      <w:r w:rsidR="007C0BF8">
        <w:t xml:space="preserve">From here, embodied energy </w:t>
      </w:r>
      <w:r w:rsidR="00681428">
        <w:t xml:space="preserve">estimates </w:t>
      </w:r>
      <w:r w:rsidR="007C0BF8">
        <w:t>can ea</w:t>
      </w:r>
      <w:r w:rsidR="000C2F8A">
        <w:t>sily be obtained by calculating</w:t>
      </w:r>
      <w:r w:rsidR="007C0BF8">
        <w:t xml:space="preserve"> how many times </w:t>
      </w:r>
      <w:r w:rsidR="00681428">
        <w:t xml:space="preserve">each item </w:t>
      </w:r>
      <w:r w:rsidR="007C0BF8">
        <w:t>must be repl</w:t>
      </w:r>
      <w:r w:rsidR="00681428">
        <w:t xml:space="preserve">aced in a year, multiplying </w:t>
      </w:r>
      <w:r w:rsidR="007C0BF8">
        <w:t xml:space="preserve">by the </w:t>
      </w:r>
      <w:r w:rsidR="00681428">
        <w:t xml:space="preserve">embodied </w:t>
      </w:r>
      <w:r w:rsidR="000C2F8A">
        <w:t>energies</w:t>
      </w:r>
      <w:r w:rsidR="007C0BF8">
        <w:t xml:space="preserve">, </w:t>
      </w:r>
      <w:r w:rsidR="00444DD8">
        <w:t>applying</w:t>
      </w:r>
      <w:r w:rsidR="007C0BF8">
        <w:t xml:space="preserve"> </w:t>
      </w:r>
      <w:r w:rsidR="00681428">
        <w:t xml:space="preserve">potential energy </w:t>
      </w:r>
      <w:r w:rsidR="007C0BF8">
        <w:t>savings</w:t>
      </w:r>
      <w:r w:rsidR="00444DD8">
        <w:t xml:space="preserve">, and </w:t>
      </w:r>
      <w:r w:rsidR="007D0582">
        <w:t>finally</w:t>
      </w:r>
      <w:r w:rsidR="00444DD8">
        <w:t xml:space="preserve"> summing over </w:t>
      </w:r>
      <w:r w:rsidR="007D0582">
        <w:t xml:space="preserve">all clothing </w:t>
      </w:r>
      <w:r w:rsidR="00444DD8">
        <w:t>items</w:t>
      </w:r>
      <w:r w:rsidR="007C0BF8">
        <w:t>.</w:t>
      </w:r>
      <w:r w:rsidR="00444DD8">
        <w:t xml:space="preserve"> </w:t>
      </w:r>
      <w:r w:rsidR="00681428">
        <w:t>For example,</w:t>
      </w:r>
      <w:r w:rsidR="00444DD8">
        <w:t xml:space="preserve"> for </w:t>
      </w:r>
      <w:r w:rsidR="00444DD8" w:rsidRPr="00444DD8">
        <w:rPr>
          <w:i/>
        </w:rPr>
        <w:t>Tops</w:t>
      </w:r>
      <w:r w:rsidR="00444DD8">
        <w:t>, the embodied energy is</w:t>
      </w:r>
      <w:r w:rsidR="007646BC">
        <w:t xml:space="preserve">: </w:t>
      </w:r>
      <w:r w:rsidR="00444DD8">
        <w:t xml:space="preserve"> 365/112.5 </w:t>
      </w:r>
      <w:r w:rsidR="00444DD8">
        <w:rPr>
          <w:rFonts w:cstheme="minorHAnsi"/>
        </w:rPr>
        <w:t>×</w:t>
      </w:r>
      <w:r w:rsidR="00444DD8">
        <w:t xml:space="preserve"> 62 </w:t>
      </w:r>
      <w:r w:rsidR="00444DD8">
        <w:rPr>
          <w:rFonts w:cstheme="minorHAnsi"/>
        </w:rPr>
        <w:t xml:space="preserve">× </w:t>
      </w:r>
      <w:r w:rsidR="00987FD4">
        <w:rPr>
          <w:rFonts w:cstheme="minorHAnsi"/>
        </w:rPr>
        <w:t>(100%-76%) = 48 MJ/</w:t>
      </w:r>
      <w:proofErr w:type="spellStart"/>
      <w:r w:rsidR="00987FD4">
        <w:rPr>
          <w:rFonts w:cstheme="minorHAnsi"/>
        </w:rPr>
        <w:t>yr</w:t>
      </w:r>
      <w:proofErr w:type="spellEnd"/>
      <w:r w:rsidR="00987FD4">
        <w:rPr>
          <w:rFonts w:cstheme="minorHAnsi"/>
        </w:rPr>
        <w:t>/capita.</w:t>
      </w:r>
      <w:r w:rsidR="00244815">
        <w:rPr>
          <w:rFonts w:cstheme="minorHAnsi"/>
        </w:rPr>
        <w:t xml:space="preserve"> Summing over all items gives 0.32 GJ/capita/yr.</w:t>
      </w:r>
    </w:p>
    <w:p w14:paraId="41A45D61" w14:textId="7E0E6D14" w:rsidR="00777870" w:rsidRDefault="007D0582" w:rsidP="00777870">
      <w:r>
        <w:rPr>
          <w:rFonts w:cstheme="minorHAnsi"/>
        </w:rPr>
        <w:t>Now we must also add the</w:t>
      </w:r>
      <w:r w:rsidR="00FA1C4F">
        <w:rPr>
          <w:rFonts w:cstheme="minorHAnsi"/>
        </w:rPr>
        <w:t xml:space="preserve"> direct energy </w:t>
      </w:r>
      <w:r>
        <w:rPr>
          <w:rFonts w:cstheme="minorHAnsi"/>
        </w:rPr>
        <w:t xml:space="preserve">used </w:t>
      </w:r>
      <w:r w:rsidR="00FA1C4F">
        <w:rPr>
          <w:rFonts w:cstheme="minorHAnsi"/>
        </w:rPr>
        <w:t>for washing and drying</w:t>
      </w:r>
      <w:r>
        <w:rPr>
          <w:rFonts w:cstheme="minorHAnsi"/>
        </w:rPr>
        <w:t>, and the embodied energy of washing appliances themselves</w:t>
      </w:r>
      <w:r w:rsidR="00FA1C4F">
        <w:rPr>
          <w:rFonts w:cstheme="minorHAnsi"/>
        </w:rPr>
        <w:t>.</w:t>
      </w:r>
      <w:r w:rsidR="00F87124">
        <w:rPr>
          <w:rFonts w:cstheme="minorHAnsi"/>
        </w:rPr>
        <w:t xml:space="preserve"> </w:t>
      </w:r>
      <w:r w:rsidR="00733484">
        <w:rPr>
          <w:rFonts w:cstheme="minorHAnsi"/>
        </w:rPr>
        <w:t>For the former,</w:t>
      </w:r>
      <w:r w:rsidR="00A15A8A">
        <w:rPr>
          <w:rFonts w:cstheme="minorHAnsi"/>
        </w:rPr>
        <w:t xml:space="preserve"> we start with values from</w:t>
      </w:r>
      <w:r w:rsidR="00A15A8A" w:rsidRPr="00A15A8A">
        <w:rPr>
          <w:rFonts w:cstheme="minorHAnsi"/>
          <w:sz w:val="24"/>
        </w:rPr>
        <w:t xml:space="preserve"> </w:t>
      </w:r>
      <w:r w:rsidR="0063682C">
        <w:rPr>
          <w:noProof/>
        </w:rPr>
        <w:t>Steinberger</w:t>
      </w:r>
      <w:r w:rsidR="0063682C" w:rsidRPr="00B20917">
        <w:rPr>
          <w:i/>
          <w:noProof/>
        </w:rPr>
        <w:t xml:space="preserve"> et al.</w:t>
      </w:r>
      <w:r w:rsidR="006A2825" w:rsidRPr="006A2825">
        <w:rPr>
          <w:noProof/>
          <w:vertAlign w:val="superscript"/>
        </w:rPr>
        <w:t>50</w:t>
      </w:r>
      <w:r w:rsidR="00A15A8A">
        <w:t>,</w:t>
      </w:r>
      <w:r w:rsidR="005A3670">
        <w:t xml:space="preserve"> which suggest </w:t>
      </w:r>
      <w:r w:rsidR="005A3670">
        <w:rPr>
          <w:rFonts w:cstheme="minorHAnsi"/>
        </w:rPr>
        <w:t>≈</w:t>
      </w:r>
      <w:r>
        <w:rPr>
          <w:rFonts w:cstheme="minorHAnsi"/>
        </w:rPr>
        <w:t xml:space="preserve"> </w:t>
      </w:r>
      <w:r w:rsidR="005A3670">
        <w:t>1</w:t>
      </w:r>
      <w:r w:rsidR="006C5F2A">
        <w:t>0</w:t>
      </w:r>
      <w:r w:rsidR="00F12486">
        <w:t xml:space="preserve"> MJ of </w:t>
      </w:r>
      <w:r w:rsidR="005A3670">
        <w:t>final</w:t>
      </w:r>
      <w:r w:rsidR="00F12486">
        <w:t xml:space="preserve"> energy is required for washing and drying 1kg of clothes. </w:t>
      </w:r>
      <w:r w:rsidR="005A3670">
        <w:t xml:space="preserve">We then reduce this by the average practical energy savings (75%) suggested by </w:t>
      </w:r>
      <w:r w:rsidR="0063682C">
        <w:rPr>
          <w:noProof/>
        </w:rPr>
        <w:t>Cullen, Allwood and Borgstein</w:t>
      </w:r>
      <w:r w:rsidR="006A2825" w:rsidRPr="006A2825">
        <w:rPr>
          <w:noProof/>
          <w:vertAlign w:val="superscript"/>
        </w:rPr>
        <w:t>6</w:t>
      </w:r>
      <w:r w:rsidR="005A3670">
        <w:t xml:space="preserve"> for washing (9</w:t>
      </w:r>
      <w:r w:rsidR="006C5F2A">
        <w:t>1</w:t>
      </w:r>
      <w:r w:rsidR="005A3670">
        <w:t xml:space="preserve">%) and drying (60%). This gives 2.4 MJ/kg, which can be multiplied by the total weight of washing required per year </w:t>
      </w:r>
      <w:r w:rsidR="00C556CC">
        <w:t>(</w:t>
      </w:r>
      <w:r w:rsidR="00C556CC">
        <w:rPr>
          <w:rFonts w:cstheme="minorHAnsi"/>
        </w:rPr>
        <w:t>≈</w:t>
      </w:r>
      <w:r w:rsidR="00AC7364">
        <w:rPr>
          <w:rFonts w:cstheme="minorHAnsi"/>
        </w:rPr>
        <w:t xml:space="preserve"> </w:t>
      </w:r>
      <w:r w:rsidR="008B4248">
        <w:rPr>
          <w:rFonts w:cstheme="minorHAnsi"/>
        </w:rPr>
        <w:t>7</w:t>
      </w:r>
      <w:r w:rsidR="008B4248">
        <w:t>8</w:t>
      </w:r>
      <w:r w:rsidR="00C556CC">
        <w:t>kg</w:t>
      </w:r>
      <w:r w:rsidR="00244815">
        <w:t>;</w:t>
      </w:r>
      <w:r w:rsidR="00C556CC">
        <w:t xml:space="preserve"> from the days/wash </w:t>
      </w:r>
      <w:r w:rsidR="00244815">
        <w:t>values</w:t>
      </w:r>
      <w:r w:rsidR="00C556CC">
        <w:t xml:space="preserve">) to give an annual direct energy requirement of </w:t>
      </w:r>
      <w:r w:rsidR="008B4248">
        <w:t>0.19</w:t>
      </w:r>
      <w:r w:rsidR="00244815">
        <w:t xml:space="preserve"> GJ/capita</w:t>
      </w:r>
      <w:r w:rsidR="005A3670">
        <w:t>.</w:t>
      </w:r>
      <w:r w:rsidR="00733484">
        <w:t xml:space="preserve"> For the embodied energy of washing machines, </w:t>
      </w:r>
      <w:r w:rsidR="00777870">
        <w:t>we apply a simply scaling with the direct energy of use. For highly efficient washing machines, the lifecycle impacts of appliance production are approximately 30% of those of the use phase, when averaged to annual values</w:t>
      </w:r>
      <w:r w:rsidR="00777870" w:rsidRPr="00777870">
        <w:rPr>
          <w:noProof/>
          <w:vertAlign w:val="superscript"/>
        </w:rPr>
        <w:t>51</w:t>
      </w:r>
      <w:r w:rsidR="00777870">
        <w:t>. We thus simply take the energy embodied in washing machines to be 56 MJ/cap/</w:t>
      </w:r>
      <w:proofErr w:type="spellStart"/>
      <w:r w:rsidR="00777870">
        <w:t>yr</w:t>
      </w:r>
      <w:proofErr w:type="spellEnd"/>
      <w:r w:rsidR="00777870">
        <w:t xml:space="preserve"> (i.e. </w:t>
      </w:r>
      <w:r w:rsidR="00777870">
        <w:lastRenderedPageBreak/>
        <w:t xml:space="preserve">0.19 GJ </w:t>
      </w:r>
      <w:r w:rsidR="00777870">
        <w:rPr>
          <w:rFonts w:cstheme="minorHAnsi"/>
        </w:rPr>
        <w:t>×</w:t>
      </w:r>
      <w:r w:rsidR="00777870">
        <w:t xml:space="preserve"> 30%). Assuming an 8-15 </w:t>
      </w:r>
      <w:proofErr w:type="spellStart"/>
      <w:r w:rsidR="00777870">
        <w:t>yr</w:t>
      </w:r>
      <w:proofErr w:type="spellEnd"/>
      <w:r w:rsidR="00777870">
        <w:t xml:space="preserve"> lifetime, this is equivalent to 1.8-3.4 GJ/machine, so it passes a sense check by laying in between our estimates of 1 GJ and 4 GJ for cookers and refrigerators, respectively.</w:t>
      </w:r>
    </w:p>
    <w:p w14:paraId="3CF71315" w14:textId="5F2F419A" w:rsidR="00647488" w:rsidRDefault="00777870" w:rsidP="00647488">
      <w:r>
        <w:t xml:space="preserve">Finally, we increase all direct and embodied emissions by 20% to approximate the requirements of non-clothing items like towels and bedding. This gives a total energy requirement of </w:t>
      </w:r>
      <w:r w:rsidRPr="00CD5510">
        <w:rPr>
          <w:b/>
        </w:rPr>
        <w:t>0.6</w:t>
      </w:r>
      <w:r>
        <w:rPr>
          <w:b/>
        </w:rPr>
        <w:t>7</w:t>
      </w:r>
      <w:r w:rsidRPr="00CD5510">
        <w:rPr>
          <w:b/>
        </w:rPr>
        <w:t xml:space="preserve"> GJ</w:t>
      </w:r>
      <w:r w:rsidRPr="00B10CC6">
        <w:rPr>
          <w:b/>
        </w:rPr>
        <w:t>/cap</w:t>
      </w:r>
      <w:r>
        <w:rPr>
          <w:b/>
        </w:rPr>
        <w:t>/yr</w:t>
      </w:r>
      <w:r>
        <w:t>.</w:t>
      </w:r>
    </w:p>
    <w:p w14:paraId="005E25D5" w14:textId="3CD9DDB7" w:rsidR="00795C15" w:rsidRPr="00647488" w:rsidRDefault="00795C15" w:rsidP="00914586">
      <w:pPr>
        <w:rPr>
          <w:sz w:val="20"/>
        </w:rPr>
      </w:pPr>
    </w:p>
    <w:tbl>
      <w:tblPr>
        <w:tblW w:w="9072" w:type="dxa"/>
        <w:tblInd w:w="-5" w:type="dxa"/>
        <w:tblCellMar>
          <w:top w:w="6" w:type="dxa"/>
          <w:left w:w="28" w:type="dxa"/>
          <w:bottom w:w="6" w:type="dxa"/>
          <w:right w:w="28" w:type="dxa"/>
        </w:tblCellMar>
        <w:tblLook w:val="04A0" w:firstRow="1" w:lastRow="0" w:firstColumn="1" w:lastColumn="0" w:noHBand="0" w:noVBand="1"/>
      </w:tblPr>
      <w:tblGrid>
        <w:gridCol w:w="2380"/>
        <w:gridCol w:w="1068"/>
        <w:gridCol w:w="851"/>
        <w:gridCol w:w="992"/>
        <w:gridCol w:w="709"/>
        <w:gridCol w:w="1402"/>
        <w:gridCol w:w="1670"/>
      </w:tblGrid>
      <w:tr w:rsidR="00A736D0" w:rsidRPr="00795C15" w14:paraId="55B67C2F" w14:textId="3C817008" w:rsidTr="00D97FD9">
        <w:trPr>
          <w:trHeight w:val="510"/>
        </w:trPr>
        <w:tc>
          <w:tcPr>
            <w:tcW w:w="2380" w:type="dxa"/>
            <w:vMerge w:val="restart"/>
          </w:tcPr>
          <w:p w14:paraId="0E6290A3" w14:textId="12CD9165" w:rsidR="003E01C6" w:rsidRPr="004E5B73" w:rsidRDefault="00471003" w:rsidP="00BF33F6">
            <w:pPr>
              <w:spacing w:after="0" w:line="240" w:lineRule="auto"/>
              <w:ind w:left="113" w:right="115" w:hanging="113"/>
              <w:rPr>
                <w:rFonts w:eastAsia="Times New Roman" w:cstheme="minorHAnsi"/>
                <w:b/>
                <w:bCs/>
                <w:color w:val="000000"/>
                <w:sz w:val="21"/>
                <w:szCs w:val="21"/>
                <w:lang w:eastAsia="en-GB"/>
              </w:rPr>
            </w:pPr>
            <w:r>
              <w:rPr>
                <w:rFonts w:eastAsia="Times New Roman" w:cstheme="minorHAnsi"/>
                <w:b/>
                <w:bCs/>
                <w:color w:val="000000"/>
                <w:szCs w:val="21"/>
                <w:lang w:eastAsia="en-GB"/>
              </w:rPr>
              <w:t>Table S1</w:t>
            </w:r>
            <w:r w:rsidR="00BD28D6">
              <w:rPr>
                <w:rFonts w:eastAsia="Times New Roman" w:cstheme="minorHAnsi"/>
                <w:b/>
                <w:bCs/>
                <w:color w:val="000000"/>
                <w:szCs w:val="21"/>
                <w:lang w:eastAsia="en-GB"/>
              </w:rPr>
              <w:t>0</w:t>
            </w:r>
            <w:r w:rsidR="003E01C6" w:rsidRPr="004E5B73">
              <w:rPr>
                <w:rFonts w:eastAsia="Times New Roman" w:cstheme="minorHAnsi"/>
                <w:b/>
                <w:bCs/>
                <w:color w:val="000000"/>
                <w:szCs w:val="21"/>
                <w:lang w:eastAsia="en-GB"/>
              </w:rPr>
              <w:t xml:space="preserve">:  </w:t>
            </w:r>
            <w:r w:rsidR="00A66D5B" w:rsidRPr="004E5B73">
              <w:rPr>
                <w:rFonts w:eastAsia="Times New Roman" w:cstheme="minorHAnsi"/>
                <w:bCs/>
                <w:color w:val="000000"/>
                <w:szCs w:val="21"/>
                <w:lang w:eastAsia="en-GB"/>
              </w:rPr>
              <w:t>Standard array of clothes assumed to be worn, along with weights, lifetimes, washing frequenci</w:t>
            </w:r>
            <w:r w:rsidR="00FA6EEA" w:rsidRPr="004E5B73">
              <w:rPr>
                <w:rFonts w:eastAsia="Times New Roman" w:cstheme="minorHAnsi"/>
                <w:bCs/>
                <w:color w:val="000000"/>
                <w:szCs w:val="21"/>
                <w:lang w:eastAsia="en-GB"/>
              </w:rPr>
              <w:t>es, and supply chain emissions.</w:t>
            </w:r>
          </w:p>
        </w:tc>
        <w:tc>
          <w:tcPr>
            <w:tcW w:w="1068" w:type="dxa"/>
            <w:shd w:val="clear" w:color="auto" w:fill="auto"/>
            <w:vAlign w:val="center"/>
            <w:hideMark/>
          </w:tcPr>
          <w:p w14:paraId="3CAD5925" w14:textId="6A104CE3" w:rsidR="003E01C6" w:rsidRPr="004E5B73" w:rsidRDefault="003E01C6" w:rsidP="00795C15">
            <w:pPr>
              <w:spacing w:after="0" w:line="240" w:lineRule="auto"/>
              <w:jc w:val="center"/>
              <w:rPr>
                <w:rFonts w:eastAsia="Times New Roman" w:cstheme="minorHAnsi"/>
                <w:b/>
                <w:bCs/>
                <w:color w:val="000000"/>
                <w:sz w:val="21"/>
                <w:szCs w:val="21"/>
                <w:lang w:eastAsia="en-GB"/>
              </w:rPr>
            </w:pPr>
          </w:p>
        </w:tc>
        <w:tc>
          <w:tcPr>
            <w:tcW w:w="851" w:type="dxa"/>
            <w:shd w:val="clear" w:color="auto" w:fill="404040" w:themeFill="text1" w:themeFillTint="BF"/>
            <w:vAlign w:val="center"/>
            <w:hideMark/>
          </w:tcPr>
          <w:p w14:paraId="6141BF26" w14:textId="59129CEE" w:rsidR="003E01C6" w:rsidRPr="004E5B73" w:rsidRDefault="003E01C6" w:rsidP="00795C15">
            <w:pPr>
              <w:spacing w:after="0" w:line="240" w:lineRule="auto"/>
              <w:jc w:val="center"/>
              <w:rPr>
                <w:rFonts w:eastAsia="Times New Roman" w:cstheme="minorHAnsi"/>
                <w:color w:val="FFFFFF" w:themeColor="background1"/>
                <w:sz w:val="21"/>
                <w:szCs w:val="21"/>
                <w:lang w:eastAsia="en-GB"/>
              </w:rPr>
            </w:pPr>
            <w:r w:rsidRPr="004E5B73">
              <w:rPr>
                <w:rFonts w:eastAsia="Times New Roman" w:cstheme="minorHAnsi"/>
                <w:b/>
                <w:color w:val="FFFFFF" w:themeColor="background1"/>
                <w:sz w:val="21"/>
                <w:szCs w:val="21"/>
                <w:lang w:eastAsia="en-GB"/>
              </w:rPr>
              <w:t>Weight</w:t>
            </w:r>
            <w:r w:rsidRPr="004E5B73">
              <w:rPr>
                <w:rFonts w:eastAsia="Times New Roman" w:cstheme="minorHAnsi"/>
                <w:color w:val="FFFFFF" w:themeColor="background1"/>
                <w:sz w:val="21"/>
                <w:szCs w:val="21"/>
                <w:lang w:eastAsia="en-GB"/>
              </w:rPr>
              <w:t xml:space="preserve"> (kg)</w:t>
            </w:r>
            <w:r w:rsidRPr="004E5B73">
              <w:rPr>
                <w:rFonts w:eastAsia="Times New Roman" w:cstheme="minorHAnsi"/>
                <w:color w:val="FFFFFF" w:themeColor="background1"/>
                <w:sz w:val="21"/>
                <w:szCs w:val="21"/>
                <w:vertAlign w:val="superscript"/>
                <w:lang w:eastAsia="en-GB"/>
              </w:rPr>
              <w:t>a</w:t>
            </w:r>
          </w:p>
        </w:tc>
        <w:tc>
          <w:tcPr>
            <w:tcW w:w="992" w:type="dxa"/>
            <w:shd w:val="clear" w:color="auto" w:fill="000000" w:themeFill="text1"/>
            <w:vAlign w:val="center"/>
            <w:hideMark/>
          </w:tcPr>
          <w:p w14:paraId="324F056C" w14:textId="3A1B4787" w:rsidR="003E01C6" w:rsidRPr="004E5B73" w:rsidRDefault="003E01C6" w:rsidP="00431896">
            <w:pPr>
              <w:spacing w:after="0" w:line="240" w:lineRule="auto"/>
              <w:jc w:val="center"/>
              <w:rPr>
                <w:rFonts w:eastAsia="Times New Roman" w:cstheme="minorHAnsi"/>
                <w:color w:val="FFFFFF" w:themeColor="background1"/>
                <w:sz w:val="21"/>
                <w:szCs w:val="21"/>
                <w:vertAlign w:val="superscript"/>
                <w:lang w:eastAsia="en-GB"/>
              </w:rPr>
            </w:pPr>
            <w:r w:rsidRPr="004E5B73">
              <w:rPr>
                <w:rFonts w:eastAsia="Times New Roman" w:cstheme="minorHAnsi"/>
                <w:b/>
                <w:color w:val="FFFFFF" w:themeColor="background1"/>
                <w:sz w:val="21"/>
                <w:szCs w:val="21"/>
                <w:lang w:eastAsia="en-GB"/>
              </w:rPr>
              <w:t>Lifetime</w:t>
            </w:r>
            <w:r w:rsidRPr="004E5B73">
              <w:rPr>
                <w:rFonts w:eastAsia="Times New Roman" w:cstheme="minorHAnsi"/>
                <w:color w:val="FFFFFF" w:themeColor="background1"/>
                <w:sz w:val="21"/>
                <w:szCs w:val="21"/>
                <w:lang w:eastAsia="en-GB"/>
              </w:rPr>
              <w:t xml:space="preserve"> (</w:t>
            </w:r>
            <w:proofErr w:type="spellStart"/>
            <w:r w:rsidRPr="004E5B73">
              <w:rPr>
                <w:rFonts w:eastAsia="Times New Roman" w:cstheme="minorHAnsi"/>
                <w:color w:val="FFFFFF" w:themeColor="background1"/>
                <w:sz w:val="21"/>
                <w:szCs w:val="21"/>
                <w:lang w:eastAsia="en-GB"/>
              </w:rPr>
              <w:t>yrs</w:t>
            </w:r>
            <w:proofErr w:type="spellEnd"/>
            <w:r w:rsidRPr="004E5B73">
              <w:rPr>
                <w:rFonts w:eastAsia="Times New Roman" w:cstheme="minorHAnsi"/>
                <w:color w:val="FFFFFF" w:themeColor="background1"/>
                <w:sz w:val="21"/>
                <w:szCs w:val="21"/>
                <w:lang w:eastAsia="en-GB"/>
              </w:rPr>
              <w:t>)</w:t>
            </w:r>
            <w:r w:rsidRPr="004E5B73">
              <w:rPr>
                <w:rFonts w:eastAsia="Times New Roman" w:cstheme="minorHAnsi"/>
                <w:color w:val="FFFFFF" w:themeColor="background1"/>
                <w:sz w:val="21"/>
                <w:szCs w:val="21"/>
                <w:vertAlign w:val="superscript"/>
                <w:lang w:eastAsia="en-GB"/>
              </w:rPr>
              <w:t>b</w:t>
            </w:r>
          </w:p>
        </w:tc>
        <w:tc>
          <w:tcPr>
            <w:tcW w:w="709" w:type="dxa"/>
            <w:shd w:val="clear" w:color="auto" w:fill="404040" w:themeFill="text1" w:themeFillTint="BF"/>
            <w:vAlign w:val="center"/>
            <w:hideMark/>
          </w:tcPr>
          <w:p w14:paraId="1C8FDA4D" w14:textId="2D43BB26" w:rsidR="003E01C6" w:rsidRPr="004E5B73" w:rsidRDefault="003E01C6" w:rsidP="00431896">
            <w:pPr>
              <w:spacing w:after="0" w:line="240" w:lineRule="auto"/>
              <w:jc w:val="center"/>
              <w:rPr>
                <w:rFonts w:eastAsia="Times New Roman" w:cstheme="minorHAnsi"/>
                <w:color w:val="FFFFFF" w:themeColor="background1"/>
                <w:sz w:val="21"/>
                <w:szCs w:val="21"/>
                <w:lang w:eastAsia="en-GB"/>
              </w:rPr>
            </w:pPr>
            <w:r w:rsidRPr="004E5B73">
              <w:rPr>
                <w:rFonts w:eastAsia="Times New Roman" w:cstheme="minorHAnsi"/>
                <w:b/>
                <w:color w:val="FFFFFF" w:themeColor="background1"/>
                <w:sz w:val="21"/>
                <w:szCs w:val="21"/>
                <w:lang w:eastAsia="en-GB"/>
              </w:rPr>
              <w:t>Days/</w:t>
            </w:r>
            <w:r w:rsidRPr="004E5B73">
              <w:rPr>
                <w:rFonts w:eastAsia="Times New Roman" w:cstheme="minorHAnsi"/>
                <w:color w:val="FFFFFF" w:themeColor="background1"/>
                <w:sz w:val="21"/>
                <w:szCs w:val="21"/>
                <w:lang w:eastAsia="en-GB"/>
              </w:rPr>
              <w:t xml:space="preserve"> </w:t>
            </w:r>
            <w:proofErr w:type="spellStart"/>
            <w:r w:rsidRPr="004E5B73">
              <w:rPr>
                <w:rFonts w:eastAsia="Times New Roman" w:cstheme="minorHAnsi"/>
                <w:b/>
                <w:color w:val="FFFFFF" w:themeColor="background1"/>
                <w:sz w:val="21"/>
                <w:szCs w:val="21"/>
                <w:lang w:eastAsia="en-GB"/>
              </w:rPr>
              <w:t>wash</w:t>
            </w:r>
            <w:r w:rsidRPr="004E5B73">
              <w:rPr>
                <w:rFonts w:eastAsia="Times New Roman" w:cstheme="minorHAnsi"/>
                <w:color w:val="FFFFFF" w:themeColor="background1"/>
                <w:sz w:val="21"/>
                <w:szCs w:val="21"/>
                <w:vertAlign w:val="superscript"/>
                <w:lang w:eastAsia="en-GB"/>
              </w:rPr>
              <w:t>c</w:t>
            </w:r>
            <w:proofErr w:type="spellEnd"/>
          </w:p>
        </w:tc>
        <w:tc>
          <w:tcPr>
            <w:tcW w:w="1402" w:type="dxa"/>
            <w:shd w:val="clear" w:color="auto" w:fill="000000" w:themeFill="text1"/>
            <w:vAlign w:val="center"/>
          </w:tcPr>
          <w:p w14:paraId="49A2FFE7" w14:textId="30B2C5E7" w:rsidR="003E01C6" w:rsidRPr="004E5B73" w:rsidRDefault="00A736D0" w:rsidP="00A736D0">
            <w:pPr>
              <w:spacing w:after="0" w:line="240" w:lineRule="auto"/>
              <w:jc w:val="center"/>
              <w:rPr>
                <w:rFonts w:eastAsia="Times New Roman" w:cstheme="minorHAnsi"/>
                <w:color w:val="FFFFFF" w:themeColor="background1"/>
                <w:sz w:val="21"/>
                <w:szCs w:val="21"/>
                <w:lang w:eastAsia="en-GB"/>
              </w:rPr>
            </w:pPr>
            <w:r w:rsidRPr="004E5B73">
              <w:rPr>
                <w:rFonts w:cstheme="minorHAnsi"/>
                <w:b/>
                <w:bCs/>
                <w:color w:val="FFFFFF" w:themeColor="background1"/>
                <w:sz w:val="21"/>
                <w:szCs w:val="21"/>
              </w:rPr>
              <w:t>Embodied energy</w:t>
            </w:r>
            <w:r w:rsidR="003E01C6" w:rsidRPr="004E5B73">
              <w:rPr>
                <w:rFonts w:cstheme="minorHAnsi"/>
                <w:b/>
                <w:bCs/>
                <w:color w:val="FFFFFF" w:themeColor="background1"/>
                <w:sz w:val="21"/>
                <w:szCs w:val="21"/>
              </w:rPr>
              <w:t xml:space="preserve"> </w:t>
            </w:r>
            <w:r w:rsidR="003E01C6" w:rsidRPr="004E5B73">
              <w:rPr>
                <w:rFonts w:cstheme="minorHAnsi"/>
                <w:i/>
                <w:iCs/>
                <w:color w:val="FFFFFF" w:themeColor="background1"/>
                <w:sz w:val="21"/>
                <w:szCs w:val="21"/>
              </w:rPr>
              <w:t>(MJ)</w:t>
            </w:r>
            <w:r w:rsidR="003E01C6" w:rsidRPr="004E5B73">
              <w:rPr>
                <w:rFonts w:eastAsia="Times New Roman" w:cstheme="minorHAnsi"/>
                <w:color w:val="FFFFFF" w:themeColor="background1"/>
                <w:sz w:val="21"/>
                <w:szCs w:val="21"/>
                <w:vertAlign w:val="superscript"/>
                <w:lang w:eastAsia="en-GB"/>
              </w:rPr>
              <w:t>d</w:t>
            </w:r>
          </w:p>
        </w:tc>
        <w:tc>
          <w:tcPr>
            <w:tcW w:w="1670" w:type="dxa"/>
            <w:shd w:val="clear" w:color="auto" w:fill="404040" w:themeFill="text1" w:themeFillTint="BF"/>
            <w:vAlign w:val="center"/>
          </w:tcPr>
          <w:p w14:paraId="4CB3BEB1" w14:textId="0923ED91" w:rsidR="003E01C6" w:rsidRPr="004E5B73" w:rsidRDefault="003E01C6" w:rsidP="00795C15">
            <w:pPr>
              <w:spacing w:after="0" w:line="240" w:lineRule="auto"/>
              <w:jc w:val="center"/>
              <w:rPr>
                <w:rFonts w:eastAsia="Times New Roman" w:cstheme="minorHAnsi"/>
                <w:color w:val="FFFFFF" w:themeColor="background1"/>
                <w:sz w:val="21"/>
                <w:szCs w:val="21"/>
                <w:lang w:eastAsia="en-GB"/>
              </w:rPr>
            </w:pPr>
            <w:r w:rsidRPr="004E5B73">
              <w:rPr>
                <w:rFonts w:cstheme="minorHAnsi"/>
                <w:b/>
                <w:bCs/>
                <w:iCs/>
                <w:color w:val="FFFFFF" w:themeColor="background1"/>
                <w:sz w:val="21"/>
                <w:szCs w:val="21"/>
              </w:rPr>
              <w:t xml:space="preserve">Potential energy </w:t>
            </w:r>
            <w:proofErr w:type="spellStart"/>
            <w:r w:rsidRPr="004E5B73">
              <w:rPr>
                <w:rFonts w:cstheme="minorHAnsi"/>
                <w:b/>
                <w:bCs/>
                <w:iCs/>
                <w:color w:val="FFFFFF" w:themeColor="background1"/>
                <w:sz w:val="21"/>
                <w:szCs w:val="21"/>
              </w:rPr>
              <w:t>savings</w:t>
            </w:r>
            <w:r w:rsidRPr="004E5B73">
              <w:rPr>
                <w:rFonts w:eastAsia="Times New Roman" w:cstheme="minorHAnsi"/>
                <w:color w:val="FFFFFF" w:themeColor="background1"/>
                <w:sz w:val="21"/>
                <w:szCs w:val="21"/>
                <w:vertAlign w:val="superscript"/>
                <w:lang w:eastAsia="en-GB"/>
              </w:rPr>
              <w:t>e</w:t>
            </w:r>
            <w:proofErr w:type="spellEnd"/>
          </w:p>
        </w:tc>
      </w:tr>
      <w:tr w:rsidR="00A736D0" w:rsidRPr="00795C15" w14:paraId="3831C462" w14:textId="26A779B3" w:rsidTr="00D97FD9">
        <w:trPr>
          <w:trHeight w:val="255"/>
        </w:trPr>
        <w:tc>
          <w:tcPr>
            <w:tcW w:w="2380" w:type="dxa"/>
            <w:vMerge/>
          </w:tcPr>
          <w:p w14:paraId="7D0DE5D4" w14:textId="77777777" w:rsidR="003E01C6" w:rsidRPr="004E5B73" w:rsidRDefault="003E01C6" w:rsidP="00795C15">
            <w:pPr>
              <w:spacing w:after="0" w:line="240" w:lineRule="auto"/>
              <w:rPr>
                <w:rFonts w:eastAsia="Times New Roman" w:cstheme="minorHAnsi"/>
                <w:color w:val="000000"/>
                <w:sz w:val="21"/>
                <w:szCs w:val="21"/>
                <w:lang w:eastAsia="en-GB"/>
              </w:rPr>
            </w:pPr>
          </w:p>
        </w:tc>
        <w:tc>
          <w:tcPr>
            <w:tcW w:w="1068" w:type="dxa"/>
            <w:shd w:val="clear" w:color="auto" w:fill="BFBFBF" w:themeFill="background1" w:themeFillShade="BF"/>
            <w:noWrap/>
            <w:vAlign w:val="center"/>
            <w:hideMark/>
          </w:tcPr>
          <w:p w14:paraId="54C70A76" w14:textId="76538478" w:rsidR="003E01C6" w:rsidRPr="004E5B73" w:rsidRDefault="003E01C6" w:rsidP="00A736D0">
            <w:pPr>
              <w:spacing w:after="0" w:line="240" w:lineRule="auto"/>
              <w:ind w:left="28"/>
              <w:rPr>
                <w:rFonts w:eastAsia="Times New Roman" w:cstheme="minorHAnsi"/>
                <w:b/>
                <w:color w:val="000000"/>
                <w:sz w:val="21"/>
                <w:szCs w:val="21"/>
                <w:lang w:eastAsia="en-GB"/>
              </w:rPr>
            </w:pPr>
            <w:r w:rsidRPr="004E5B73">
              <w:rPr>
                <w:rFonts w:eastAsia="Times New Roman" w:cstheme="minorHAnsi"/>
                <w:b/>
                <w:color w:val="000000"/>
                <w:sz w:val="21"/>
                <w:szCs w:val="21"/>
                <w:lang w:eastAsia="en-GB"/>
              </w:rPr>
              <w:t>Tops</w:t>
            </w:r>
          </w:p>
        </w:tc>
        <w:tc>
          <w:tcPr>
            <w:tcW w:w="851" w:type="dxa"/>
            <w:shd w:val="clear" w:color="auto" w:fill="F2F2F2" w:themeFill="background1" w:themeFillShade="F2"/>
            <w:noWrap/>
            <w:vAlign w:val="center"/>
            <w:hideMark/>
          </w:tcPr>
          <w:p w14:paraId="72E94694"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0.25</w:t>
            </w:r>
          </w:p>
        </w:tc>
        <w:tc>
          <w:tcPr>
            <w:tcW w:w="992" w:type="dxa"/>
            <w:shd w:val="clear" w:color="auto" w:fill="D9D9D9" w:themeFill="background1" w:themeFillShade="D9"/>
            <w:noWrap/>
            <w:vAlign w:val="center"/>
            <w:hideMark/>
          </w:tcPr>
          <w:p w14:paraId="7A458350"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112.5</w:t>
            </w:r>
          </w:p>
        </w:tc>
        <w:tc>
          <w:tcPr>
            <w:tcW w:w="709" w:type="dxa"/>
            <w:shd w:val="clear" w:color="auto" w:fill="F2F2F2" w:themeFill="background1" w:themeFillShade="F2"/>
            <w:noWrap/>
            <w:vAlign w:val="center"/>
            <w:hideMark/>
          </w:tcPr>
          <w:p w14:paraId="57CB9576"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3</w:t>
            </w:r>
          </w:p>
        </w:tc>
        <w:tc>
          <w:tcPr>
            <w:tcW w:w="1402" w:type="dxa"/>
            <w:shd w:val="clear" w:color="auto" w:fill="D9D9D9" w:themeFill="background1" w:themeFillShade="D9"/>
            <w:vAlign w:val="center"/>
          </w:tcPr>
          <w:p w14:paraId="6D107003" w14:textId="7B4C750F"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cstheme="minorHAnsi"/>
                <w:color w:val="000000"/>
                <w:sz w:val="21"/>
                <w:szCs w:val="21"/>
              </w:rPr>
              <w:t>62</w:t>
            </w:r>
          </w:p>
        </w:tc>
        <w:tc>
          <w:tcPr>
            <w:tcW w:w="1670" w:type="dxa"/>
            <w:shd w:val="clear" w:color="auto" w:fill="F2F2F2" w:themeFill="background1" w:themeFillShade="F2"/>
            <w:vAlign w:val="center"/>
          </w:tcPr>
          <w:p w14:paraId="01F48300" w14:textId="5795D1A7" w:rsidR="003E01C6" w:rsidRPr="004E5B73" w:rsidRDefault="003E01C6" w:rsidP="004A7700">
            <w:pPr>
              <w:spacing w:after="0" w:line="240" w:lineRule="auto"/>
              <w:jc w:val="center"/>
              <w:rPr>
                <w:rFonts w:eastAsia="Times New Roman" w:cstheme="minorHAnsi"/>
                <w:color w:val="000000"/>
                <w:sz w:val="21"/>
                <w:szCs w:val="21"/>
                <w:lang w:eastAsia="en-GB"/>
              </w:rPr>
            </w:pPr>
            <w:r w:rsidRPr="004E5B73">
              <w:rPr>
                <w:rFonts w:cstheme="minorHAnsi"/>
                <w:iCs/>
                <w:color w:val="000000"/>
                <w:sz w:val="21"/>
                <w:szCs w:val="21"/>
              </w:rPr>
              <w:t>76% (</w:t>
            </w:r>
            <w:r w:rsidRPr="004E5B73">
              <w:rPr>
                <w:rFonts w:cstheme="minorHAnsi"/>
                <w:i/>
                <w:iCs/>
                <w:color w:val="000000"/>
                <w:sz w:val="21"/>
                <w:szCs w:val="21"/>
              </w:rPr>
              <w:t>cotton</w:t>
            </w:r>
            <w:r w:rsidRPr="004E5B73">
              <w:rPr>
                <w:rFonts w:cstheme="minorHAnsi"/>
                <w:iCs/>
                <w:color w:val="000000"/>
                <w:sz w:val="21"/>
                <w:szCs w:val="21"/>
              </w:rPr>
              <w:t>)</w:t>
            </w:r>
          </w:p>
        </w:tc>
      </w:tr>
      <w:tr w:rsidR="00A736D0" w:rsidRPr="00795C15" w14:paraId="58320843" w14:textId="1C52489B" w:rsidTr="00D97FD9">
        <w:trPr>
          <w:trHeight w:val="255"/>
        </w:trPr>
        <w:tc>
          <w:tcPr>
            <w:tcW w:w="2380" w:type="dxa"/>
            <w:vMerge/>
          </w:tcPr>
          <w:p w14:paraId="6A742C67" w14:textId="77777777" w:rsidR="003E01C6" w:rsidRPr="004E5B73" w:rsidRDefault="003E01C6" w:rsidP="00795C15">
            <w:pPr>
              <w:spacing w:after="0" w:line="240" w:lineRule="auto"/>
              <w:rPr>
                <w:rFonts w:eastAsia="Times New Roman" w:cstheme="minorHAnsi"/>
                <w:color w:val="000000"/>
                <w:sz w:val="21"/>
                <w:szCs w:val="21"/>
                <w:lang w:eastAsia="en-GB"/>
              </w:rPr>
            </w:pPr>
          </w:p>
        </w:tc>
        <w:tc>
          <w:tcPr>
            <w:tcW w:w="1068" w:type="dxa"/>
            <w:shd w:val="clear" w:color="auto" w:fill="BFBFBF" w:themeFill="background1" w:themeFillShade="BF"/>
            <w:noWrap/>
            <w:vAlign w:val="center"/>
            <w:hideMark/>
          </w:tcPr>
          <w:p w14:paraId="6847A862" w14:textId="1936E822" w:rsidR="003E01C6" w:rsidRPr="004E5B73" w:rsidRDefault="003E01C6" w:rsidP="00A736D0">
            <w:pPr>
              <w:spacing w:after="0" w:line="240" w:lineRule="auto"/>
              <w:ind w:left="28"/>
              <w:rPr>
                <w:rFonts w:eastAsia="Times New Roman" w:cstheme="minorHAnsi"/>
                <w:b/>
                <w:color w:val="000000"/>
                <w:sz w:val="21"/>
                <w:szCs w:val="21"/>
                <w:lang w:eastAsia="en-GB"/>
              </w:rPr>
            </w:pPr>
            <w:r w:rsidRPr="004E5B73">
              <w:rPr>
                <w:rFonts w:eastAsia="Times New Roman" w:cstheme="minorHAnsi"/>
                <w:b/>
                <w:color w:val="000000"/>
                <w:sz w:val="21"/>
                <w:szCs w:val="21"/>
                <w:lang w:eastAsia="en-GB"/>
              </w:rPr>
              <w:t>Bottoms</w:t>
            </w:r>
          </w:p>
        </w:tc>
        <w:tc>
          <w:tcPr>
            <w:tcW w:w="851" w:type="dxa"/>
            <w:shd w:val="clear" w:color="auto" w:fill="F2F2F2" w:themeFill="background1" w:themeFillShade="F2"/>
            <w:noWrap/>
            <w:vAlign w:val="center"/>
            <w:hideMark/>
          </w:tcPr>
          <w:p w14:paraId="2013AE11"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0.5</w:t>
            </w:r>
          </w:p>
        </w:tc>
        <w:tc>
          <w:tcPr>
            <w:tcW w:w="992" w:type="dxa"/>
            <w:shd w:val="clear" w:color="auto" w:fill="D9D9D9" w:themeFill="background1" w:themeFillShade="D9"/>
            <w:noWrap/>
            <w:vAlign w:val="center"/>
            <w:hideMark/>
          </w:tcPr>
          <w:p w14:paraId="2E097C52"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300</w:t>
            </w:r>
          </w:p>
        </w:tc>
        <w:tc>
          <w:tcPr>
            <w:tcW w:w="709" w:type="dxa"/>
            <w:shd w:val="clear" w:color="auto" w:fill="F2F2F2" w:themeFill="background1" w:themeFillShade="F2"/>
            <w:noWrap/>
            <w:vAlign w:val="center"/>
            <w:hideMark/>
          </w:tcPr>
          <w:p w14:paraId="3CF32DD5"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15</w:t>
            </w:r>
          </w:p>
        </w:tc>
        <w:tc>
          <w:tcPr>
            <w:tcW w:w="1402" w:type="dxa"/>
            <w:shd w:val="clear" w:color="auto" w:fill="D9D9D9" w:themeFill="background1" w:themeFillShade="D9"/>
            <w:vAlign w:val="center"/>
          </w:tcPr>
          <w:p w14:paraId="3F9CA8E9" w14:textId="3CA6D8B1"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cstheme="minorHAnsi"/>
                <w:color w:val="000000"/>
                <w:sz w:val="21"/>
                <w:szCs w:val="21"/>
              </w:rPr>
              <w:t>172</w:t>
            </w:r>
          </w:p>
        </w:tc>
        <w:tc>
          <w:tcPr>
            <w:tcW w:w="1670" w:type="dxa"/>
            <w:shd w:val="clear" w:color="auto" w:fill="F2F2F2" w:themeFill="background1" w:themeFillShade="F2"/>
            <w:vAlign w:val="center"/>
          </w:tcPr>
          <w:p w14:paraId="1BB81F3B" w14:textId="23DC7FB2" w:rsidR="003E01C6" w:rsidRPr="004E5B73" w:rsidRDefault="003E01C6" w:rsidP="004A7700">
            <w:pPr>
              <w:spacing w:after="0" w:line="240" w:lineRule="auto"/>
              <w:jc w:val="center"/>
              <w:rPr>
                <w:rFonts w:eastAsia="Times New Roman" w:cstheme="minorHAnsi"/>
                <w:color w:val="000000"/>
                <w:sz w:val="21"/>
                <w:szCs w:val="21"/>
                <w:lang w:eastAsia="en-GB"/>
              </w:rPr>
            </w:pPr>
            <w:r w:rsidRPr="004E5B73">
              <w:rPr>
                <w:rFonts w:cstheme="minorHAnsi"/>
                <w:iCs/>
                <w:color w:val="000000"/>
                <w:sz w:val="21"/>
                <w:szCs w:val="21"/>
              </w:rPr>
              <w:t>76% (</w:t>
            </w:r>
            <w:r w:rsidRPr="004E5B73">
              <w:rPr>
                <w:rFonts w:cstheme="minorHAnsi"/>
                <w:i/>
                <w:iCs/>
                <w:color w:val="000000"/>
                <w:sz w:val="21"/>
                <w:szCs w:val="21"/>
              </w:rPr>
              <w:t>cotton</w:t>
            </w:r>
            <w:r w:rsidRPr="004E5B73">
              <w:rPr>
                <w:rFonts w:cstheme="minorHAnsi"/>
                <w:iCs/>
                <w:color w:val="000000"/>
                <w:sz w:val="21"/>
                <w:szCs w:val="21"/>
              </w:rPr>
              <w:t>)</w:t>
            </w:r>
          </w:p>
        </w:tc>
      </w:tr>
      <w:tr w:rsidR="00A736D0" w:rsidRPr="00795C15" w14:paraId="36F89257" w14:textId="0192D867" w:rsidTr="00D97FD9">
        <w:trPr>
          <w:trHeight w:val="255"/>
        </w:trPr>
        <w:tc>
          <w:tcPr>
            <w:tcW w:w="2380" w:type="dxa"/>
            <w:vMerge/>
          </w:tcPr>
          <w:p w14:paraId="56FF4E77" w14:textId="77777777" w:rsidR="003E01C6" w:rsidRPr="004E5B73" w:rsidRDefault="003E01C6" w:rsidP="00795C15">
            <w:pPr>
              <w:spacing w:after="0" w:line="240" w:lineRule="auto"/>
              <w:rPr>
                <w:rFonts w:eastAsia="Times New Roman" w:cstheme="minorHAnsi"/>
                <w:color w:val="000000"/>
                <w:sz w:val="21"/>
                <w:szCs w:val="21"/>
                <w:lang w:eastAsia="en-GB"/>
              </w:rPr>
            </w:pPr>
          </w:p>
        </w:tc>
        <w:tc>
          <w:tcPr>
            <w:tcW w:w="1068" w:type="dxa"/>
            <w:shd w:val="clear" w:color="auto" w:fill="BFBFBF" w:themeFill="background1" w:themeFillShade="BF"/>
            <w:noWrap/>
            <w:vAlign w:val="center"/>
            <w:hideMark/>
          </w:tcPr>
          <w:p w14:paraId="1273E1E9" w14:textId="05D85346" w:rsidR="003E01C6" w:rsidRPr="004E5B73" w:rsidRDefault="003E01C6" w:rsidP="00A736D0">
            <w:pPr>
              <w:spacing w:after="0" w:line="240" w:lineRule="auto"/>
              <w:ind w:left="28"/>
              <w:rPr>
                <w:rFonts w:eastAsia="Times New Roman" w:cstheme="minorHAnsi"/>
                <w:b/>
                <w:color w:val="000000"/>
                <w:sz w:val="21"/>
                <w:szCs w:val="21"/>
                <w:lang w:eastAsia="en-GB"/>
              </w:rPr>
            </w:pPr>
            <w:r w:rsidRPr="004E5B73">
              <w:rPr>
                <w:rFonts w:eastAsia="Times New Roman" w:cstheme="minorHAnsi"/>
                <w:b/>
                <w:color w:val="000000"/>
                <w:sz w:val="21"/>
                <w:szCs w:val="21"/>
                <w:lang w:eastAsia="en-GB"/>
              </w:rPr>
              <w:t>Jackets</w:t>
            </w:r>
          </w:p>
        </w:tc>
        <w:tc>
          <w:tcPr>
            <w:tcW w:w="851" w:type="dxa"/>
            <w:shd w:val="clear" w:color="auto" w:fill="F2F2F2" w:themeFill="background1" w:themeFillShade="F2"/>
            <w:noWrap/>
            <w:vAlign w:val="center"/>
            <w:hideMark/>
          </w:tcPr>
          <w:p w14:paraId="02AE6CE2"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0.5</w:t>
            </w:r>
          </w:p>
        </w:tc>
        <w:tc>
          <w:tcPr>
            <w:tcW w:w="992" w:type="dxa"/>
            <w:shd w:val="clear" w:color="auto" w:fill="D9D9D9" w:themeFill="background1" w:themeFillShade="D9"/>
            <w:noWrap/>
            <w:vAlign w:val="center"/>
            <w:hideMark/>
          </w:tcPr>
          <w:p w14:paraId="7893C748"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562.5</w:t>
            </w:r>
          </w:p>
        </w:tc>
        <w:tc>
          <w:tcPr>
            <w:tcW w:w="709" w:type="dxa"/>
            <w:shd w:val="clear" w:color="auto" w:fill="F2F2F2" w:themeFill="background1" w:themeFillShade="F2"/>
            <w:noWrap/>
            <w:vAlign w:val="center"/>
            <w:hideMark/>
          </w:tcPr>
          <w:p w14:paraId="5851034D"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25</w:t>
            </w:r>
          </w:p>
        </w:tc>
        <w:tc>
          <w:tcPr>
            <w:tcW w:w="1402" w:type="dxa"/>
            <w:shd w:val="clear" w:color="auto" w:fill="D9D9D9" w:themeFill="background1" w:themeFillShade="D9"/>
            <w:vAlign w:val="center"/>
          </w:tcPr>
          <w:p w14:paraId="05995736" w14:textId="45AA4828"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cstheme="minorHAnsi"/>
                <w:color w:val="000000"/>
                <w:sz w:val="21"/>
                <w:szCs w:val="21"/>
              </w:rPr>
              <w:t>111</w:t>
            </w:r>
          </w:p>
        </w:tc>
        <w:tc>
          <w:tcPr>
            <w:tcW w:w="1670" w:type="dxa"/>
            <w:shd w:val="clear" w:color="auto" w:fill="F2F2F2" w:themeFill="background1" w:themeFillShade="F2"/>
            <w:vAlign w:val="center"/>
          </w:tcPr>
          <w:p w14:paraId="7984A335" w14:textId="3DF5CAF6" w:rsidR="003E01C6" w:rsidRPr="004E5B73" w:rsidRDefault="003E01C6" w:rsidP="004A7700">
            <w:pPr>
              <w:spacing w:after="0" w:line="240" w:lineRule="auto"/>
              <w:jc w:val="center"/>
              <w:rPr>
                <w:rFonts w:eastAsia="Times New Roman" w:cstheme="minorHAnsi"/>
                <w:color w:val="000000"/>
                <w:sz w:val="21"/>
                <w:szCs w:val="21"/>
                <w:lang w:eastAsia="en-GB"/>
              </w:rPr>
            </w:pPr>
            <w:r w:rsidRPr="004E5B73">
              <w:rPr>
                <w:rFonts w:cstheme="minorHAnsi"/>
                <w:iCs/>
                <w:color w:val="000000"/>
                <w:sz w:val="21"/>
                <w:szCs w:val="21"/>
              </w:rPr>
              <w:t>44% (</w:t>
            </w:r>
            <w:r w:rsidRPr="004E5B73">
              <w:rPr>
                <w:rFonts w:cstheme="minorHAnsi"/>
                <w:i/>
                <w:iCs/>
                <w:color w:val="000000"/>
                <w:sz w:val="21"/>
                <w:szCs w:val="21"/>
              </w:rPr>
              <w:t>wool</w:t>
            </w:r>
            <w:r w:rsidRPr="004E5B73">
              <w:rPr>
                <w:rFonts w:cstheme="minorHAnsi"/>
                <w:iCs/>
                <w:color w:val="000000"/>
                <w:sz w:val="21"/>
                <w:szCs w:val="21"/>
              </w:rPr>
              <w:t>)</w:t>
            </w:r>
          </w:p>
        </w:tc>
      </w:tr>
      <w:tr w:rsidR="00A736D0" w:rsidRPr="00795C15" w14:paraId="40AAE215" w14:textId="70762682" w:rsidTr="00D97FD9">
        <w:trPr>
          <w:trHeight w:val="255"/>
        </w:trPr>
        <w:tc>
          <w:tcPr>
            <w:tcW w:w="2380" w:type="dxa"/>
            <w:vMerge/>
          </w:tcPr>
          <w:p w14:paraId="7FA6BBCE" w14:textId="77777777" w:rsidR="003E01C6" w:rsidRPr="004E5B73" w:rsidRDefault="003E01C6" w:rsidP="00795C15">
            <w:pPr>
              <w:spacing w:after="0" w:line="240" w:lineRule="auto"/>
              <w:rPr>
                <w:rFonts w:eastAsia="Times New Roman" w:cstheme="minorHAnsi"/>
                <w:color w:val="000000"/>
                <w:sz w:val="21"/>
                <w:szCs w:val="21"/>
                <w:lang w:eastAsia="en-GB"/>
              </w:rPr>
            </w:pPr>
          </w:p>
        </w:tc>
        <w:tc>
          <w:tcPr>
            <w:tcW w:w="1068" w:type="dxa"/>
            <w:shd w:val="clear" w:color="auto" w:fill="BFBFBF" w:themeFill="background1" w:themeFillShade="BF"/>
            <w:noWrap/>
            <w:vAlign w:val="center"/>
            <w:hideMark/>
          </w:tcPr>
          <w:p w14:paraId="7912E69F" w14:textId="1B720140" w:rsidR="003E01C6" w:rsidRPr="004E5B73" w:rsidRDefault="003E01C6" w:rsidP="00A736D0">
            <w:pPr>
              <w:spacing w:after="0" w:line="240" w:lineRule="auto"/>
              <w:ind w:left="28"/>
              <w:rPr>
                <w:rFonts w:eastAsia="Times New Roman" w:cstheme="minorHAnsi"/>
                <w:b/>
                <w:color w:val="000000"/>
                <w:sz w:val="21"/>
                <w:szCs w:val="21"/>
                <w:lang w:eastAsia="en-GB"/>
              </w:rPr>
            </w:pPr>
            <w:r w:rsidRPr="004E5B73">
              <w:rPr>
                <w:rFonts w:eastAsia="Times New Roman" w:cstheme="minorHAnsi"/>
                <w:b/>
                <w:color w:val="000000"/>
                <w:sz w:val="21"/>
                <w:szCs w:val="21"/>
                <w:lang w:eastAsia="en-GB"/>
              </w:rPr>
              <w:t>Jumpers</w:t>
            </w:r>
          </w:p>
        </w:tc>
        <w:tc>
          <w:tcPr>
            <w:tcW w:w="851" w:type="dxa"/>
            <w:shd w:val="clear" w:color="auto" w:fill="F2F2F2" w:themeFill="background1" w:themeFillShade="F2"/>
            <w:noWrap/>
            <w:vAlign w:val="center"/>
            <w:hideMark/>
          </w:tcPr>
          <w:p w14:paraId="65266BDA"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0.5</w:t>
            </w:r>
          </w:p>
        </w:tc>
        <w:tc>
          <w:tcPr>
            <w:tcW w:w="992" w:type="dxa"/>
            <w:shd w:val="clear" w:color="auto" w:fill="D9D9D9" w:themeFill="background1" w:themeFillShade="D9"/>
            <w:noWrap/>
            <w:vAlign w:val="center"/>
            <w:hideMark/>
          </w:tcPr>
          <w:p w14:paraId="0E048169"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337.5</w:t>
            </w:r>
          </w:p>
        </w:tc>
        <w:tc>
          <w:tcPr>
            <w:tcW w:w="709" w:type="dxa"/>
            <w:shd w:val="clear" w:color="auto" w:fill="F2F2F2" w:themeFill="background1" w:themeFillShade="F2"/>
            <w:noWrap/>
            <w:vAlign w:val="center"/>
            <w:hideMark/>
          </w:tcPr>
          <w:p w14:paraId="5DE54C3E"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15</w:t>
            </w:r>
          </w:p>
        </w:tc>
        <w:tc>
          <w:tcPr>
            <w:tcW w:w="1402" w:type="dxa"/>
            <w:shd w:val="clear" w:color="auto" w:fill="D9D9D9" w:themeFill="background1" w:themeFillShade="D9"/>
            <w:vAlign w:val="center"/>
          </w:tcPr>
          <w:p w14:paraId="0DD8DBF1" w14:textId="5C0C8EA5"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cstheme="minorHAnsi"/>
                <w:color w:val="000000"/>
                <w:sz w:val="21"/>
                <w:szCs w:val="21"/>
              </w:rPr>
              <w:t>172</w:t>
            </w:r>
          </w:p>
        </w:tc>
        <w:tc>
          <w:tcPr>
            <w:tcW w:w="1670" w:type="dxa"/>
            <w:shd w:val="clear" w:color="auto" w:fill="F2F2F2" w:themeFill="background1" w:themeFillShade="F2"/>
            <w:vAlign w:val="center"/>
          </w:tcPr>
          <w:p w14:paraId="7FB03126" w14:textId="748AA26D"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cstheme="minorHAnsi"/>
                <w:iCs/>
                <w:color w:val="000000"/>
                <w:sz w:val="21"/>
                <w:szCs w:val="21"/>
              </w:rPr>
              <w:t>44% (</w:t>
            </w:r>
            <w:r w:rsidRPr="004E5B73">
              <w:rPr>
                <w:rFonts w:cstheme="minorHAnsi"/>
                <w:i/>
                <w:iCs/>
                <w:color w:val="000000"/>
                <w:sz w:val="21"/>
                <w:szCs w:val="21"/>
              </w:rPr>
              <w:t>wool</w:t>
            </w:r>
            <w:r w:rsidRPr="004E5B73">
              <w:rPr>
                <w:rFonts w:cstheme="minorHAnsi"/>
                <w:iCs/>
                <w:color w:val="000000"/>
                <w:sz w:val="21"/>
                <w:szCs w:val="21"/>
              </w:rPr>
              <w:t>)</w:t>
            </w:r>
          </w:p>
        </w:tc>
      </w:tr>
      <w:tr w:rsidR="00A736D0" w:rsidRPr="00795C15" w14:paraId="2EF25CE5" w14:textId="255A7C9C" w:rsidTr="00D97FD9">
        <w:trPr>
          <w:trHeight w:val="255"/>
        </w:trPr>
        <w:tc>
          <w:tcPr>
            <w:tcW w:w="2380" w:type="dxa"/>
            <w:vMerge/>
          </w:tcPr>
          <w:p w14:paraId="50FF6AC2" w14:textId="77777777" w:rsidR="003E01C6" w:rsidRPr="004E5B73" w:rsidRDefault="003E01C6" w:rsidP="00795C15">
            <w:pPr>
              <w:spacing w:after="0" w:line="240" w:lineRule="auto"/>
              <w:rPr>
                <w:rFonts w:eastAsia="Times New Roman" w:cstheme="minorHAnsi"/>
                <w:color w:val="000000"/>
                <w:sz w:val="21"/>
                <w:szCs w:val="21"/>
                <w:lang w:eastAsia="en-GB"/>
              </w:rPr>
            </w:pPr>
          </w:p>
        </w:tc>
        <w:tc>
          <w:tcPr>
            <w:tcW w:w="1068" w:type="dxa"/>
            <w:shd w:val="clear" w:color="auto" w:fill="BFBFBF" w:themeFill="background1" w:themeFillShade="BF"/>
            <w:noWrap/>
            <w:vAlign w:val="center"/>
            <w:hideMark/>
          </w:tcPr>
          <w:p w14:paraId="76B00742" w14:textId="3A7FB995" w:rsidR="003E01C6" w:rsidRPr="004E5B73" w:rsidRDefault="003E01C6" w:rsidP="00A736D0">
            <w:pPr>
              <w:spacing w:after="0" w:line="240" w:lineRule="auto"/>
              <w:ind w:left="28"/>
              <w:rPr>
                <w:rFonts w:eastAsia="Times New Roman" w:cstheme="minorHAnsi"/>
                <w:b/>
                <w:color w:val="000000"/>
                <w:sz w:val="21"/>
                <w:szCs w:val="21"/>
                <w:lang w:eastAsia="en-GB"/>
              </w:rPr>
            </w:pPr>
            <w:r w:rsidRPr="004E5B73">
              <w:rPr>
                <w:rFonts w:eastAsia="Times New Roman" w:cstheme="minorHAnsi"/>
                <w:b/>
                <w:color w:val="000000"/>
                <w:sz w:val="21"/>
                <w:szCs w:val="21"/>
                <w:lang w:eastAsia="en-GB"/>
              </w:rPr>
              <w:t>Underwear</w:t>
            </w:r>
          </w:p>
        </w:tc>
        <w:tc>
          <w:tcPr>
            <w:tcW w:w="851" w:type="dxa"/>
            <w:shd w:val="clear" w:color="auto" w:fill="F2F2F2" w:themeFill="background1" w:themeFillShade="F2"/>
            <w:noWrap/>
            <w:vAlign w:val="center"/>
            <w:hideMark/>
          </w:tcPr>
          <w:p w14:paraId="5A1361B1"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0.05</w:t>
            </w:r>
          </w:p>
        </w:tc>
        <w:tc>
          <w:tcPr>
            <w:tcW w:w="992" w:type="dxa"/>
            <w:shd w:val="clear" w:color="auto" w:fill="D9D9D9" w:themeFill="background1" w:themeFillShade="D9"/>
            <w:noWrap/>
            <w:vAlign w:val="center"/>
            <w:hideMark/>
          </w:tcPr>
          <w:p w14:paraId="3497A0BD"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125</w:t>
            </w:r>
          </w:p>
        </w:tc>
        <w:tc>
          <w:tcPr>
            <w:tcW w:w="709" w:type="dxa"/>
            <w:shd w:val="clear" w:color="auto" w:fill="F2F2F2" w:themeFill="background1" w:themeFillShade="F2"/>
            <w:noWrap/>
            <w:vAlign w:val="center"/>
            <w:hideMark/>
          </w:tcPr>
          <w:p w14:paraId="37FE398B" w14:textId="0213CA4F"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1</w:t>
            </w:r>
            <w:r w:rsidR="00AC7364">
              <w:rPr>
                <w:rFonts w:eastAsia="Times New Roman" w:cstheme="minorHAnsi"/>
                <w:color w:val="000000"/>
                <w:sz w:val="21"/>
                <w:szCs w:val="21"/>
                <w:lang w:eastAsia="en-GB"/>
              </w:rPr>
              <w:t>.5</w:t>
            </w:r>
          </w:p>
        </w:tc>
        <w:tc>
          <w:tcPr>
            <w:tcW w:w="1402" w:type="dxa"/>
            <w:shd w:val="clear" w:color="auto" w:fill="D9D9D9" w:themeFill="background1" w:themeFillShade="D9"/>
            <w:vAlign w:val="center"/>
          </w:tcPr>
          <w:p w14:paraId="1ACDE6AE" w14:textId="080CD291"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cstheme="minorHAnsi"/>
                <w:color w:val="000000"/>
                <w:sz w:val="21"/>
                <w:szCs w:val="21"/>
              </w:rPr>
              <w:t>12</w:t>
            </w:r>
          </w:p>
        </w:tc>
        <w:tc>
          <w:tcPr>
            <w:tcW w:w="1670" w:type="dxa"/>
            <w:shd w:val="clear" w:color="auto" w:fill="F2F2F2" w:themeFill="background1" w:themeFillShade="F2"/>
            <w:vAlign w:val="center"/>
          </w:tcPr>
          <w:p w14:paraId="1B6B459D" w14:textId="0893336D"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cstheme="minorHAnsi"/>
                <w:iCs/>
                <w:color w:val="000000"/>
                <w:sz w:val="21"/>
                <w:szCs w:val="21"/>
              </w:rPr>
              <w:t>76% (</w:t>
            </w:r>
            <w:r w:rsidRPr="004E5B73">
              <w:rPr>
                <w:rFonts w:cstheme="minorHAnsi"/>
                <w:i/>
                <w:iCs/>
                <w:color w:val="000000"/>
                <w:sz w:val="21"/>
                <w:szCs w:val="21"/>
              </w:rPr>
              <w:t>cotton</w:t>
            </w:r>
            <w:r w:rsidRPr="004E5B73">
              <w:rPr>
                <w:rFonts w:cstheme="minorHAnsi"/>
                <w:iCs/>
                <w:color w:val="000000"/>
                <w:sz w:val="21"/>
                <w:szCs w:val="21"/>
              </w:rPr>
              <w:t>)</w:t>
            </w:r>
          </w:p>
        </w:tc>
      </w:tr>
      <w:tr w:rsidR="00A736D0" w:rsidRPr="00795C15" w14:paraId="5CCE99AB" w14:textId="7D5A62CF" w:rsidTr="00D97FD9">
        <w:trPr>
          <w:trHeight w:val="255"/>
        </w:trPr>
        <w:tc>
          <w:tcPr>
            <w:tcW w:w="2380" w:type="dxa"/>
            <w:vMerge/>
          </w:tcPr>
          <w:p w14:paraId="760D5E38" w14:textId="77777777" w:rsidR="003E01C6" w:rsidRPr="004E5B73" w:rsidRDefault="003E01C6" w:rsidP="00795C15">
            <w:pPr>
              <w:spacing w:after="0" w:line="240" w:lineRule="auto"/>
              <w:rPr>
                <w:rFonts w:eastAsia="Times New Roman" w:cstheme="minorHAnsi"/>
                <w:color w:val="000000"/>
                <w:sz w:val="21"/>
                <w:szCs w:val="21"/>
                <w:lang w:eastAsia="en-GB"/>
              </w:rPr>
            </w:pPr>
          </w:p>
        </w:tc>
        <w:tc>
          <w:tcPr>
            <w:tcW w:w="1068" w:type="dxa"/>
            <w:shd w:val="clear" w:color="auto" w:fill="BFBFBF" w:themeFill="background1" w:themeFillShade="BF"/>
            <w:noWrap/>
            <w:vAlign w:val="center"/>
            <w:hideMark/>
          </w:tcPr>
          <w:p w14:paraId="22E2770A" w14:textId="71AF8850" w:rsidR="003E01C6" w:rsidRPr="004E5B73" w:rsidRDefault="003E01C6" w:rsidP="00A736D0">
            <w:pPr>
              <w:spacing w:after="0" w:line="240" w:lineRule="auto"/>
              <w:ind w:left="28"/>
              <w:rPr>
                <w:rFonts w:eastAsia="Times New Roman" w:cstheme="minorHAnsi"/>
                <w:b/>
                <w:color w:val="000000"/>
                <w:sz w:val="21"/>
                <w:szCs w:val="21"/>
                <w:lang w:eastAsia="en-GB"/>
              </w:rPr>
            </w:pPr>
            <w:r w:rsidRPr="004E5B73">
              <w:rPr>
                <w:rFonts w:eastAsia="Times New Roman" w:cstheme="minorHAnsi"/>
                <w:b/>
                <w:color w:val="000000"/>
                <w:sz w:val="21"/>
                <w:szCs w:val="21"/>
                <w:lang w:eastAsia="en-GB"/>
              </w:rPr>
              <w:t>Shoes</w:t>
            </w:r>
          </w:p>
        </w:tc>
        <w:tc>
          <w:tcPr>
            <w:tcW w:w="851" w:type="dxa"/>
            <w:shd w:val="clear" w:color="auto" w:fill="F2F2F2" w:themeFill="background1" w:themeFillShade="F2"/>
            <w:noWrap/>
            <w:vAlign w:val="center"/>
            <w:hideMark/>
          </w:tcPr>
          <w:p w14:paraId="64FD76CC"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0.6</w:t>
            </w:r>
          </w:p>
        </w:tc>
        <w:tc>
          <w:tcPr>
            <w:tcW w:w="992" w:type="dxa"/>
            <w:shd w:val="clear" w:color="auto" w:fill="D9D9D9" w:themeFill="background1" w:themeFillShade="D9"/>
            <w:noWrap/>
            <w:vAlign w:val="center"/>
            <w:hideMark/>
          </w:tcPr>
          <w:p w14:paraId="6AC36AD7"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365</w:t>
            </w:r>
          </w:p>
        </w:tc>
        <w:tc>
          <w:tcPr>
            <w:tcW w:w="709" w:type="dxa"/>
            <w:shd w:val="clear" w:color="auto" w:fill="F2F2F2" w:themeFill="background1" w:themeFillShade="F2"/>
            <w:noWrap/>
            <w:vAlign w:val="center"/>
            <w:hideMark/>
          </w:tcPr>
          <w:p w14:paraId="65E6A82C" w14:textId="77777777"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eastAsia="Times New Roman" w:cstheme="minorHAnsi"/>
                <w:color w:val="000000"/>
                <w:sz w:val="21"/>
                <w:szCs w:val="21"/>
                <w:lang w:eastAsia="en-GB"/>
              </w:rPr>
              <w:t>60</w:t>
            </w:r>
          </w:p>
        </w:tc>
        <w:tc>
          <w:tcPr>
            <w:tcW w:w="1402" w:type="dxa"/>
            <w:shd w:val="clear" w:color="auto" w:fill="D9D9D9" w:themeFill="background1" w:themeFillShade="D9"/>
            <w:vAlign w:val="center"/>
          </w:tcPr>
          <w:p w14:paraId="649C98A3" w14:textId="08237771"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cstheme="minorHAnsi"/>
                <w:color w:val="000000"/>
                <w:sz w:val="21"/>
                <w:szCs w:val="21"/>
              </w:rPr>
              <w:t>133</w:t>
            </w:r>
          </w:p>
        </w:tc>
        <w:tc>
          <w:tcPr>
            <w:tcW w:w="1670" w:type="dxa"/>
            <w:shd w:val="clear" w:color="auto" w:fill="F2F2F2" w:themeFill="background1" w:themeFillShade="F2"/>
            <w:vAlign w:val="center"/>
          </w:tcPr>
          <w:p w14:paraId="0F8DAA0B" w14:textId="321AB664" w:rsidR="003E01C6" w:rsidRPr="004E5B73" w:rsidRDefault="003E01C6" w:rsidP="00795C15">
            <w:pPr>
              <w:spacing w:after="0" w:line="240" w:lineRule="auto"/>
              <w:jc w:val="center"/>
              <w:rPr>
                <w:rFonts w:eastAsia="Times New Roman" w:cstheme="minorHAnsi"/>
                <w:color w:val="000000"/>
                <w:sz w:val="21"/>
                <w:szCs w:val="21"/>
                <w:lang w:eastAsia="en-GB"/>
              </w:rPr>
            </w:pPr>
            <w:r w:rsidRPr="004E5B73">
              <w:rPr>
                <w:rFonts w:cstheme="minorHAnsi"/>
                <w:iCs/>
                <w:color w:val="000000"/>
                <w:sz w:val="21"/>
                <w:szCs w:val="21"/>
              </w:rPr>
              <w:t xml:space="preserve">58% </w:t>
            </w:r>
            <w:r w:rsidRPr="004E5B73">
              <w:rPr>
                <w:rFonts w:cstheme="minorHAnsi"/>
                <w:i/>
                <w:iCs/>
                <w:color w:val="000000"/>
                <w:sz w:val="21"/>
                <w:szCs w:val="21"/>
              </w:rPr>
              <w:t>(rubber)</w:t>
            </w:r>
          </w:p>
        </w:tc>
      </w:tr>
    </w:tbl>
    <w:p w14:paraId="7F2D2093" w14:textId="401265D9" w:rsidR="00795C15" w:rsidRPr="00D97FD9" w:rsidRDefault="007D7E3C" w:rsidP="007646BC">
      <w:pPr>
        <w:pStyle w:val="NoSpacing"/>
        <w:spacing w:before="120"/>
        <w:ind w:left="85" w:hanging="85"/>
        <w:rPr>
          <w:sz w:val="18"/>
        </w:rPr>
      </w:pPr>
      <w:r w:rsidRPr="00D97FD9">
        <w:rPr>
          <w:sz w:val="18"/>
          <w:vertAlign w:val="superscript"/>
        </w:rPr>
        <w:t xml:space="preserve">a </w:t>
      </w:r>
      <w:r w:rsidR="00431896" w:rsidRPr="00D97FD9">
        <w:rPr>
          <w:sz w:val="18"/>
        </w:rPr>
        <w:t xml:space="preserve">Weights for </w:t>
      </w:r>
      <w:r w:rsidR="00431896" w:rsidRPr="00D97FD9">
        <w:rPr>
          <w:i/>
          <w:sz w:val="18"/>
        </w:rPr>
        <w:t>Tops</w:t>
      </w:r>
      <w:r w:rsidR="00431896" w:rsidRPr="00D97FD9">
        <w:rPr>
          <w:sz w:val="18"/>
        </w:rPr>
        <w:t xml:space="preserve">, </w:t>
      </w:r>
      <w:r w:rsidR="00431896" w:rsidRPr="00D97FD9">
        <w:rPr>
          <w:i/>
          <w:sz w:val="18"/>
        </w:rPr>
        <w:t>Jackets</w:t>
      </w:r>
      <w:r w:rsidR="00431896" w:rsidRPr="00D97FD9">
        <w:rPr>
          <w:sz w:val="18"/>
        </w:rPr>
        <w:t xml:space="preserve"> and </w:t>
      </w:r>
      <w:r w:rsidR="00431896" w:rsidRPr="00D97FD9">
        <w:rPr>
          <w:i/>
          <w:sz w:val="18"/>
        </w:rPr>
        <w:t xml:space="preserve">Jumpers </w:t>
      </w:r>
      <w:r w:rsidR="00431896" w:rsidRPr="00D97FD9">
        <w:rPr>
          <w:sz w:val="18"/>
        </w:rPr>
        <w:t xml:space="preserve">are directly from WRAP’s </w:t>
      </w:r>
      <w:r w:rsidR="00431896" w:rsidRPr="00D97FD9">
        <w:rPr>
          <w:i/>
          <w:sz w:val="18"/>
        </w:rPr>
        <w:t>Benefits of Reuse</w:t>
      </w:r>
      <w:r w:rsidR="00431896" w:rsidRPr="00D97FD9">
        <w:rPr>
          <w:sz w:val="18"/>
        </w:rPr>
        <w:t xml:space="preserve"> report</w:t>
      </w:r>
      <w:r w:rsidR="00777870" w:rsidRPr="00777870">
        <w:rPr>
          <w:noProof/>
          <w:sz w:val="18"/>
          <w:vertAlign w:val="superscript"/>
        </w:rPr>
        <w:t>52</w:t>
      </w:r>
      <w:r w:rsidR="00431896" w:rsidRPr="00D97FD9">
        <w:rPr>
          <w:sz w:val="18"/>
        </w:rPr>
        <w:t>.</w:t>
      </w:r>
      <w:r w:rsidR="00A66D5B" w:rsidRPr="00D97FD9">
        <w:rPr>
          <w:sz w:val="18"/>
        </w:rPr>
        <w:t xml:space="preserve"> For other items,</w:t>
      </w:r>
      <w:r w:rsidR="00431896" w:rsidRPr="00D97FD9">
        <w:rPr>
          <w:sz w:val="18"/>
        </w:rPr>
        <w:t xml:space="preserve"> common-sense estimates</w:t>
      </w:r>
      <w:r w:rsidR="00A66D5B" w:rsidRPr="00D97FD9">
        <w:rPr>
          <w:sz w:val="18"/>
        </w:rPr>
        <w:t xml:space="preserve"> are made</w:t>
      </w:r>
      <w:r w:rsidR="00431896" w:rsidRPr="00D97FD9">
        <w:rPr>
          <w:sz w:val="18"/>
        </w:rPr>
        <w:t>.</w:t>
      </w:r>
    </w:p>
    <w:p w14:paraId="0B3CA840" w14:textId="3C51C71F" w:rsidR="007D7E3C" w:rsidRPr="00D97FD9" w:rsidRDefault="007D7E3C" w:rsidP="007D7E3C">
      <w:pPr>
        <w:pStyle w:val="NoSpacing"/>
        <w:ind w:left="85" w:hanging="85"/>
        <w:rPr>
          <w:sz w:val="18"/>
        </w:rPr>
      </w:pPr>
      <w:r w:rsidRPr="00D97FD9">
        <w:rPr>
          <w:sz w:val="18"/>
          <w:vertAlign w:val="superscript"/>
        </w:rPr>
        <w:t>b</w:t>
      </w:r>
      <w:r w:rsidRPr="00D97FD9">
        <w:rPr>
          <w:sz w:val="18"/>
        </w:rPr>
        <w:t xml:space="preserve"> </w:t>
      </w:r>
      <w:r w:rsidR="00431896" w:rsidRPr="00D97FD9">
        <w:rPr>
          <w:sz w:val="18"/>
        </w:rPr>
        <w:t xml:space="preserve">Lifetimes are based upon WRAP’s </w:t>
      </w:r>
      <w:r w:rsidR="00431896" w:rsidRPr="00D97FD9">
        <w:rPr>
          <w:i/>
          <w:sz w:val="18"/>
        </w:rPr>
        <w:t>Longevity Protocol</w:t>
      </w:r>
      <w:r w:rsidR="00777870" w:rsidRPr="00777870">
        <w:rPr>
          <w:i/>
          <w:noProof/>
          <w:sz w:val="18"/>
          <w:vertAlign w:val="superscript"/>
        </w:rPr>
        <w:t>53</w:t>
      </w:r>
      <w:r w:rsidR="00431896" w:rsidRPr="00D97FD9">
        <w:rPr>
          <w:sz w:val="18"/>
        </w:rPr>
        <w:t xml:space="preserve">, with additional assumptions: </w:t>
      </w:r>
      <w:r w:rsidR="00431896" w:rsidRPr="00D97FD9">
        <w:rPr>
          <w:i/>
          <w:sz w:val="18"/>
        </w:rPr>
        <w:t>Bottoms</w:t>
      </w:r>
      <w:r w:rsidR="00431896" w:rsidRPr="00D97FD9">
        <w:rPr>
          <w:sz w:val="18"/>
        </w:rPr>
        <w:t xml:space="preserve"> are taken as </w:t>
      </w:r>
      <w:r w:rsidR="00431896" w:rsidRPr="00D97FD9">
        <w:rPr>
          <w:i/>
          <w:sz w:val="18"/>
        </w:rPr>
        <w:t>Jeans</w:t>
      </w:r>
      <w:r w:rsidR="00431896" w:rsidRPr="00D97FD9">
        <w:rPr>
          <w:sz w:val="18"/>
        </w:rPr>
        <w:t xml:space="preserve">; </w:t>
      </w:r>
      <w:r w:rsidR="00431896" w:rsidRPr="00D97FD9">
        <w:rPr>
          <w:i/>
          <w:sz w:val="18"/>
        </w:rPr>
        <w:t>Jackets</w:t>
      </w:r>
      <w:r w:rsidR="00431896" w:rsidRPr="00D97FD9">
        <w:rPr>
          <w:sz w:val="18"/>
        </w:rPr>
        <w:t xml:space="preserve"> are assumed to last </w:t>
      </w:r>
      <w:r w:rsidR="00431896" w:rsidRPr="00D97FD9">
        <w:rPr>
          <w:i/>
          <w:sz w:val="18"/>
        </w:rPr>
        <w:t>5x</w:t>
      </w:r>
      <w:r w:rsidR="00431896" w:rsidRPr="00D97FD9">
        <w:rPr>
          <w:sz w:val="18"/>
        </w:rPr>
        <w:t xml:space="preserve"> as many days as </w:t>
      </w:r>
      <w:r w:rsidR="00431896" w:rsidRPr="00D97FD9">
        <w:rPr>
          <w:i/>
          <w:sz w:val="18"/>
        </w:rPr>
        <w:t>Tops</w:t>
      </w:r>
      <w:r w:rsidR="00431896" w:rsidRPr="00D97FD9">
        <w:rPr>
          <w:sz w:val="18"/>
        </w:rPr>
        <w:t xml:space="preserve">, as they are typically worn for a fraction of the day; </w:t>
      </w:r>
      <w:r w:rsidR="00431896" w:rsidRPr="00D97FD9">
        <w:rPr>
          <w:i/>
          <w:sz w:val="18"/>
        </w:rPr>
        <w:t>Jumpers</w:t>
      </w:r>
      <w:r w:rsidR="00431896" w:rsidRPr="00D97FD9">
        <w:rPr>
          <w:sz w:val="18"/>
        </w:rPr>
        <w:t xml:space="preserve"> are assumed to last 3x as many days as </w:t>
      </w:r>
      <w:r w:rsidR="00431896" w:rsidRPr="00D97FD9">
        <w:rPr>
          <w:i/>
          <w:sz w:val="18"/>
        </w:rPr>
        <w:t>Tops</w:t>
      </w:r>
      <w:r w:rsidR="00431896" w:rsidRPr="00D97FD9">
        <w:rPr>
          <w:sz w:val="18"/>
        </w:rPr>
        <w:t xml:space="preserve"> for the same reason; </w:t>
      </w:r>
      <w:r w:rsidR="00431896" w:rsidRPr="00D97FD9">
        <w:rPr>
          <w:i/>
          <w:sz w:val="18"/>
        </w:rPr>
        <w:t>Shoes</w:t>
      </w:r>
      <w:r w:rsidR="00431896" w:rsidRPr="00D97FD9">
        <w:rPr>
          <w:sz w:val="18"/>
        </w:rPr>
        <w:t xml:space="preserve"> are assumed to last a year if worn daily.</w:t>
      </w:r>
    </w:p>
    <w:p w14:paraId="638D90AA" w14:textId="721BB77C" w:rsidR="00431896" w:rsidRPr="00D97FD9" w:rsidRDefault="00431896" w:rsidP="007D7E3C">
      <w:pPr>
        <w:pStyle w:val="NoSpacing"/>
        <w:ind w:left="85" w:hanging="85"/>
        <w:rPr>
          <w:sz w:val="18"/>
        </w:rPr>
      </w:pPr>
      <w:r w:rsidRPr="00D97FD9">
        <w:rPr>
          <w:sz w:val="18"/>
          <w:vertAlign w:val="superscript"/>
        </w:rPr>
        <w:t>c</w:t>
      </w:r>
      <w:r w:rsidR="00A66D5B" w:rsidRPr="00D97FD9">
        <w:rPr>
          <w:sz w:val="18"/>
        </w:rPr>
        <w:t xml:space="preserve"> Days of wea</w:t>
      </w:r>
      <w:r w:rsidRPr="00D97FD9">
        <w:rPr>
          <w:sz w:val="18"/>
        </w:rPr>
        <w:t>r per wash are based upon the values in</w:t>
      </w:r>
      <w:r w:rsidR="00A15A8A" w:rsidRPr="00D97FD9">
        <w:rPr>
          <w:sz w:val="18"/>
        </w:rPr>
        <w:t xml:space="preserve"> </w:t>
      </w:r>
      <w:r w:rsidR="001B2E08" w:rsidRPr="00D97FD9">
        <w:rPr>
          <w:noProof/>
          <w:sz w:val="18"/>
        </w:rPr>
        <w:t>Steinberger</w:t>
      </w:r>
      <w:r w:rsidR="001B2E08" w:rsidRPr="00D97FD9">
        <w:rPr>
          <w:i/>
          <w:noProof/>
          <w:sz w:val="18"/>
        </w:rPr>
        <w:t xml:space="preserve"> et al.</w:t>
      </w:r>
      <w:r w:rsidR="006A2825" w:rsidRPr="006A2825">
        <w:rPr>
          <w:noProof/>
          <w:sz w:val="18"/>
          <w:vertAlign w:val="superscript"/>
        </w:rPr>
        <w:t>50</w:t>
      </w:r>
      <w:r w:rsidR="0042283C" w:rsidRPr="00D97FD9">
        <w:rPr>
          <w:sz w:val="18"/>
        </w:rPr>
        <w:t xml:space="preserve">, who assume two days of wear per wash for t-shirts, and </w:t>
      </w:r>
      <w:r w:rsidR="0042283C" w:rsidRPr="00D97FD9">
        <w:rPr>
          <w:rFonts w:cstheme="minorHAnsi"/>
          <w:sz w:val="18"/>
        </w:rPr>
        <w:t>≈</w:t>
      </w:r>
      <w:r w:rsidR="0042283C" w:rsidRPr="00D97FD9">
        <w:rPr>
          <w:sz w:val="18"/>
        </w:rPr>
        <w:t>17 days per wash for jackets. We assume approximately 50% longer wear between washes, and makes reasonable assumptions to extrapolate to other clothes types.</w:t>
      </w:r>
    </w:p>
    <w:p w14:paraId="5396079D" w14:textId="345D798F" w:rsidR="0042283C" w:rsidRPr="00D97FD9" w:rsidRDefault="0042283C" w:rsidP="007D7E3C">
      <w:pPr>
        <w:pStyle w:val="NoSpacing"/>
        <w:ind w:left="85" w:hanging="85"/>
        <w:rPr>
          <w:sz w:val="18"/>
        </w:rPr>
      </w:pPr>
      <w:r w:rsidRPr="00D97FD9">
        <w:rPr>
          <w:sz w:val="18"/>
          <w:vertAlign w:val="superscript"/>
        </w:rPr>
        <w:t>d</w:t>
      </w:r>
      <w:r w:rsidRPr="00D97FD9">
        <w:rPr>
          <w:sz w:val="18"/>
        </w:rPr>
        <w:t xml:space="preserve"> Values for production are also based upon those in</w:t>
      </w:r>
      <w:r w:rsidR="006A2825" w:rsidRPr="006A2825">
        <w:rPr>
          <w:noProof/>
          <w:sz w:val="18"/>
          <w:vertAlign w:val="superscript"/>
        </w:rPr>
        <w:t>50</w:t>
      </w:r>
      <w:r w:rsidRPr="00D97FD9">
        <w:rPr>
          <w:sz w:val="18"/>
        </w:rPr>
        <w:t xml:space="preserve"> for t-shirts, jackets and from </w:t>
      </w:r>
      <w:r w:rsidR="000653D0" w:rsidRPr="00D97FD9">
        <w:rPr>
          <w:sz w:val="18"/>
        </w:rPr>
        <w:t>report</w:t>
      </w:r>
      <w:r w:rsidR="00777870" w:rsidRPr="00777870">
        <w:rPr>
          <w:noProof/>
          <w:sz w:val="18"/>
          <w:vertAlign w:val="superscript"/>
        </w:rPr>
        <w:t>52</w:t>
      </w:r>
      <w:r w:rsidRPr="00D97FD9">
        <w:rPr>
          <w:sz w:val="18"/>
        </w:rPr>
        <w:t xml:space="preserve"> for jumpers, and mass-based extrapolations for other items.</w:t>
      </w:r>
    </w:p>
    <w:p w14:paraId="0C4C117A" w14:textId="7AC80A4B" w:rsidR="001037B0" w:rsidRDefault="00762D9D" w:rsidP="00D97FD9">
      <w:pPr>
        <w:pStyle w:val="NoSpacing"/>
        <w:ind w:left="85" w:hanging="85"/>
        <w:rPr>
          <w:sz w:val="18"/>
        </w:rPr>
      </w:pPr>
      <w:r w:rsidRPr="00D97FD9">
        <w:rPr>
          <w:sz w:val="18"/>
          <w:vertAlign w:val="superscript"/>
        </w:rPr>
        <w:t>e</w:t>
      </w:r>
      <w:r w:rsidRPr="00D97FD9">
        <w:rPr>
          <w:sz w:val="18"/>
        </w:rPr>
        <w:t xml:space="preserve"> </w:t>
      </w:r>
      <w:r w:rsidR="00FA6EEA" w:rsidRPr="00D97FD9">
        <w:rPr>
          <w:sz w:val="18"/>
        </w:rPr>
        <w:t>Potential energy</w:t>
      </w:r>
      <w:r w:rsidR="00260149" w:rsidRPr="00D97FD9">
        <w:rPr>
          <w:sz w:val="18"/>
        </w:rPr>
        <w:t xml:space="preserve"> savings, using the savings for a single material (shown in brackets) to estimate those possible for the full supply chains.</w:t>
      </w:r>
      <w:r w:rsidR="009E570F" w:rsidRPr="00D97FD9">
        <w:rPr>
          <w:sz w:val="18"/>
        </w:rPr>
        <w:t xml:space="preserve"> From</w:t>
      </w:r>
      <w:r w:rsidR="006A2825" w:rsidRPr="006A2825">
        <w:rPr>
          <w:noProof/>
          <w:sz w:val="18"/>
          <w:vertAlign w:val="superscript"/>
        </w:rPr>
        <w:t>49</w:t>
      </w:r>
      <w:r w:rsidR="009E570F" w:rsidRPr="00D97FD9">
        <w:rPr>
          <w:sz w:val="18"/>
        </w:rPr>
        <w:t>; see text for details.</w:t>
      </w:r>
    </w:p>
    <w:p w14:paraId="0BE924D2" w14:textId="77777777" w:rsidR="00647488" w:rsidRPr="00647488" w:rsidRDefault="00647488" w:rsidP="00647488"/>
    <w:p w14:paraId="4768E7B2" w14:textId="4AD92A05" w:rsidR="002C0446" w:rsidRPr="002177BD" w:rsidRDefault="002C0446" w:rsidP="00C91A23">
      <w:pPr>
        <w:pStyle w:val="Heading1"/>
      </w:pPr>
      <w:r w:rsidRPr="002177BD">
        <w:t xml:space="preserve">Public </w:t>
      </w:r>
      <w:r w:rsidR="00EB33EC" w:rsidRPr="002177BD">
        <w:t xml:space="preserve">and Commercial </w:t>
      </w:r>
      <w:r w:rsidRPr="002177BD">
        <w:t>Services</w:t>
      </w:r>
    </w:p>
    <w:p w14:paraId="28A5E35A" w14:textId="77777777" w:rsidR="0091711E" w:rsidRPr="002177BD" w:rsidRDefault="003F3CB0" w:rsidP="009076E9">
      <w:pPr>
        <w:pStyle w:val="Heading2"/>
        <w:spacing w:before="120"/>
      </w:pPr>
      <w:r w:rsidRPr="002177BD">
        <w:t>Education</w:t>
      </w:r>
      <w:r w:rsidR="0091711E" w:rsidRPr="002177BD">
        <w:t xml:space="preserve"> and healthcare</w:t>
      </w:r>
    </w:p>
    <w:p w14:paraId="01D1C3F1" w14:textId="1A5E68B0" w:rsidR="003F3CB0" w:rsidRDefault="0091711E" w:rsidP="0091711E">
      <w:pPr>
        <w:pStyle w:val="Heading3"/>
      </w:pPr>
      <w:r w:rsidRPr="002177BD">
        <w:t>D</w:t>
      </w:r>
      <w:r w:rsidR="000F0AE9" w:rsidRPr="002177BD">
        <w:t>irect energy</w:t>
      </w:r>
    </w:p>
    <w:p w14:paraId="7A36E1DA" w14:textId="2DB66C3C" w:rsidR="008C5392" w:rsidRDefault="0045109E" w:rsidP="00CD5510">
      <w:r>
        <w:t xml:space="preserve">For educational services, </w:t>
      </w:r>
      <w:r w:rsidR="001D3282">
        <w:t xml:space="preserve">our calculations are </w:t>
      </w:r>
      <w:r w:rsidR="00CD5510">
        <w:t>based upon</w:t>
      </w:r>
      <w:r w:rsidR="00C41B0B">
        <w:t xml:space="preserve"> (</w:t>
      </w:r>
      <w:proofErr w:type="spellStart"/>
      <w:r w:rsidR="00C41B0B">
        <w:t>i</w:t>
      </w:r>
      <w:proofErr w:type="spellEnd"/>
      <w:r w:rsidR="00C41B0B">
        <w:t>)</w:t>
      </w:r>
      <w:r w:rsidR="001D3282">
        <w:t xml:space="preserve"> assumed </w:t>
      </w:r>
      <w:r>
        <w:t>floor-space requirement per pupil,</w:t>
      </w:r>
      <w:r w:rsidR="00C41B0B">
        <w:t xml:space="preserve"> (ii)</w:t>
      </w:r>
      <w:r w:rsidR="00434E36">
        <w:t xml:space="preserve"> energy intensities</w:t>
      </w:r>
      <w:r>
        <w:t xml:space="preserve"> of this floor space, and</w:t>
      </w:r>
      <w:r w:rsidR="00C41B0B">
        <w:t xml:space="preserve"> (iii)</w:t>
      </w:r>
      <w:r>
        <w:t xml:space="preserve"> the proportion of the country’s population </w:t>
      </w:r>
      <w:r w:rsidR="001D3282">
        <w:t>in education</w:t>
      </w:r>
      <w:r>
        <w:t>.</w:t>
      </w:r>
      <w:r w:rsidR="008C5392">
        <w:t xml:space="preserve"> </w:t>
      </w:r>
      <w:r w:rsidR="001D3282">
        <w:t>Our floor</w:t>
      </w:r>
      <w:r w:rsidR="00CD5510">
        <w:t>-space assumptions are simple: W</w:t>
      </w:r>
      <w:r>
        <w:t>e assume that pupils need as much floor</w:t>
      </w:r>
      <w:r w:rsidR="001D3282">
        <w:t>-</w:t>
      </w:r>
      <w:r>
        <w:t>space when at school as living space at home (10m</w:t>
      </w:r>
      <w:r w:rsidRPr="00430254">
        <w:rPr>
          <w:vertAlign w:val="superscript"/>
        </w:rPr>
        <w:t>2</w:t>
      </w:r>
      <w:r w:rsidR="008C5392">
        <w:t>/pupil).</w:t>
      </w:r>
    </w:p>
    <w:p w14:paraId="4DC37737" w14:textId="46ACEF60" w:rsidR="003F3CB0" w:rsidRDefault="001D3282" w:rsidP="00CD5510">
      <w:r>
        <w:t xml:space="preserve">For </w:t>
      </w:r>
      <w:r w:rsidR="008C5392">
        <w:t xml:space="preserve">direct </w:t>
      </w:r>
      <w:r>
        <w:t>energy intensit</w:t>
      </w:r>
      <w:r w:rsidR="00434E36">
        <w:t>ies</w:t>
      </w:r>
      <w:r>
        <w:t>, w</w:t>
      </w:r>
      <w:r w:rsidR="0045109E">
        <w:t xml:space="preserve">e use the same </w:t>
      </w:r>
      <w:r>
        <w:t xml:space="preserve">approach that </w:t>
      </w:r>
      <w:r w:rsidR="0045109E">
        <w:t>we did for thermal comfort</w:t>
      </w:r>
      <w:r>
        <w:t xml:space="preserve"> in homes</w:t>
      </w:r>
      <w:r w:rsidR="0045109E">
        <w:t xml:space="preserve">. </w:t>
      </w:r>
      <w:r>
        <w:t xml:space="preserve">First, we use data estimating average CDD and HDD in each country. </w:t>
      </w:r>
      <w:r w:rsidR="00434E36">
        <w:t>T</w:t>
      </w:r>
      <w:r>
        <w:t>hen</w:t>
      </w:r>
      <w:r w:rsidR="00434E36">
        <w:t xml:space="preserve"> we</w:t>
      </w:r>
      <w:r>
        <w:t xml:space="preserve"> use </w:t>
      </w:r>
      <w:r w:rsidR="00CD5510">
        <w:t xml:space="preserve">this data to select climate-dependent </w:t>
      </w:r>
      <w:r>
        <w:t>energy requirements for space heating and cooling intensity</w:t>
      </w:r>
      <w:r w:rsidR="00CD5510">
        <w:t xml:space="preserve"> from those</w:t>
      </w:r>
      <w:r>
        <w:t xml:space="preserve"> offered by the </w:t>
      </w:r>
      <w:r w:rsidRPr="001D3282">
        <w:rPr>
          <w:i/>
        </w:rPr>
        <w:t>Global Building Performance Network</w:t>
      </w:r>
      <w:r w:rsidR="006A2825" w:rsidRPr="006A2825">
        <w:rPr>
          <w:noProof/>
          <w:vertAlign w:val="superscript"/>
        </w:rPr>
        <w:t>7</w:t>
      </w:r>
      <w:r w:rsidR="00CD5510">
        <w:t xml:space="preserve">. </w:t>
      </w:r>
      <w:r w:rsidR="0045109E">
        <w:t>Again</w:t>
      </w:r>
      <w:r w:rsidR="00092D1E">
        <w:t>,</w:t>
      </w:r>
      <w:r w:rsidR="0045109E">
        <w:t xml:space="preserve"> we use data for </w:t>
      </w:r>
      <w:r w:rsidR="0045109E">
        <w:rPr>
          <w:i/>
        </w:rPr>
        <w:t xml:space="preserve">Advanced </w:t>
      </w:r>
      <w:r w:rsidR="00CD5510">
        <w:rPr>
          <w:i/>
        </w:rPr>
        <w:t>N</w:t>
      </w:r>
      <w:r w:rsidR="0045109E">
        <w:rPr>
          <w:i/>
        </w:rPr>
        <w:t xml:space="preserve">ew </w:t>
      </w:r>
      <w:r w:rsidR="00CD5510">
        <w:rPr>
          <w:i/>
        </w:rPr>
        <w:t>B</w:t>
      </w:r>
      <w:r w:rsidR="0045109E">
        <w:rPr>
          <w:i/>
        </w:rPr>
        <w:t>uildings</w:t>
      </w:r>
      <w:r w:rsidR="00CD5510">
        <w:t>, this time for educational buildings, which suggest</w:t>
      </w:r>
      <w:r w:rsidR="0045109E">
        <w:t xml:space="preserve"> </w:t>
      </w:r>
      <w:r w:rsidR="00CD5510">
        <w:t>intensities of 14-19 kWh/m</w:t>
      </w:r>
      <w:r w:rsidR="00CD5510" w:rsidRPr="00CD5510">
        <w:rPr>
          <w:vertAlign w:val="superscript"/>
        </w:rPr>
        <w:t>2</w:t>
      </w:r>
      <w:r w:rsidR="00CD5510">
        <w:t xml:space="preserve">. We estimate that </w:t>
      </w:r>
      <w:r w:rsidR="00CD5510" w:rsidRPr="00CD5510">
        <w:rPr>
          <w:i/>
        </w:rPr>
        <w:t>total</w:t>
      </w:r>
      <w:r w:rsidR="00CD5510">
        <w:t xml:space="preserve"> building energy use in schools is double that of heating and cooling, at 28-3</w:t>
      </w:r>
      <w:r w:rsidR="00524323">
        <w:t>8</w:t>
      </w:r>
      <w:r w:rsidR="00CD5510">
        <w:t xml:space="preserve"> kWh/m</w:t>
      </w:r>
      <w:r w:rsidR="00CD5510" w:rsidRPr="00CD5510">
        <w:rPr>
          <w:vertAlign w:val="superscript"/>
        </w:rPr>
        <w:t>2</w:t>
      </w:r>
      <w:r w:rsidR="00CD5510">
        <w:t>. Finally, w</w:t>
      </w:r>
      <w:r w:rsidR="003F3CB0">
        <w:t>e assume children from 5-19 are in school</w:t>
      </w:r>
      <w:r w:rsidR="00E260AA">
        <w:t>, which</w:t>
      </w:r>
      <w:r w:rsidR="004607DA">
        <w:t xml:space="preserve"> equates to </w:t>
      </w:r>
      <w:r w:rsidR="00DD568B">
        <w:rPr>
          <w:rFonts w:cstheme="minorHAnsi"/>
        </w:rPr>
        <w:t>~</w:t>
      </w:r>
      <w:r w:rsidR="004607DA">
        <w:t xml:space="preserve">10%-30% of the population depending upon the age </w:t>
      </w:r>
      <w:r w:rsidR="00DD568B">
        <w:t>profile</w:t>
      </w:r>
      <w:r w:rsidR="004607DA">
        <w:t xml:space="preserve"> </w:t>
      </w:r>
      <w:r w:rsidR="00DD568B">
        <w:t>of</w:t>
      </w:r>
      <w:r w:rsidR="004607DA">
        <w:t xml:space="preserve"> the country</w:t>
      </w:r>
      <w:r w:rsidR="00CD5510">
        <w:t>.</w:t>
      </w:r>
    </w:p>
    <w:p w14:paraId="529795F4" w14:textId="41D848DE" w:rsidR="009A350A" w:rsidRDefault="00CD5510" w:rsidP="009A350A">
      <w:r>
        <w:t xml:space="preserve">Overall, this gives annual </w:t>
      </w:r>
      <w:r w:rsidR="008E3809">
        <w:t xml:space="preserve">direct </w:t>
      </w:r>
      <w:r>
        <w:t>energy requirements</w:t>
      </w:r>
      <w:r w:rsidR="008E3809">
        <w:t xml:space="preserve"> in educational buildings</w:t>
      </w:r>
      <w:r>
        <w:t xml:space="preserve"> (averaged across </w:t>
      </w:r>
      <w:r w:rsidRPr="00DD568B">
        <w:rPr>
          <w:i/>
        </w:rPr>
        <w:t>whole</w:t>
      </w:r>
      <w:r>
        <w:t xml:space="preserve"> </w:t>
      </w:r>
      <w:r w:rsidR="00DD568B">
        <w:t xml:space="preserve">national </w:t>
      </w:r>
      <w:r>
        <w:t>population</w:t>
      </w:r>
      <w:r w:rsidR="00DD568B">
        <w:t>s</w:t>
      </w:r>
      <w:r>
        <w:t xml:space="preserve">) of </w:t>
      </w:r>
      <w:r w:rsidRPr="00CD5510">
        <w:rPr>
          <w:b/>
        </w:rPr>
        <w:t>0.11-0.43 GJ</w:t>
      </w:r>
      <w:r w:rsidR="005C42B5">
        <w:rPr>
          <w:b/>
        </w:rPr>
        <w:t>/cap</w:t>
      </w:r>
      <w:r w:rsidRPr="005C42B5">
        <w:rPr>
          <w:b/>
        </w:rPr>
        <w:t>/yr</w:t>
      </w:r>
      <w:r>
        <w:t>.</w:t>
      </w:r>
    </w:p>
    <w:p w14:paraId="763633BD" w14:textId="691B10E4" w:rsidR="00E260AA" w:rsidRPr="00392D82" w:rsidRDefault="00E260AA" w:rsidP="00E260AA">
      <w:r w:rsidRPr="00392D82">
        <w:t>For healthcare, our calculations are</w:t>
      </w:r>
      <w:r w:rsidR="00222128" w:rsidRPr="00392D82">
        <w:t xml:space="preserve"> </w:t>
      </w:r>
      <w:r w:rsidRPr="00392D82">
        <w:t xml:space="preserve">based upon </w:t>
      </w:r>
      <w:r w:rsidR="00222128" w:rsidRPr="00392D82">
        <w:t>(</w:t>
      </w:r>
      <w:proofErr w:type="spellStart"/>
      <w:r w:rsidR="00C41B0B">
        <w:t>i</w:t>
      </w:r>
      <w:proofErr w:type="spellEnd"/>
      <w:r w:rsidR="00222128" w:rsidRPr="00392D82">
        <w:t xml:space="preserve">) </w:t>
      </w:r>
      <w:r w:rsidRPr="00392D82">
        <w:t xml:space="preserve">assumed floor-space requirement per hospital bed, </w:t>
      </w:r>
      <w:r w:rsidR="00222128" w:rsidRPr="00392D82">
        <w:t>(</w:t>
      </w:r>
      <w:r w:rsidR="00C41B0B">
        <w:t>ii</w:t>
      </w:r>
      <w:r w:rsidR="00222128" w:rsidRPr="00392D82">
        <w:t xml:space="preserve">) </w:t>
      </w:r>
      <w:r w:rsidRPr="00392D82">
        <w:t xml:space="preserve">the average number of </w:t>
      </w:r>
      <w:r w:rsidR="00983BDD">
        <w:t xml:space="preserve">hospital beds per capita, </w:t>
      </w:r>
      <w:r w:rsidR="008E3809" w:rsidRPr="00392D82">
        <w:t>(</w:t>
      </w:r>
      <w:r w:rsidR="00C41B0B">
        <w:t>iii</w:t>
      </w:r>
      <w:r w:rsidR="008E3809" w:rsidRPr="00392D82">
        <w:t>) the energ</w:t>
      </w:r>
      <w:r w:rsidR="00983BDD">
        <w:t>y inte</w:t>
      </w:r>
      <w:r w:rsidR="00C41B0B">
        <w:t>nsity of this floor space and (iv</w:t>
      </w:r>
      <w:r w:rsidR="00983BDD">
        <w:t>) a simple upscaling to account for energy use beyond hospitals themselves.</w:t>
      </w:r>
    </w:p>
    <w:p w14:paraId="7ED885C2" w14:textId="004A5033" w:rsidR="00580F7C" w:rsidRDefault="00013E32" w:rsidP="00E260AA">
      <w:r>
        <w:lastRenderedPageBreak/>
        <w:t>A widespread rule-of-thumb for hospital</w:t>
      </w:r>
      <w:r w:rsidR="00E260AA" w:rsidRPr="00392D82">
        <w:t xml:space="preserve"> floor-space</w:t>
      </w:r>
      <w:r>
        <w:t xml:space="preserve"> is that one bed requires 2,500 square feet of floor-space</w:t>
      </w:r>
      <w:r w:rsidR="00E56BE9">
        <w:t xml:space="preserve"> (</w:t>
      </w:r>
      <w:r w:rsidR="00DD568B">
        <w:t>~</w:t>
      </w:r>
      <w:r w:rsidR="00E56BE9">
        <w:t>18</w:t>
      </w:r>
      <w:r w:rsidR="00110F16">
        <w:t>0</w:t>
      </w:r>
      <w:r w:rsidR="00E56BE9">
        <w:t xml:space="preserve"> m</w:t>
      </w:r>
      <w:r w:rsidR="00E56BE9" w:rsidRPr="00E56BE9">
        <w:rPr>
          <w:vertAlign w:val="superscript"/>
        </w:rPr>
        <w:t>2</w:t>
      </w:r>
      <w:r w:rsidR="00E56BE9">
        <w:t>)</w:t>
      </w:r>
      <w:r>
        <w:t xml:space="preserve"> when all facilities are taken into account</w:t>
      </w:r>
      <w:r>
        <w:rPr>
          <w:rStyle w:val="FootnoteReference"/>
        </w:rPr>
        <w:footnoteReference w:id="7"/>
      </w:r>
      <w:r>
        <w:t xml:space="preserve">. The US government </w:t>
      </w:r>
      <w:r w:rsidR="00580F7C">
        <w:t xml:space="preserve">energy efficiency guidelines </w:t>
      </w:r>
      <w:r>
        <w:t>give a similar</w:t>
      </w:r>
      <w:r w:rsidR="003B2A68" w:rsidRPr="00392D82">
        <w:t xml:space="preserve"> </w:t>
      </w:r>
      <w:r>
        <w:t>value of</w:t>
      </w:r>
      <w:r w:rsidR="00580F7C">
        <w:t xml:space="preserve"> 0.46 beds per 1000 square feet of floor space</w:t>
      </w:r>
      <w:r w:rsidR="00E46598">
        <w:rPr>
          <w:rStyle w:val="FootnoteReference"/>
        </w:rPr>
        <w:footnoteReference w:id="8"/>
      </w:r>
      <w:r w:rsidR="00580F7C">
        <w:t>, which converts to</w:t>
      </w:r>
      <w:r w:rsidR="00110F16">
        <w:t xml:space="preserve"> </w:t>
      </w:r>
      <w:r w:rsidR="00DD568B">
        <w:rPr>
          <w:rFonts w:cstheme="minorHAnsi"/>
        </w:rPr>
        <w:t>~</w:t>
      </w:r>
      <w:r w:rsidR="00580F7C">
        <w:t>200m</w:t>
      </w:r>
      <w:r w:rsidR="00580F7C" w:rsidRPr="00580F7C">
        <w:rPr>
          <w:vertAlign w:val="superscript"/>
        </w:rPr>
        <w:t>2</w:t>
      </w:r>
      <w:r w:rsidR="00580F7C">
        <w:t xml:space="preserve"> per bed</w:t>
      </w:r>
      <w:r w:rsidR="00730BD3">
        <w:t xml:space="preserve"> – we use this value</w:t>
      </w:r>
      <w:r w:rsidR="00580F7C">
        <w:t>.</w:t>
      </w:r>
    </w:p>
    <w:p w14:paraId="66B70BA9" w14:textId="14EAF1B5" w:rsidR="00580F7C" w:rsidRDefault="00580F7C" w:rsidP="00580F7C">
      <w:r w:rsidRPr="00CA0AB9">
        <w:t>We translate this into total, average per capita terms by specifying how many hospital beds there are for each member of the population. Currently, World Bank data shows ratios reaching over 10 beds/1,000 people</w:t>
      </w:r>
      <w:r w:rsidR="00680E15" w:rsidRPr="00CA0AB9">
        <w:t xml:space="preserve"> </w:t>
      </w:r>
      <w:r w:rsidRPr="00CA0AB9">
        <w:t xml:space="preserve">in various countries, but much lower ratios are also found even in countries with good health outcomes. Indeed, countries that have high ratios of physicians to citizens </w:t>
      </w:r>
      <w:r w:rsidR="00452D3F">
        <w:t xml:space="preserve">often </w:t>
      </w:r>
      <w:r w:rsidRPr="00CA0AB9">
        <w:t>have average ratio</w:t>
      </w:r>
      <w:r w:rsidR="00452D3F">
        <w:t>s of hospital beds to citizens;</w:t>
      </w:r>
      <w:r w:rsidRPr="00CA0AB9">
        <w:t xml:space="preserve"> Scandinavian countries tend to have </w:t>
      </w:r>
      <w:r w:rsidR="00CA0AB9" w:rsidRPr="00CA0AB9">
        <w:t>4 or less</w:t>
      </w:r>
      <w:r w:rsidRPr="00CA0AB9">
        <w:t xml:space="preserve"> beds per 1,000 people</w:t>
      </w:r>
      <w:r w:rsidR="00CA0AB9" w:rsidRPr="00CA0AB9">
        <w:t>,</w:t>
      </w:r>
      <w:r w:rsidRPr="00CA0AB9">
        <w:t xml:space="preserve"> but some of the highest ratios of doctors to citizens. We thus assume </w:t>
      </w:r>
      <w:r w:rsidR="00CA0AB9" w:rsidRPr="00CA0AB9">
        <w:t xml:space="preserve">a generous level of beds relative to this, specifically </w:t>
      </w:r>
      <w:r w:rsidR="00546B9F">
        <w:t>8</w:t>
      </w:r>
      <w:r w:rsidRPr="00CA0AB9">
        <w:t>/1,000 citizens</w:t>
      </w:r>
      <w:r w:rsidR="00CA0AB9" w:rsidRPr="00CA0AB9">
        <w:t xml:space="preserve">, </w:t>
      </w:r>
      <w:r w:rsidR="00546B9F">
        <w:t>which</w:t>
      </w:r>
      <w:r w:rsidR="00CA0AB9" w:rsidRPr="00CA0AB9">
        <w:t xml:space="preserve"> accounts</w:t>
      </w:r>
      <w:r w:rsidR="00DD568B">
        <w:t xml:space="preserve"> for</w:t>
      </w:r>
      <w:r w:rsidR="00CA0AB9" w:rsidRPr="00CA0AB9">
        <w:t xml:space="preserve"> a large part of healthcare not being accessed at hospitals</w:t>
      </w:r>
      <w:r w:rsidRPr="00CA0AB9">
        <w:t xml:space="preserve">. </w:t>
      </w:r>
      <w:r w:rsidR="00CA0AB9" w:rsidRPr="00CA0AB9">
        <w:t>This gives healthcare floor space of 1.</w:t>
      </w:r>
      <w:r w:rsidR="00546B9F">
        <w:t>6</w:t>
      </w:r>
      <w:r w:rsidR="00CA0AB9" w:rsidRPr="00CA0AB9">
        <w:t>m</w:t>
      </w:r>
      <w:r w:rsidR="00CA0AB9" w:rsidRPr="00CA0AB9">
        <w:rPr>
          <w:vertAlign w:val="superscript"/>
        </w:rPr>
        <w:t>2</w:t>
      </w:r>
      <w:r w:rsidR="00CA0AB9" w:rsidRPr="00CA0AB9">
        <w:t>/capita.</w:t>
      </w:r>
    </w:p>
    <w:p w14:paraId="6692BC62" w14:textId="22F77E91" w:rsidR="00D97FD9" w:rsidRDefault="003B2A68" w:rsidP="00CA0AB9">
      <w:r w:rsidRPr="00546B9F">
        <w:t xml:space="preserve">For energy intensity, the calculations follow those for educational buildings, but using the GBPN data for space heating and cooling in </w:t>
      </w:r>
      <w:r w:rsidRPr="00546B9F">
        <w:rPr>
          <w:i/>
        </w:rPr>
        <w:t>Hospitals</w:t>
      </w:r>
      <w:r w:rsidRPr="00546B9F">
        <w:t xml:space="preserve"> instead</w:t>
      </w:r>
      <w:r w:rsidR="00A32B03" w:rsidRPr="00546B9F">
        <w:t>. We assume</w:t>
      </w:r>
      <w:r w:rsidRPr="00546B9F">
        <w:t xml:space="preserve"> </w:t>
      </w:r>
      <w:r w:rsidR="00AE71A6" w:rsidRPr="00546B9F">
        <w:t>that this is only</w:t>
      </w:r>
      <w:r w:rsidRPr="00546B9F">
        <w:t xml:space="preserve"> </w:t>
      </w:r>
      <w:r w:rsidR="00392D82" w:rsidRPr="00546B9F">
        <w:t>5</w:t>
      </w:r>
      <w:r w:rsidRPr="00546B9F">
        <w:t>0% of total hospital energy use</w:t>
      </w:r>
      <w:r w:rsidR="00446A27" w:rsidRPr="00546B9F">
        <w:t>, given the extent of specialist equipment beyond heating and cooling</w:t>
      </w:r>
      <w:r w:rsidR="001B0686">
        <w:t xml:space="preserve"> (</w:t>
      </w:r>
      <w:r w:rsidR="00A32B03" w:rsidRPr="00546B9F">
        <w:t xml:space="preserve">which </w:t>
      </w:r>
      <w:r w:rsidR="00392D82" w:rsidRPr="00546B9F">
        <w:t xml:space="preserve">is </w:t>
      </w:r>
      <w:r w:rsidR="001B0686">
        <w:t xml:space="preserve">a reasonable value in </w:t>
      </w:r>
      <w:r w:rsidR="00446A27" w:rsidRPr="00546B9F">
        <w:t>the UK</w:t>
      </w:r>
      <w:r w:rsidR="00AE71A6" w:rsidRPr="00546B9F">
        <w:rPr>
          <w:rStyle w:val="FootnoteReference"/>
        </w:rPr>
        <w:footnoteReference w:id="9"/>
      </w:r>
      <w:r w:rsidR="001B0686">
        <w:t>)</w:t>
      </w:r>
      <w:r w:rsidR="00E47083" w:rsidRPr="00546B9F">
        <w:t xml:space="preserve">. </w:t>
      </w:r>
      <w:r w:rsidR="001B0686">
        <w:t xml:space="preserve">Finally, we scale this up by factor of three, as </w:t>
      </w:r>
      <w:r w:rsidR="0082109B">
        <w:t xml:space="preserve">recent studies suggest </w:t>
      </w:r>
      <w:r w:rsidR="001B0686">
        <w:t>hospitals themselves are currently only around 1/3</w:t>
      </w:r>
      <w:r w:rsidR="001B0686" w:rsidRPr="001B0686">
        <w:rPr>
          <w:vertAlign w:val="superscript"/>
        </w:rPr>
        <w:t>rd</w:t>
      </w:r>
      <w:r w:rsidR="001B0686">
        <w:t xml:space="preserve"> of the </w:t>
      </w:r>
      <w:r w:rsidR="000C5F6A">
        <w:t>healthcare</w:t>
      </w:r>
      <w:r w:rsidR="001B0686">
        <w:t xml:space="preserve"> sector’s footprint</w:t>
      </w:r>
      <w:r w:rsidR="006A2825" w:rsidRPr="006A2825">
        <w:rPr>
          <w:noProof/>
          <w:vertAlign w:val="superscript"/>
        </w:rPr>
        <w:t>54</w:t>
      </w:r>
      <w:r w:rsidR="001B0686">
        <w:t xml:space="preserve">. </w:t>
      </w:r>
      <w:r w:rsidR="00A32B03" w:rsidRPr="00546B9F">
        <w:t xml:space="preserve">This </w:t>
      </w:r>
      <w:r w:rsidR="00B20917">
        <w:t xml:space="preserve">effectively </w:t>
      </w:r>
      <w:r w:rsidR="00A32B03" w:rsidRPr="00546B9F">
        <w:t xml:space="preserve">gives </w:t>
      </w:r>
      <w:r w:rsidR="00B20917">
        <w:t>114</w:t>
      </w:r>
      <w:r w:rsidR="007E46AB" w:rsidRPr="00546B9F">
        <w:t>-</w:t>
      </w:r>
      <w:r w:rsidR="00B20917">
        <w:t>1</w:t>
      </w:r>
      <w:r w:rsidR="007E46AB" w:rsidRPr="00546B9F">
        <w:t>5</w:t>
      </w:r>
      <w:r w:rsidR="00305692">
        <w:t>5</w:t>
      </w:r>
      <w:r w:rsidR="00A32B03" w:rsidRPr="00546B9F">
        <w:t xml:space="preserve"> kWh/m</w:t>
      </w:r>
      <w:r w:rsidR="00A32B03" w:rsidRPr="00546B9F">
        <w:rPr>
          <w:vertAlign w:val="superscript"/>
        </w:rPr>
        <w:t>2</w:t>
      </w:r>
      <w:r w:rsidR="00CA0AB9" w:rsidRPr="00546B9F">
        <w:t xml:space="preserve">, </w:t>
      </w:r>
      <w:r w:rsidR="00B20917">
        <w:t>or when scaled up,</w:t>
      </w:r>
      <w:r w:rsidR="00FE38CD" w:rsidRPr="00546B9F">
        <w:t xml:space="preserve"> </w:t>
      </w:r>
      <w:r w:rsidR="00546B9F">
        <w:rPr>
          <w:b/>
        </w:rPr>
        <w:t>0.</w:t>
      </w:r>
      <w:r w:rsidR="00C001B4">
        <w:rPr>
          <w:b/>
        </w:rPr>
        <w:t>66</w:t>
      </w:r>
      <w:r w:rsidR="00546B9F" w:rsidRPr="00546B9F">
        <w:rPr>
          <w:b/>
        </w:rPr>
        <w:t>-0.</w:t>
      </w:r>
      <w:r w:rsidR="00C001B4">
        <w:rPr>
          <w:b/>
        </w:rPr>
        <w:t>89</w:t>
      </w:r>
      <w:r w:rsidR="00FE38CD" w:rsidRPr="00546B9F">
        <w:rPr>
          <w:b/>
        </w:rPr>
        <w:t xml:space="preserve"> GJ/</w:t>
      </w:r>
      <w:proofErr w:type="spellStart"/>
      <w:r w:rsidR="00FE38CD" w:rsidRPr="00546B9F">
        <w:rPr>
          <w:b/>
        </w:rPr>
        <w:t>yr</w:t>
      </w:r>
      <w:proofErr w:type="spellEnd"/>
      <w:r w:rsidR="00FE38CD" w:rsidRPr="00546B9F">
        <w:rPr>
          <w:b/>
        </w:rPr>
        <w:t>/cap</w:t>
      </w:r>
      <w:r w:rsidR="00FE38CD" w:rsidRPr="00546B9F">
        <w:t>.</w:t>
      </w:r>
    </w:p>
    <w:p w14:paraId="65677DA3" w14:textId="43E127DF" w:rsidR="000F0AE9" w:rsidRDefault="0091711E" w:rsidP="00732D74">
      <w:pPr>
        <w:pStyle w:val="Heading3"/>
        <w:spacing w:before="240" w:after="60"/>
      </w:pPr>
      <w:r w:rsidRPr="002177BD">
        <w:t>I</w:t>
      </w:r>
      <w:r w:rsidR="000F0AE9" w:rsidRPr="002177BD">
        <w:t>nfrastructure</w:t>
      </w:r>
      <w:r w:rsidR="00CA1488" w:rsidRPr="002177BD">
        <w:t xml:space="preserve"> and equipment</w:t>
      </w:r>
    </w:p>
    <w:p w14:paraId="4E4BD119" w14:textId="0A26061F" w:rsidR="000F0AE9" w:rsidRDefault="00DD568B" w:rsidP="000F0AE9">
      <w:r>
        <w:t>With</w:t>
      </w:r>
      <w:r w:rsidR="000F0AE9">
        <w:t xml:space="preserve"> floor-space requirements for educational and healthcare buildings already </w:t>
      </w:r>
      <w:r w:rsidR="0071167C">
        <w:t>specified</w:t>
      </w:r>
      <w:r w:rsidR="000F0AE9">
        <w:t xml:space="preserve">, </w:t>
      </w:r>
      <w:r w:rsidR="0071167C">
        <w:t>estimating</w:t>
      </w:r>
      <w:r w:rsidR="000F0AE9">
        <w:t xml:space="preserve"> the energy embodied in infrastructure requires </w:t>
      </w:r>
      <w:r>
        <w:t xml:space="preserve">only </w:t>
      </w:r>
      <w:r w:rsidR="000F0AE9">
        <w:t>the energy intensity of construction (GJ/m</w:t>
      </w:r>
      <w:r w:rsidR="000F0AE9" w:rsidRPr="005F3BA8">
        <w:rPr>
          <w:vertAlign w:val="superscript"/>
        </w:rPr>
        <w:t>2</w:t>
      </w:r>
      <w:r w:rsidR="000F0AE9">
        <w:t>) for each type of building. To estimate these, we use the process we did for residential construction</w:t>
      </w:r>
      <w:r w:rsidR="004B02EC">
        <w:t>, assuming</w:t>
      </w:r>
      <w:r w:rsidR="000F0AE9">
        <w:t xml:space="preserve"> either </w:t>
      </w:r>
      <w:r w:rsidR="000F0AE9">
        <w:rPr>
          <w:i/>
        </w:rPr>
        <w:t>Low</w:t>
      </w:r>
      <w:r w:rsidR="000F0AE9">
        <w:t xml:space="preserve"> or </w:t>
      </w:r>
      <w:r w:rsidR="000F0AE9">
        <w:rPr>
          <w:i/>
        </w:rPr>
        <w:t>High</w:t>
      </w:r>
      <w:r w:rsidR="000F0AE9">
        <w:t xml:space="preserve"> intensities, regionally dependent as before, and with </w:t>
      </w:r>
      <w:r w:rsidR="000F0AE9">
        <w:rPr>
          <w:i/>
        </w:rPr>
        <w:t>Low</w:t>
      </w:r>
      <w:r w:rsidR="000F0AE9">
        <w:t xml:space="preserve"> intensities 40% lower than </w:t>
      </w:r>
      <w:r w:rsidR="000F0AE9">
        <w:rPr>
          <w:i/>
        </w:rPr>
        <w:t>High</w:t>
      </w:r>
      <w:r w:rsidR="000F0AE9">
        <w:t>, assuming</w:t>
      </w:r>
      <w:r w:rsidR="00CA1488">
        <w:t xml:space="preserve"> some</w:t>
      </w:r>
      <w:r w:rsidR="000F0AE9">
        <w:t xml:space="preserve"> lower-energy</w:t>
      </w:r>
      <w:r w:rsidR="00CA1488">
        <w:t>,</w:t>
      </w:r>
      <w:r w:rsidR="000F0AE9">
        <w:t xml:space="preserve"> timber construction. However, for both educational and healthcare buildings, we assume higher energy intensities than for residential construction. </w:t>
      </w:r>
    </w:p>
    <w:p w14:paraId="47FA87A6" w14:textId="504D08DA" w:rsidR="000F0AE9" w:rsidRPr="00CA1488" w:rsidRDefault="000F0AE9" w:rsidP="000F0AE9">
      <w:r>
        <w:t xml:space="preserve">For educational buildings, we start with </w:t>
      </w:r>
      <w:r w:rsidR="004B02EC">
        <w:t xml:space="preserve">the </w:t>
      </w:r>
      <w:r>
        <w:t xml:space="preserve">residential </w:t>
      </w:r>
      <w:r w:rsidR="00CA1488">
        <w:t>values</w:t>
      </w:r>
      <w:r>
        <w:t xml:space="preserve"> </w:t>
      </w:r>
      <w:r w:rsidR="00CA1488">
        <w:t xml:space="preserve">above </w:t>
      </w:r>
      <w:r>
        <w:t>(30 and 50 MJ/m</w:t>
      </w:r>
      <w:r w:rsidRPr="00B058FA">
        <w:rPr>
          <w:vertAlign w:val="superscript"/>
        </w:rPr>
        <w:t>2</w:t>
      </w:r>
      <w:r>
        <w:t>/</w:t>
      </w:r>
      <w:proofErr w:type="spellStart"/>
      <w:r>
        <w:t>yr</w:t>
      </w:r>
      <w:proofErr w:type="spellEnd"/>
      <w:r>
        <w:t xml:space="preserve">) </w:t>
      </w:r>
      <w:r w:rsidR="004B02EC">
        <w:t>and increase them</w:t>
      </w:r>
      <w:r>
        <w:t xml:space="preserve"> by a factor of </w:t>
      </w:r>
      <w:r w:rsidR="00CA1488">
        <w:t>three to</w:t>
      </w:r>
      <w:r>
        <w:t xml:space="preserve"> 90 and 150</w:t>
      </w:r>
      <w:r w:rsidRPr="008D37D3">
        <w:t xml:space="preserve"> </w:t>
      </w:r>
      <w:r>
        <w:t>MJ/m</w:t>
      </w:r>
      <w:r w:rsidRPr="00B058FA">
        <w:rPr>
          <w:vertAlign w:val="superscript"/>
        </w:rPr>
        <w:t>2</w:t>
      </w:r>
      <w:r w:rsidR="00CA1488">
        <w:t>/yr. T</w:t>
      </w:r>
      <w:r>
        <w:t>h</w:t>
      </w:r>
      <w:r w:rsidR="00CA1488">
        <w:t>i</w:t>
      </w:r>
      <w:r>
        <w:t>s</w:t>
      </w:r>
      <w:r w:rsidR="00CA1488">
        <w:t xml:space="preserve"> assumes</w:t>
      </w:r>
      <w:r>
        <w:t xml:space="preserve"> schools are more s</w:t>
      </w:r>
      <w:r w:rsidR="00CA1488">
        <w:t>imilar to offices than houses, based</w:t>
      </w:r>
      <w:r>
        <w:t xml:space="preserve"> </w:t>
      </w:r>
      <w:r w:rsidR="00CA1488">
        <w:t>upon</w:t>
      </w:r>
      <w:r>
        <w:t xml:space="preserve"> the data of </w:t>
      </w:r>
      <w:r w:rsidR="0071167C">
        <w:rPr>
          <w:noProof/>
        </w:rPr>
        <w:t>Ramesh, Prakash and Shukla</w:t>
      </w:r>
      <w:r w:rsidR="006A2825" w:rsidRPr="006A2825">
        <w:rPr>
          <w:noProof/>
          <w:vertAlign w:val="superscript"/>
        </w:rPr>
        <w:t>14</w:t>
      </w:r>
      <w:r w:rsidR="00CA1488">
        <w:t xml:space="preserve"> in Figure </w:t>
      </w:r>
      <w:r w:rsidR="00977681">
        <w:t>3</w:t>
      </w:r>
      <w:r w:rsidR="00CA1488">
        <w:t>,</w:t>
      </w:r>
      <w:r>
        <w:t xml:space="preserve"> </w:t>
      </w:r>
      <w:r w:rsidR="00CA1488">
        <w:t>which</w:t>
      </w:r>
      <w:r>
        <w:t xml:space="preserve"> suggest</w:t>
      </w:r>
      <w:r w:rsidR="00CA1488">
        <w:t>s</w:t>
      </w:r>
      <w:r>
        <w:t xml:space="preserve"> a lower limit for the intensity of offices </w:t>
      </w:r>
      <w:r w:rsidR="00CA1488">
        <w:t>around</w:t>
      </w:r>
      <w:r>
        <w:t xml:space="preserve"> three</w:t>
      </w:r>
      <w:r w:rsidR="0041724A">
        <w:t xml:space="preserve"> times larger than for houses.</w:t>
      </w:r>
      <w:r w:rsidR="004B02EC">
        <w:t xml:space="preserve"> </w:t>
      </w:r>
      <w:r>
        <w:t xml:space="preserve">Overall, this gives values of </w:t>
      </w:r>
      <w:r w:rsidRPr="003B25BB">
        <w:rPr>
          <w:b/>
        </w:rPr>
        <w:t>0.</w:t>
      </w:r>
      <w:r>
        <w:rPr>
          <w:b/>
        </w:rPr>
        <w:t>13</w:t>
      </w:r>
      <w:r w:rsidRPr="003B25BB">
        <w:rPr>
          <w:b/>
        </w:rPr>
        <w:t>-0.</w:t>
      </w:r>
      <w:r>
        <w:rPr>
          <w:b/>
        </w:rPr>
        <w:t>38</w:t>
      </w:r>
      <w:r w:rsidRPr="0062531F">
        <w:rPr>
          <w:b/>
        </w:rPr>
        <w:t xml:space="preserve"> GJ/</w:t>
      </w:r>
      <w:proofErr w:type="spellStart"/>
      <w:r w:rsidRPr="0062531F">
        <w:rPr>
          <w:b/>
        </w:rPr>
        <w:t>yr</w:t>
      </w:r>
      <w:proofErr w:type="spellEnd"/>
      <w:r w:rsidRPr="0062531F">
        <w:rPr>
          <w:b/>
        </w:rPr>
        <w:t>/cap</w:t>
      </w:r>
      <w:r w:rsidR="00CA1488">
        <w:t xml:space="preserve"> for educational </w:t>
      </w:r>
      <w:r w:rsidR="004B02EC">
        <w:t>buildings</w:t>
      </w:r>
      <w:r w:rsidR="00CA1488">
        <w:t xml:space="preserve"> –</w:t>
      </w:r>
      <w:r>
        <w:t xml:space="preserve"> the range </w:t>
      </w:r>
      <w:r w:rsidR="004B02EC">
        <w:t>arising from</w:t>
      </w:r>
      <w:r>
        <w:t xml:space="preserve"> variation</w:t>
      </w:r>
      <w:r w:rsidR="00CA1488">
        <w:t>s</w:t>
      </w:r>
      <w:r>
        <w:t xml:space="preserve"> in population</w:t>
      </w:r>
      <w:r w:rsidR="004B02EC">
        <w:t>s’ age structure</w:t>
      </w:r>
      <w:r>
        <w:t>.</w:t>
      </w:r>
    </w:p>
    <w:p w14:paraId="0E8D7FAB" w14:textId="2F4A6A3B" w:rsidR="000F0AE9" w:rsidRPr="0041724A" w:rsidRDefault="000F0AE9" w:rsidP="000F0AE9">
      <w:pPr>
        <w:rPr>
          <w:i/>
        </w:rPr>
      </w:pPr>
      <w:r w:rsidRPr="008D37D3">
        <w:t>For</w:t>
      </w:r>
      <w:r>
        <w:t xml:space="preserve"> healthcare, we start with the construction intensities for </w:t>
      </w:r>
      <w:r w:rsidR="004B02EC" w:rsidRPr="004B02EC">
        <w:t>educational buildings</w:t>
      </w:r>
      <w:r w:rsidR="004B02EC">
        <w:t>, and increase these as</w:t>
      </w:r>
      <w:r>
        <w:t xml:space="preserve"> hospital infrastructure includes a large amount of specialist equipment, beside</w:t>
      </w:r>
      <w:r w:rsidR="0071167C">
        <w:t>s the building. Recent analysis</w:t>
      </w:r>
      <w:r>
        <w:t xml:space="preserve"> suggests that building </w:t>
      </w:r>
      <w:r w:rsidRPr="00FA0BA9">
        <w:t xml:space="preserve">structures </w:t>
      </w:r>
      <w:r>
        <w:t xml:space="preserve">themselves </w:t>
      </w:r>
      <w:r w:rsidRPr="00FA0BA9">
        <w:t xml:space="preserve">only </w:t>
      </w:r>
      <w:r>
        <w:t xml:space="preserve">account for </w:t>
      </w:r>
      <w:r w:rsidRPr="00FA0BA9">
        <w:t xml:space="preserve">about </w:t>
      </w:r>
      <w:r>
        <w:t>1/3</w:t>
      </w:r>
      <w:r w:rsidRPr="00FA0BA9">
        <w:rPr>
          <w:vertAlign w:val="superscript"/>
        </w:rPr>
        <w:t>rd</w:t>
      </w:r>
      <w:r>
        <w:t xml:space="preserve"> </w:t>
      </w:r>
      <w:r w:rsidRPr="00FA0BA9">
        <w:t xml:space="preserve">of the embodied carbon footprint of </w:t>
      </w:r>
      <w:r>
        <w:t>fixed capital</w:t>
      </w:r>
      <w:r w:rsidR="00CA1488">
        <w:t xml:space="preserve"> </w:t>
      </w:r>
      <w:r w:rsidR="004B02EC">
        <w:t>used by the</w:t>
      </w:r>
      <w:r w:rsidR="00CA1488" w:rsidRPr="00CA1488">
        <w:rPr>
          <w:i/>
        </w:rPr>
        <w:t xml:space="preserve"> </w:t>
      </w:r>
      <w:r w:rsidR="00CA1488" w:rsidRPr="00FA0BA9">
        <w:rPr>
          <w:i/>
        </w:rPr>
        <w:t>health and social care</w:t>
      </w:r>
      <w:r w:rsidR="004B02EC">
        <w:rPr>
          <w:i/>
        </w:rPr>
        <w:t xml:space="preserve"> </w:t>
      </w:r>
      <w:r w:rsidR="004B02EC">
        <w:t>sector</w:t>
      </w:r>
      <w:r w:rsidR="006A2825" w:rsidRPr="006A2825">
        <w:rPr>
          <w:noProof/>
          <w:vertAlign w:val="superscript"/>
        </w:rPr>
        <w:t>55</w:t>
      </w:r>
      <w:r>
        <w:rPr>
          <w:rStyle w:val="FootnoteReference"/>
        </w:rPr>
        <w:footnoteReference w:id="10"/>
      </w:r>
      <w:r>
        <w:t xml:space="preserve">. Assuming educational and healthcare </w:t>
      </w:r>
      <w:r w:rsidRPr="004B02EC">
        <w:t>building</w:t>
      </w:r>
      <w:r>
        <w:t xml:space="preserve"> structures have the same energy intensity </w:t>
      </w:r>
      <w:r w:rsidR="004B02EC">
        <w:t>as educational ones (</w:t>
      </w:r>
      <w:r>
        <w:t>90 and 150</w:t>
      </w:r>
      <w:r w:rsidRPr="008D37D3">
        <w:t xml:space="preserve"> </w:t>
      </w:r>
      <w:r>
        <w:t>MJ/m</w:t>
      </w:r>
      <w:r w:rsidRPr="00B058FA">
        <w:rPr>
          <w:vertAlign w:val="superscript"/>
        </w:rPr>
        <w:t>2</w:t>
      </w:r>
      <w:r>
        <w:t>/</w:t>
      </w:r>
      <w:proofErr w:type="spellStart"/>
      <w:r>
        <w:t>yr</w:t>
      </w:r>
      <w:proofErr w:type="spellEnd"/>
      <w:r w:rsidR="004B02EC">
        <w:t>;</w:t>
      </w:r>
      <w:r>
        <w:t xml:space="preserve"> for </w:t>
      </w:r>
      <w:r>
        <w:rPr>
          <w:i/>
        </w:rPr>
        <w:t>low</w:t>
      </w:r>
      <w:r>
        <w:t xml:space="preserve"> and </w:t>
      </w:r>
      <w:r>
        <w:rPr>
          <w:i/>
        </w:rPr>
        <w:t>high</w:t>
      </w:r>
      <w:r>
        <w:t>), and that embodied carbon is a good proxy for embodied energy, the total energy intensity of healthcare infrastructure can be estimated to be 3 times that of educational buildings, i.e. 270 and 450</w:t>
      </w:r>
      <w:r w:rsidRPr="008D37D3">
        <w:t xml:space="preserve"> </w:t>
      </w:r>
      <w:r>
        <w:t>MJ/m</w:t>
      </w:r>
      <w:r w:rsidRPr="00B058FA">
        <w:rPr>
          <w:vertAlign w:val="superscript"/>
        </w:rPr>
        <w:t>2</w:t>
      </w:r>
      <w:r>
        <w:t>/yr.</w:t>
      </w:r>
      <w:r w:rsidR="004B02EC">
        <w:t xml:space="preserve"> T</w:t>
      </w:r>
      <w:r>
        <w:t xml:space="preserve">his gives </w:t>
      </w:r>
      <w:r w:rsidRPr="00683980">
        <w:rPr>
          <w:b/>
        </w:rPr>
        <w:t>0.</w:t>
      </w:r>
      <w:r>
        <w:rPr>
          <w:b/>
        </w:rPr>
        <w:t>4</w:t>
      </w:r>
      <w:r w:rsidR="004D589E">
        <w:rPr>
          <w:b/>
        </w:rPr>
        <w:t>4</w:t>
      </w:r>
      <w:r w:rsidRPr="00683980">
        <w:rPr>
          <w:b/>
        </w:rPr>
        <w:t>-0.</w:t>
      </w:r>
      <w:r w:rsidRPr="005C42B5">
        <w:rPr>
          <w:b/>
        </w:rPr>
        <w:t>7</w:t>
      </w:r>
      <w:r w:rsidR="004D589E">
        <w:rPr>
          <w:b/>
        </w:rPr>
        <w:t>3</w:t>
      </w:r>
      <w:r w:rsidRPr="005C42B5">
        <w:rPr>
          <w:b/>
        </w:rPr>
        <w:t xml:space="preserve"> GJ/</w:t>
      </w:r>
      <w:proofErr w:type="spellStart"/>
      <w:r w:rsidRPr="005C42B5">
        <w:rPr>
          <w:b/>
        </w:rPr>
        <w:t>yr</w:t>
      </w:r>
      <w:proofErr w:type="spellEnd"/>
      <w:r w:rsidRPr="005C42B5">
        <w:rPr>
          <w:b/>
        </w:rPr>
        <w:t>/cap</w:t>
      </w:r>
      <w:r>
        <w:t xml:space="preserve"> for healthcare </w:t>
      </w:r>
      <w:r>
        <w:lastRenderedPageBreak/>
        <w:t>infrastructure.</w:t>
      </w:r>
      <w:r>
        <w:rPr>
          <w:i/>
        </w:rPr>
        <w:t xml:space="preserve"> </w:t>
      </w:r>
      <w:r w:rsidR="004B02EC">
        <w:t>T</w:t>
      </w:r>
      <w:r>
        <w:t>he</w:t>
      </w:r>
      <w:r w:rsidR="004B02EC">
        <w:t xml:space="preserve"> scaling up means the</w:t>
      </w:r>
      <w:r>
        <w:t>se estimates are uncertain, however, the values account for &lt;</w:t>
      </w:r>
      <w:r w:rsidR="004D589E">
        <w:t>5</w:t>
      </w:r>
      <w:r>
        <w:t>% of total energy demand.</w:t>
      </w:r>
    </w:p>
    <w:p w14:paraId="5175C4AF" w14:textId="77777777" w:rsidR="0091711E" w:rsidRPr="002177BD" w:rsidRDefault="00E92026" w:rsidP="0041724A">
      <w:pPr>
        <w:pStyle w:val="Heading2"/>
      </w:pPr>
      <w:r w:rsidRPr="002177BD">
        <w:t>Commercial buildings</w:t>
      </w:r>
      <w:r w:rsidR="00EB33EC" w:rsidRPr="002177BD">
        <w:t xml:space="preserve"> and freight</w:t>
      </w:r>
    </w:p>
    <w:p w14:paraId="2D91D964" w14:textId="501BB183" w:rsidR="00EB33EC" w:rsidRPr="002177BD" w:rsidRDefault="0091711E" w:rsidP="0091711E">
      <w:pPr>
        <w:pStyle w:val="Heading3"/>
      </w:pPr>
      <w:r w:rsidRPr="002177BD">
        <w:t>D</w:t>
      </w:r>
      <w:r w:rsidR="000F0AE9" w:rsidRPr="002177BD">
        <w:t>irect energy</w:t>
      </w:r>
    </w:p>
    <w:p w14:paraId="4F4D9B48" w14:textId="202BE6A2" w:rsidR="00EB33EC" w:rsidRDefault="00EB33EC" w:rsidP="00EB33EC">
      <w:r w:rsidRPr="002177BD">
        <w:t>Much of the LCA data</w:t>
      </w:r>
      <w:r>
        <w:t xml:space="preserve"> we</w:t>
      </w:r>
      <w:r w:rsidR="00EE1DFA">
        <w:t xml:space="preserve"> use</w:t>
      </w:r>
      <w:r>
        <w:t xml:space="preserve"> to estimate the embodied energy in goods and infrastructure accounts for transport of materials and products, as well as a degree of commercial/retail activity. But </w:t>
      </w:r>
      <w:r w:rsidR="00EE1DFA">
        <w:t>some</w:t>
      </w:r>
      <w:r>
        <w:t xml:space="preserve"> necessary freight and retail activity is </w:t>
      </w:r>
      <w:r w:rsidR="00EE1DFA">
        <w:t>potentially missed. W</w:t>
      </w:r>
      <w:r>
        <w:t xml:space="preserve">e </w:t>
      </w:r>
      <w:r w:rsidR="00EE1DFA">
        <w:t xml:space="preserve">thus </w:t>
      </w:r>
      <w:r>
        <w:t xml:space="preserve">add further energy use to make up for this, </w:t>
      </w:r>
      <w:r w:rsidR="002E23BF">
        <w:t xml:space="preserve">while </w:t>
      </w:r>
      <w:r w:rsidR="00EE1DFA">
        <w:t xml:space="preserve">being </w:t>
      </w:r>
      <w:r w:rsidR="0041724A">
        <w:t xml:space="preserve">aware </w:t>
      </w:r>
      <w:r w:rsidR="002E23BF">
        <w:t xml:space="preserve">that we </w:t>
      </w:r>
      <w:r w:rsidR="00EE1DFA">
        <w:t>may be</w:t>
      </w:r>
      <w:r>
        <w:t xml:space="preserve"> double counting</w:t>
      </w:r>
      <w:r w:rsidR="002E23BF">
        <w:t xml:space="preserve"> to some degree</w:t>
      </w:r>
      <w:r>
        <w:t>.</w:t>
      </w:r>
    </w:p>
    <w:p w14:paraId="3C23D86C" w14:textId="1CE70AA2" w:rsidR="000F0AE9" w:rsidRPr="000F0AE9" w:rsidRDefault="006575FB" w:rsidP="000F0AE9">
      <w:r>
        <w:t>For retail</w:t>
      </w:r>
      <w:r w:rsidR="00E92026">
        <w:t xml:space="preserve"> and freight</w:t>
      </w:r>
      <w:r>
        <w:t xml:space="preserve">, we use the </w:t>
      </w:r>
      <w:r w:rsidR="00E92026">
        <w:t xml:space="preserve">activities </w:t>
      </w:r>
      <w:r>
        <w:t xml:space="preserve">levels suggested by </w:t>
      </w:r>
      <w:proofErr w:type="spellStart"/>
      <w:r w:rsidR="00CA79E3">
        <w:t>Goldemberg</w:t>
      </w:r>
      <w:proofErr w:type="spellEnd"/>
      <w:r w:rsidR="00CA79E3">
        <w:t xml:space="preserve"> et al.</w:t>
      </w:r>
      <w:r w:rsidR="006A2825" w:rsidRPr="006A2825">
        <w:rPr>
          <w:noProof/>
          <w:vertAlign w:val="superscript"/>
        </w:rPr>
        <w:t>56</w:t>
      </w:r>
      <w:r>
        <w:t xml:space="preserve"> in their </w:t>
      </w:r>
      <w:r w:rsidR="00EE1DFA">
        <w:t xml:space="preserve">estimate </w:t>
      </w:r>
      <w:r>
        <w:t>of energy for basic needs</w:t>
      </w:r>
      <w:r w:rsidR="00EE1DFA">
        <w:t>:</w:t>
      </w:r>
      <w:r>
        <w:t xml:space="preserve"> </w:t>
      </w:r>
      <w:r w:rsidRPr="00E92026">
        <w:rPr>
          <w:b/>
        </w:rPr>
        <w:t>5.4 m</w:t>
      </w:r>
      <w:r w:rsidRPr="00E92026">
        <w:rPr>
          <w:b/>
          <w:vertAlign w:val="superscript"/>
        </w:rPr>
        <w:t>2</w:t>
      </w:r>
      <w:r w:rsidRPr="00E92026">
        <w:rPr>
          <w:b/>
        </w:rPr>
        <w:t>/cap</w:t>
      </w:r>
      <w:r w:rsidR="00E92026">
        <w:t xml:space="preserve"> for commercial floor area</w:t>
      </w:r>
      <w:r w:rsidR="00EE1DFA">
        <w:t>;</w:t>
      </w:r>
      <w:r w:rsidR="00E92026">
        <w:t xml:space="preserve"> </w:t>
      </w:r>
      <w:r w:rsidR="00E92026" w:rsidRPr="00E92026">
        <w:rPr>
          <w:b/>
        </w:rPr>
        <w:t>2,</w:t>
      </w:r>
      <w:r w:rsidR="00F81B48">
        <w:rPr>
          <w:b/>
        </w:rPr>
        <w:t>295</w:t>
      </w:r>
      <w:r w:rsidR="00E92026" w:rsidRPr="00E92026">
        <w:rPr>
          <w:b/>
        </w:rPr>
        <w:t xml:space="preserve"> </w:t>
      </w:r>
      <w:proofErr w:type="spellStart"/>
      <w:r w:rsidR="00E92026" w:rsidRPr="00E92026">
        <w:rPr>
          <w:b/>
        </w:rPr>
        <w:t>tkm</w:t>
      </w:r>
      <w:proofErr w:type="spellEnd"/>
      <w:r w:rsidR="00E92026" w:rsidRPr="00E92026">
        <w:rPr>
          <w:b/>
        </w:rPr>
        <w:t>/cap</w:t>
      </w:r>
      <w:r w:rsidR="00E92026">
        <w:t xml:space="preserve"> for freight</w:t>
      </w:r>
      <w:r w:rsidR="00F81B48">
        <w:t xml:space="preserve"> (1,495 by road and 800 by rail)</w:t>
      </w:r>
      <w:r w:rsidR="00E92026">
        <w:t>.</w:t>
      </w:r>
      <w:r w:rsidR="002E23BF">
        <w:t xml:space="preserve"> </w:t>
      </w:r>
      <w:r w:rsidR="00E92026">
        <w:t>The former</w:t>
      </w:r>
      <w:r>
        <w:t xml:space="preserve"> can be combined with energy intensities from GBPN in the same way as was done for </w:t>
      </w:r>
      <w:r w:rsidR="00EE1DFA">
        <w:t>other buildings above, obtaining</w:t>
      </w:r>
      <w:r>
        <w:t xml:space="preserve"> intensities of </w:t>
      </w:r>
      <w:r w:rsidR="00E92026">
        <w:t>12-17kWh/m</w:t>
      </w:r>
      <w:r w:rsidR="00E92026" w:rsidRPr="00E92026">
        <w:rPr>
          <w:vertAlign w:val="superscript"/>
        </w:rPr>
        <w:t>2</w:t>
      </w:r>
      <w:r>
        <w:t>.</w:t>
      </w:r>
      <w:r w:rsidR="00E92026">
        <w:t xml:space="preserve"> </w:t>
      </w:r>
      <w:r w:rsidR="002E23BF">
        <w:t>T</w:t>
      </w:r>
      <w:r w:rsidR="00E92026">
        <w:t xml:space="preserve">his gives values of </w:t>
      </w:r>
      <w:r w:rsidR="00E92026" w:rsidRPr="00E92026">
        <w:rPr>
          <w:b/>
        </w:rPr>
        <w:t>0.24-0.31 GJ/cap/</w:t>
      </w:r>
      <w:proofErr w:type="spellStart"/>
      <w:r w:rsidR="00E92026" w:rsidRPr="00E92026">
        <w:rPr>
          <w:b/>
        </w:rPr>
        <w:t>yr</w:t>
      </w:r>
      <w:proofErr w:type="spellEnd"/>
      <w:r w:rsidR="00E92026">
        <w:t xml:space="preserve"> across countries</w:t>
      </w:r>
      <w:r w:rsidR="007F7E92">
        <w:t xml:space="preserve"> for commercial buildings</w:t>
      </w:r>
      <w:r w:rsidR="002E23BF">
        <w:t>’</w:t>
      </w:r>
      <w:r w:rsidR="007F7E92">
        <w:t xml:space="preserve"> direct energy use</w:t>
      </w:r>
      <w:r w:rsidR="00E92026">
        <w:t>.</w:t>
      </w:r>
      <w:r w:rsidR="002E23BF">
        <w:t xml:space="preserve"> </w:t>
      </w:r>
      <w:r w:rsidR="00E92026">
        <w:t>For freight,</w:t>
      </w:r>
      <w:r w:rsidR="00F81B48">
        <w:t xml:space="preserve"> we calculate energy intensities</w:t>
      </w:r>
      <w:r w:rsidR="00E92026">
        <w:t xml:space="preserve"> </w:t>
      </w:r>
      <w:r w:rsidR="00F81B48">
        <w:t xml:space="preserve">the same way we did for mobility, using data from the IEA and </w:t>
      </w:r>
      <w:r w:rsidR="00EE1DFA">
        <w:rPr>
          <w:noProof/>
        </w:rPr>
        <w:t>Cullen, Allwood and Borgstein</w:t>
      </w:r>
      <w:r w:rsidR="006A2825" w:rsidRPr="006A2825">
        <w:rPr>
          <w:noProof/>
          <w:vertAlign w:val="superscript"/>
        </w:rPr>
        <w:t>6</w:t>
      </w:r>
      <w:r w:rsidR="002E23BF">
        <w:t>. This gives</w:t>
      </w:r>
      <w:r w:rsidR="003336C9">
        <w:t xml:space="preserve"> </w:t>
      </w:r>
      <w:r w:rsidR="002E23BF">
        <w:t>0.48</w:t>
      </w:r>
      <w:r w:rsidR="00F81B48">
        <w:t xml:space="preserve"> and 0.0</w:t>
      </w:r>
      <w:r w:rsidR="002E23BF">
        <w:t>8</w:t>
      </w:r>
      <w:r w:rsidR="00F81B48">
        <w:t xml:space="preserve"> MJ/t</w:t>
      </w:r>
      <w:r w:rsidR="003336C9">
        <w:t>-</w:t>
      </w:r>
      <w:r w:rsidR="00F81B48">
        <w:t xml:space="preserve">km for road and rail, respectively. Combining with activity levels gives </w:t>
      </w:r>
      <w:r w:rsidR="003336C9">
        <w:t>national totals</w:t>
      </w:r>
      <w:r w:rsidR="00F81B48">
        <w:t xml:space="preserve"> of </w:t>
      </w:r>
      <w:r w:rsidR="00A57AD1">
        <w:rPr>
          <w:b/>
        </w:rPr>
        <w:t>0.78</w:t>
      </w:r>
      <w:r w:rsidR="00F81B48" w:rsidRPr="00F81B48">
        <w:rPr>
          <w:b/>
        </w:rPr>
        <w:t xml:space="preserve"> GJ/cap/yr</w:t>
      </w:r>
      <w:r w:rsidR="00F81B48">
        <w:t>.</w:t>
      </w:r>
    </w:p>
    <w:p w14:paraId="214E429B" w14:textId="669972B5" w:rsidR="00D711FA" w:rsidRDefault="0091711E" w:rsidP="00732D74">
      <w:pPr>
        <w:pStyle w:val="Heading3"/>
        <w:spacing w:before="240" w:after="60"/>
      </w:pPr>
      <w:r w:rsidRPr="002177BD">
        <w:t>I</w:t>
      </w:r>
      <w:r w:rsidR="000F0AE9" w:rsidRPr="002177BD">
        <w:t>nfrastructure</w:t>
      </w:r>
    </w:p>
    <w:p w14:paraId="633CA1D5" w14:textId="2598544D" w:rsidR="006B1200" w:rsidRDefault="00E21FF1" w:rsidP="00D711FA">
      <w:r>
        <w:t xml:space="preserve">To estimate the energy use in constructing the commercial floor area assumed above, </w:t>
      </w:r>
      <w:r w:rsidR="006B1200">
        <w:t>we ne</w:t>
      </w:r>
      <w:r>
        <w:t xml:space="preserve">ed </w:t>
      </w:r>
      <w:r w:rsidR="002B4BC0">
        <w:t xml:space="preserve">only </w:t>
      </w:r>
      <w:r>
        <w:t>the intensity of construction</w:t>
      </w:r>
      <w:r w:rsidR="006B1200">
        <w:t xml:space="preserve">. </w:t>
      </w:r>
      <w:r w:rsidR="002B4BC0">
        <w:t>W</w:t>
      </w:r>
      <w:r w:rsidR="006B1200">
        <w:t>e use the same intensities we did for educational buildings</w:t>
      </w:r>
      <w:r w:rsidR="00F42884">
        <w:t xml:space="preserve">, based </w:t>
      </w:r>
      <w:r w:rsidR="006B1200">
        <w:t xml:space="preserve">themselves upon the intensities of constructing office buildings </w:t>
      </w:r>
      <w:r w:rsidR="00F42884">
        <w:t xml:space="preserve">(see </w:t>
      </w:r>
      <w:r w:rsidRPr="00E21FF1">
        <w:t>F</w:t>
      </w:r>
      <w:r w:rsidR="006B1200" w:rsidRPr="00E21FF1">
        <w:t>ig</w:t>
      </w:r>
      <w:r w:rsidRPr="00E21FF1">
        <w:t>ure</w:t>
      </w:r>
      <w:r w:rsidR="006B1200" w:rsidRPr="00E21FF1">
        <w:t xml:space="preserve"> </w:t>
      </w:r>
      <w:r w:rsidR="00977681">
        <w:t>3</w:t>
      </w:r>
      <w:r w:rsidR="00F42884">
        <w:t>)</w:t>
      </w:r>
      <w:r w:rsidR="006B1200">
        <w:t>. Specifically, we have floor space of 5.4 m</w:t>
      </w:r>
      <w:r w:rsidR="006B1200" w:rsidRPr="006B1200">
        <w:rPr>
          <w:vertAlign w:val="superscript"/>
        </w:rPr>
        <w:t>2</w:t>
      </w:r>
      <w:r w:rsidR="006B1200">
        <w:t>/cap and intensities of 90 and 150</w:t>
      </w:r>
      <w:r w:rsidR="006B1200" w:rsidRPr="008D37D3">
        <w:t xml:space="preserve"> </w:t>
      </w:r>
      <w:r w:rsidR="006B1200">
        <w:t>MJ/m</w:t>
      </w:r>
      <w:r w:rsidR="006B1200" w:rsidRPr="00B058FA">
        <w:rPr>
          <w:vertAlign w:val="superscript"/>
        </w:rPr>
        <w:t>2</w:t>
      </w:r>
      <w:r w:rsidR="006B1200">
        <w:t>/</w:t>
      </w:r>
      <w:proofErr w:type="spellStart"/>
      <w:r w:rsidR="006B1200">
        <w:t>yr</w:t>
      </w:r>
      <w:proofErr w:type="spellEnd"/>
      <w:r w:rsidR="006B1200">
        <w:t xml:space="preserve">, thus giving </w:t>
      </w:r>
      <w:r w:rsidR="006B1200" w:rsidRPr="00C612F2">
        <w:rPr>
          <w:b/>
        </w:rPr>
        <w:t>0.49-0.81 GJ/cap/yr</w:t>
      </w:r>
      <w:r w:rsidR="006B1200">
        <w:t>.</w:t>
      </w:r>
    </w:p>
    <w:p w14:paraId="4754AA74" w14:textId="27FDACA9" w:rsidR="00A15A5B" w:rsidRDefault="00C612F2" w:rsidP="00A2770A">
      <w:r>
        <w:t>Similarly, for freight</w:t>
      </w:r>
      <w:r w:rsidR="00840FC4">
        <w:t>,</w:t>
      </w:r>
      <w:r>
        <w:t xml:space="preserve"> we</w:t>
      </w:r>
      <w:r w:rsidR="00840FC4">
        <w:t>’</w:t>
      </w:r>
      <w:r>
        <w:t xml:space="preserve">ve specified the activity levels in t-km, so all that’s needed is an estimate of the </w:t>
      </w:r>
      <w:r w:rsidR="00840FC4">
        <w:t xml:space="preserve">embodied energy in </w:t>
      </w:r>
      <w:r>
        <w:t>infrastructure</w:t>
      </w:r>
      <w:r w:rsidR="00840FC4">
        <w:t xml:space="preserve"> </w:t>
      </w:r>
      <w:r w:rsidR="00840FC4" w:rsidRPr="00A143E7">
        <w:rPr>
          <w:i/>
        </w:rPr>
        <w:t>and</w:t>
      </w:r>
      <w:r w:rsidR="00840FC4">
        <w:t xml:space="preserve"> vehicles</w:t>
      </w:r>
      <w:r w:rsidR="00A143E7">
        <w:t>,</w:t>
      </w:r>
      <w:r>
        <w:t xml:space="preserve"> </w:t>
      </w:r>
      <w:r w:rsidR="00E21FF1">
        <w:t>scalable</w:t>
      </w:r>
      <w:r>
        <w:t xml:space="preserve"> in the same units</w:t>
      </w:r>
      <w:r w:rsidR="00114B04">
        <w:t xml:space="preserve"> (</w:t>
      </w:r>
      <w:r>
        <w:t>i.e. embodied energy per t-km</w:t>
      </w:r>
      <w:r w:rsidR="00114B04">
        <w:t>)</w:t>
      </w:r>
      <w:r>
        <w:t>.</w:t>
      </w:r>
      <w:r w:rsidR="00840FC4">
        <w:t xml:space="preserve"> </w:t>
      </w:r>
      <w:r w:rsidR="00A143E7">
        <w:t>As a starting point, w</w:t>
      </w:r>
      <w:r>
        <w:t xml:space="preserve">e use our estimates for the embodied energy in infrastructure </w:t>
      </w:r>
      <w:r w:rsidR="00840FC4">
        <w:t>and vehicles</w:t>
      </w:r>
      <w:r w:rsidR="00A143E7">
        <w:t xml:space="preserve"> </w:t>
      </w:r>
      <w:r w:rsidR="00840FC4">
        <w:t>for</w:t>
      </w:r>
      <w:r>
        <w:t xml:space="preserve"> passenger trains and buses (</w:t>
      </w:r>
      <w:r w:rsidR="00A143E7">
        <w:t xml:space="preserve">see the </w:t>
      </w:r>
      <w:r w:rsidR="00A143E7">
        <w:rPr>
          <w:i/>
        </w:rPr>
        <w:t xml:space="preserve">mobility </w:t>
      </w:r>
      <w:r w:rsidR="00A143E7">
        <w:t>section above</w:t>
      </w:r>
      <w:r>
        <w:t xml:space="preserve">). We also have direct energy use for passenger </w:t>
      </w:r>
      <w:r w:rsidR="00A143E7">
        <w:t>rail and buses</w:t>
      </w:r>
      <w:r>
        <w:t xml:space="preserve"> (0.06 and 0.18 MJ/pkm, respectively), </w:t>
      </w:r>
      <w:r w:rsidR="00A143E7">
        <w:t>and</w:t>
      </w:r>
      <w:r>
        <w:t xml:space="preserve"> comparable direct energy use for rail and road freight (0.08 and 0.48 MJ/</w:t>
      </w:r>
      <w:proofErr w:type="spellStart"/>
      <w:r>
        <w:t>tkm</w:t>
      </w:r>
      <w:proofErr w:type="spellEnd"/>
      <w:r>
        <w:t>, respectively). The ratios of direct energy for rail and road are t</w:t>
      </w:r>
      <w:r w:rsidR="00E21FF1">
        <w:t xml:space="preserve">hus 1.35 and 2.6, respectively; </w:t>
      </w:r>
      <w:r w:rsidR="00840FC4">
        <w:t>these</w:t>
      </w:r>
      <w:r w:rsidR="00E21FF1">
        <w:t xml:space="preserve"> can be taken as ratios of t-km to pkm. U</w:t>
      </w:r>
      <w:r>
        <w:t xml:space="preserve">sing these to scale up the </w:t>
      </w:r>
      <w:r w:rsidR="00A143E7">
        <w:t xml:space="preserve">embodied energies of passenger </w:t>
      </w:r>
      <w:r w:rsidR="00A143E7" w:rsidRPr="00A143E7">
        <w:rPr>
          <w:i/>
        </w:rPr>
        <w:t>vehicles</w:t>
      </w:r>
      <w:r w:rsidR="00A143E7">
        <w:t>, we obtain 0.01 and 0.11 MJ/</w:t>
      </w:r>
      <w:proofErr w:type="spellStart"/>
      <w:r w:rsidR="00A143E7">
        <w:t>tkm</w:t>
      </w:r>
      <w:proofErr w:type="spellEnd"/>
      <w:r w:rsidR="00A143E7">
        <w:t xml:space="preserve"> for the embodied energies in rail and road freight vehicles, respectively. Analogous calculations give</w:t>
      </w:r>
      <w:r>
        <w:t xml:space="preserve"> 0.29 and 0.14</w:t>
      </w:r>
      <w:r w:rsidR="00A143E7">
        <w:t xml:space="preserve"> MJ/</w:t>
      </w:r>
      <w:proofErr w:type="spellStart"/>
      <w:r w:rsidR="00A143E7">
        <w:t>tkm</w:t>
      </w:r>
      <w:proofErr w:type="spellEnd"/>
      <w:r w:rsidR="00A143E7">
        <w:t xml:space="preserve"> for infrastructure. </w:t>
      </w:r>
      <w:r>
        <w:t xml:space="preserve">Multiplying by the activity levels then gives a total of </w:t>
      </w:r>
      <w:r w:rsidRPr="00C612F2">
        <w:rPr>
          <w:b/>
        </w:rPr>
        <w:t>0.45 GJ/cap/</w:t>
      </w:r>
      <w:proofErr w:type="spellStart"/>
      <w:r w:rsidRPr="00C612F2">
        <w:rPr>
          <w:b/>
        </w:rPr>
        <w:t>yr</w:t>
      </w:r>
      <w:proofErr w:type="spellEnd"/>
      <w:r>
        <w:t xml:space="preserve"> (0.2</w:t>
      </w:r>
      <w:r w:rsidR="00585522">
        <w:t>3 and</w:t>
      </w:r>
      <w:r>
        <w:t xml:space="preserve"> 0.2</w:t>
      </w:r>
      <w:r w:rsidR="00585522">
        <w:t>2 GJ for rail and road, respectively).</w:t>
      </w:r>
    </w:p>
    <w:p w14:paraId="08B4C643" w14:textId="1C022E08" w:rsidR="00ED58E4" w:rsidRDefault="00ED58E4" w:rsidP="00ED58E4">
      <w:pPr>
        <w:pStyle w:val="Heading2"/>
      </w:pPr>
      <w:r w:rsidRPr="002177BD">
        <w:t>Waste Management</w:t>
      </w:r>
    </w:p>
    <w:p w14:paraId="250DC360" w14:textId="3E1E5559" w:rsidR="00C46306" w:rsidRPr="00C46306" w:rsidRDefault="00ED58E4" w:rsidP="00C46306">
      <w:r>
        <w:t xml:space="preserve">For waste management our estimates are particularly crude. This is justified </w:t>
      </w:r>
      <w:r w:rsidR="00BA0A4C">
        <w:t>as</w:t>
      </w:r>
      <w:r>
        <w:t xml:space="preserve"> consumption in </w:t>
      </w:r>
      <w:r w:rsidR="00613F73">
        <w:t xml:space="preserve">our </w:t>
      </w:r>
      <w:r>
        <w:t xml:space="preserve">scenario is considerably different to anything currently existing, </w:t>
      </w:r>
      <w:r w:rsidR="00BA0A4C">
        <w:t xml:space="preserve">thus </w:t>
      </w:r>
      <w:r>
        <w:t xml:space="preserve">current energy use </w:t>
      </w:r>
      <w:r w:rsidR="00BA0A4C">
        <w:t xml:space="preserve">data </w:t>
      </w:r>
      <w:r>
        <w:t>f</w:t>
      </w:r>
      <w:r w:rsidR="00BA0A4C">
        <w:t>or</w:t>
      </w:r>
      <w:r>
        <w:t xml:space="preserve"> waste management systems cannot be applied in a</w:t>
      </w:r>
      <w:r w:rsidR="00EE0162">
        <w:t xml:space="preserve">ny </w:t>
      </w:r>
      <w:r>
        <w:t xml:space="preserve">meaningful way. We thus make </w:t>
      </w:r>
      <w:r w:rsidR="00EE0162">
        <w:t>a</w:t>
      </w:r>
      <w:r>
        <w:t xml:space="preserve"> simple assumption that waste management requires the same energy per capita as the average (</w:t>
      </w:r>
      <w:r>
        <w:rPr>
          <w:i/>
        </w:rPr>
        <w:t>central</w:t>
      </w:r>
      <w:r>
        <w:t xml:space="preserve">) values for water supply described above. We thus </w:t>
      </w:r>
      <w:r w:rsidRPr="00ED58E4">
        <w:rPr>
          <w:i/>
        </w:rPr>
        <w:t>don’t</w:t>
      </w:r>
      <w:r w:rsidR="00EE0162">
        <w:t xml:space="preserve"> assume any regional variation; </w:t>
      </w:r>
      <w:r>
        <w:t xml:space="preserve">each country is assigned an energy intensity of </w:t>
      </w:r>
      <w:r w:rsidRPr="00D5246D">
        <w:rPr>
          <w:b/>
        </w:rPr>
        <w:t>0.</w:t>
      </w:r>
      <w:r>
        <w:rPr>
          <w:b/>
        </w:rPr>
        <w:t>18</w:t>
      </w:r>
      <w:r w:rsidRPr="00D5246D">
        <w:rPr>
          <w:b/>
        </w:rPr>
        <w:t xml:space="preserve"> GJ/cap/yr</w:t>
      </w:r>
      <w:r>
        <w:t>.</w:t>
      </w:r>
      <w:r w:rsidR="00C46306">
        <w:br w:type="page"/>
      </w:r>
    </w:p>
    <w:p w14:paraId="53DB81D7" w14:textId="19F9F3E1" w:rsidR="00E16799" w:rsidRPr="000F0AE9" w:rsidRDefault="00E16799" w:rsidP="00C91A23">
      <w:pPr>
        <w:pStyle w:val="Heading1"/>
      </w:pPr>
      <w:r w:rsidRPr="002177BD">
        <w:lastRenderedPageBreak/>
        <w:t>Power Supply</w:t>
      </w:r>
    </w:p>
    <w:p w14:paraId="214CE210" w14:textId="4EA65D9B" w:rsidR="005C3C81" w:rsidRDefault="00EC6F67" w:rsidP="00E16799">
      <w:pPr>
        <w:spacing w:before="240"/>
      </w:pPr>
      <w:r>
        <w:t>All of t</w:t>
      </w:r>
      <w:r w:rsidR="00010747">
        <w:t xml:space="preserve">he </w:t>
      </w:r>
      <w:r w:rsidR="0091711E">
        <w:t>consumption</w:t>
      </w:r>
      <w:r w:rsidR="00010747">
        <w:t xml:space="preserve"> sectors described above require significant energy use, and the infrastructure required to supply this requires significant energy to </w:t>
      </w:r>
      <w:r w:rsidR="00E16799">
        <w:t>build. To estimate this</w:t>
      </w:r>
      <w:r w:rsidR="00010747">
        <w:t xml:space="preserve">, we assume the energy embodied in power supply infrastructure </w:t>
      </w:r>
      <w:r w:rsidR="00AE0A81">
        <w:t xml:space="preserve">scales with </w:t>
      </w:r>
      <w:r w:rsidR="00010747">
        <w:t xml:space="preserve">power demand. </w:t>
      </w:r>
      <w:r w:rsidR="00FF624B">
        <w:t>Consequently, w</w:t>
      </w:r>
      <w:r w:rsidR="00010747">
        <w:t>e</w:t>
      </w:r>
      <w:r w:rsidR="00E16799">
        <w:t xml:space="preserve"> </w:t>
      </w:r>
      <w:r w:rsidR="00010747">
        <w:t xml:space="preserve">only </w:t>
      </w:r>
      <w:r w:rsidR="00FF624B">
        <w:t xml:space="preserve">need to </w:t>
      </w:r>
      <w:r w:rsidR="00010747">
        <w:t xml:space="preserve">estimate total </w:t>
      </w:r>
      <w:r w:rsidR="00D711FA">
        <w:t xml:space="preserve">final </w:t>
      </w:r>
      <w:r w:rsidR="00010747">
        <w:t xml:space="preserve">demand for each country, </w:t>
      </w:r>
      <w:r w:rsidR="00E16799">
        <w:t xml:space="preserve">along with </w:t>
      </w:r>
      <w:r w:rsidR="00010747">
        <w:t>a scaling factor s</w:t>
      </w:r>
      <w:r w:rsidR="00E16799">
        <w:t>pecifying</w:t>
      </w:r>
      <w:r w:rsidR="00010747">
        <w:t xml:space="preserve"> the embodied energy in infrastructure per unit of </w:t>
      </w:r>
      <w:r w:rsidR="00010747" w:rsidRPr="00FF624B">
        <w:rPr>
          <w:i/>
        </w:rPr>
        <w:t>final energy delivered</w:t>
      </w:r>
      <w:r w:rsidR="00010747">
        <w:t>. Note, we do not distinguish between types of power – electricity, heat, etc. – rather</w:t>
      </w:r>
      <w:r w:rsidR="00D711FA">
        <w:t>,</w:t>
      </w:r>
      <w:r w:rsidR="00010747">
        <w:t xml:space="preserve"> we consider only total energy demand.</w:t>
      </w:r>
    </w:p>
    <w:p w14:paraId="11A8D3E6" w14:textId="6266B12D" w:rsidR="00D711FA" w:rsidRDefault="00D711FA" w:rsidP="008F2D6D">
      <w:r>
        <w:t xml:space="preserve">Total final demand falls </w:t>
      </w:r>
      <w:r w:rsidR="00D01AC3">
        <w:t xml:space="preserve">immediately </w:t>
      </w:r>
      <w:r>
        <w:t>ou</w:t>
      </w:r>
      <w:r w:rsidR="00D01AC3">
        <w:t>t of our other calculations – it’s</w:t>
      </w:r>
      <w:r>
        <w:t xml:space="preserve"> </w:t>
      </w:r>
      <w:r w:rsidR="00D01AC3">
        <w:t>the sum of energy used for:</w:t>
      </w:r>
      <w:r>
        <w:t xml:space="preserve"> household heating, cooling, water heating, illumination, cooking and cold storage; washing clothes; phone and computer operation; education and healthcare buildings’; and all transport besides air travel (which we </w:t>
      </w:r>
      <w:r w:rsidR="00125350">
        <w:t>assume</w:t>
      </w:r>
      <w:r>
        <w:t xml:space="preserve"> are electrified).</w:t>
      </w:r>
      <w:r w:rsidR="003F0831">
        <w:t xml:space="preserve"> This gives values of 4</w:t>
      </w:r>
      <w:r w:rsidR="009F7331">
        <w:t>.</w:t>
      </w:r>
      <w:r w:rsidR="003F0831">
        <w:t>2</w:t>
      </w:r>
      <w:r w:rsidR="009F7331">
        <w:t>-7</w:t>
      </w:r>
      <w:r w:rsidR="00F81B48">
        <w:t>.</w:t>
      </w:r>
      <w:r w:rsidR="003F0831">
        <w:t>2</w:t>
      </w:r>
      <w:r w:rsidR="009F7331">
        <w:t xml:space="preserve"> GJ/cap/</w:t>
      </w:r>
      <w:proofErr w:type="spellStart"/>
      <w:r w:rsidR="009F7331">
        <w:t>yr</w:t>
      </w:r>
      <w:proofErr w:type="spellEnd"/>
      <w:r w:rsidR="009F7331">
        <w:t xml:space="preserve"> for each country. Note that industrial energy used in producing cookers, fridges, phones, etc. is included in the LCA data used to calculate the embodied energy of these goods.</w:t>
      </w:r>
    </w:p>
    <w:p w14:paraId="073EF33C" w14:textId="72DAF919" w:rsidR="009F7331" w:rsidRDefault="009F7331" w:rsidP="008F2D6D">
      <w:r>
        <w:t xml:space="preserve">To scale this and estimate the embodied energy of the power network, we use a value based on data from </w:t>
      </w:r>
      <w:r w:rsidR="006A71F0">
        <w:rPr>
          <w:noProof/>
        </w:rPr>
        <w:t>Hertwich</w:t>
      </w:r>
      <w:r w:rsidR="006A71F0" w:rsidRPr="00B20917">
        <w:rPr>
          <w:i/>
          <w:noProof/>
        </w:rPr>
        <w:t xml:space="preserve"> et al.</w:t>
      </w:r>
      <w:r w:rsidR="006A2825" w:rsidRPr="006A2825">
        <w:rPr>
          <w:noProof/>
          <w:vertAlign w:val="superscript"/>
        </w:rPr>
        <w:t>57</w:t>
      </w:r>
      <w:r w:rsidR="0067164A">
        <w:t>. They</w:t>
      </w:r>
      <w:r>
        <w:t xml:space="preserve"> compare the lifecycle impacts of various low-carbon and fossil-based energy sources. Overall, they find the energy embodied in renewable energy infrastructure (wind, solar and hydro) to be 0.1-0.25 kWh per KWh of electricity produced</w:t>
      </w:r>
      <w:r w:rsidR="00C5286F">
        <w:t xml:space="preserve"> – larger than for fossil-based power infrastructure. Other studies suggest nuclear energy has impacts towards the lower end of that of r</w:t>
      </w:r>
      <w:r w:rsidR="006A71F0">
        <w:t>enewable energy infrastructures</w:t>
      </w:r>
      <w:r w:rsidR="006A2825" w:rsidRPr="006A2825">
        <w:rPr>
          <w:noProof/>
          <w:vertAlign w:val="superscript"/>
        </w:rPr>
        <w:t>58</w:t>
      </w:r>
      <w:r w:rsidR="00C5286F">
        <w:t xml:space="preserve">. We thus use a value of 0.15, which is slightly towards the lower end of the range of </w:t>
      </w:r>
      <w:r w:rsidR="006A71F0">
        <w:rPr>
          <w:noProof/>
        </w:rPr>
        <w:t>Hertwich</w:t>
      </w:r>
      <w:r w:rsidR="006A71F0" w:rsidRPr="00B20917">
        <w:rPr>
          <w:i/>
          <w:noProof/>
        </w:rPr>
        <w:t xml:space="preserve"> et al.</w:t>
      </w:r>
      <w:r w:rsidR="006A2825" w:rsidRPr="006A2825">
        <w:rPr>
          <w:noProof/>
          <w:vertAlign w:val="superscript"/>
        </w:rPr>
        <w:t>57</w:t>
      </w:r>
      <w:r w:rsidR="00CB0352">
        <w:t>, and could be considered to include a mix of low-carbon technologies, including nuclear</w:t>
      </w:r>
      <w:r w:rsidR="00C5286F">
        <w:t xml:space="preserve">. </w:t>
      </w:r>
      <w:r w:rsidR="00CB0352">
        <w:t xml:space="preserve">When combined with the direct energy use estimates, this gives </w:t>
      </w:r>
      <w:r w:rsidR="00CB0352" w:rsidRPr="00CB0352">
        <w:rPr>
          <w:b/>
        </w:rPr>
        <w:t>0.</w:t>
      </w:r>
      <w:r w:rsidR="005D28B7">
        <w:rPr>
          <w:b/>
        </w:rPr>
        <w:t>63-1.1</w:t>
      </w:r>
      <w:r w:rsidR="00CB0352" w:rsidRPr="00CB0352">
        <w:rPr>
          <w:b/>
        </w:rPr>
        <w:t xml:space="preserve"> GJ/cap/</w:t>
      </w:r>
      <w:proofErr w:type="spellStart"/>
      <w:r w:rsidR="00CB0352" w:rsidRPr="00CB0352">
        <w:rPr>
          <w:b/>
        </w:rPr>
        <w:t>yr</w:t>
      </w:r>
      <w:proofErr w:type="spellEnd"/>
      <w:r w:rsidR="00CB0352">
        <w:t xml:space="preserve"> across countries.</w:t>
      </w:r>
    </w:p>
    <w:p w14:paraId="4CDEC637" w14:textId="2C8DF22B" w:rsidR="00C91A23" w:rsidRDefault="00C91A23">
      <w:pPr>
        <w:spacing w:after="160"/>
      </w:pPr>
      <w:r>
        <w:br w:type="page"/>
      </w:r>
    </w:p>
    <w:p w14:paraId="5A090D92" w14:textId="4588B301" w:rsidR="00C91A23" w:rsidRPr="00C91A23" w:rsidRDefault="00C91A23" w:rsidP="00C91A23">
      <w:pPr>
        <w:pStyle w:val="Title"/>
      </w:pPr>
      <w:r>
        <w:rPr>
          <w:b/>
        </w:rPr>
        <w:lastRenderedPageBreak/>
        <w:t>Part 2</w:t>
      </w:r>
      <w:r>
        <w:t xml:space="preserve">   Sensitivity Analysis</w:t>
      </w:r>
    </w:p>
    <w:p w14:paraId="4B9A70C4" w14:textId="0DB63C54" w:rsidR="00675F73" w:rsidRDefault="00274033" w:rsidP="001C486F">
      <w:pPr>
        <w:spacing w:before="240"/>
      </w:pPr>
      <w:r>
        <w:t>It’</w:t>
      </w:r>
      <w:r w:rsidR="009C656B">
        <w:t xml:space="preserve">s </w:t>
      </w:r>
      <w:r w:rsidR="008C3BE5">
        <w:t>n</w:t>
      </w:r>
      <w:r>
        <w:t>o</w:t>
      </w:r>
      <w:r w:rsidR="009C656B">
        <w:t xml:space="preserve"> exaggeration t</w:t>
      </w:r>
      <w:r w:rsidR="00A15362">
        <w:t xml:space="preserve">o say that all models </w:t>
      </w:r>
      <w:r w:rsidR="00611B62">
        <w:t>are wrong</w:t>
      </w:r>
      <w:r>
        <w:t xml:space="preserve">, and the current work is no exception. Building </w:t>
      </w:r>
      <w:r w:rsidR="008C1A72">
        <w:t>th</w:t>
      </w:r>
      <w:r w:rsidR="00DD002D">
        <w:t>e</w:t>
      </w:r>
      <w:r w:rsidR="008C1A72">
        <w:t xml:space="preserve"> model</w:t>
      </w:r>
      <w:r>
        <w:t xml:space="preserve"> </w:t>
      </w:r>
      <w:r w:rsidR="00611B62">
        <w:t xml:space="preserve">has been an inherently uncertain process, involving assumptions ranging from robust to arbitrary. However, a formal uncertainty analysis </w:t>
      </w:r>
      <w:r w:rsidR="008C3BE5">
        <w:t xml:space="preserve">such as a Monte Carlo analysis </w:t>
      </w:r>
      <w:r w:rsidR="00611B62">
        <w:t xml:space="preserve">would be relatively meaningless </w:t>
      </w:r>
      <w:r w:rsidR="001C486F">
        <w:t>a</w:t>
      </w:r>
      <w:r w:rsidR="00611B62">
        <w:t>s</w:t>
      </w:r>
      <w:r w:rsidR="00F07B07">
        <w:t>, for the majority of our</w:t>
      </w:r>
      <w:r w:rsidR="00611B62">
        <w:t xml:space="preserve"> assumptions, we lack any </w:t>
      </w:r>
      <w:r w:rsidR="00F07B07">
        <w:t xml:space="preserve">robust </w:t>
      </w:r>
      <w:r w:rsidR="00611B62">
        <w:t>statistical measure of the uncertainty in our chosen</w:t>
      </w:r>
      <w:r w:rsidR="008C1A72">
        <w:t xml:space="preserve"> input</w:t>
      </w:r>
      <w:r w:rsidR="00611B62">
        <w:t xml:space="preserve"> values (i.e. the type of distribution </w:t>
      </w:r>
      <w:r w:rsidR="001C486F">
        <w:t>they</w:t>
      </w:r>
      <w:r w:rsidR="00611B62">
        <w:t xml:space="preserve"> </w:t>
      </w:r>
      <w:r w:rsidR="006C6E49">
        <w:t xml:space="preserve">follow and/or </w:t>
      </w:r>
      <w:r w:rsidR="00611B62">
        <w:t>the spread)</w:t>
      </w:r>
      <w:r w:rsidR="008C3BE5">
        <w:t xml:space="preserve">. It would also be </w:t>
      </w:r>
      <w:r w:rsidR="00C078AD" w:rsidRPr="00C078AD">
        <w:t>overindulgen</w:t>
      </w:r>
      <w:r w:rsidR="00DD002D">
        <w:t>t</w:t>
      </w:r>
      <w:r w:rsidR="008C3BE5">
        <w:t>, as</w:t>
      </w:r>
      <w:r w:rsidR="00611B62">
        <w:t xml:space="preserve"> </w:t>
      </w:r>
      <w:r w:rsidR="008C3BE5">
        <w:t>t</w:t>
      </w:r>
      <w:r w:rsidR="00611B62">
        <w:t xml:space="preserve">he mathematics of </w:t>
      </w:r>
      <w:r w:rsidR="00DD002D">
        <w:t>the</w:t>
      </w:r>
      <w:r w:rsidR="00611B62">
        <w:t xml:space="preserve"> model are straightforward</w:t>
      </w:r>
      <w:r w:rsidR="006C6E49">
        <w:t xml:space="preserve"> –</w:t>
      </w:r>
      <w:r w:rsidR="00E037C6">
        <w:t xml:space="preserve"> </w:t>
      </w:r>
      <w:r w:rsidR="006C6E49">
        <w:t xml:space="preserve">there are </w:t>
      </w:r>
      <w:r w:rsidR="00611B62">
        <w:t xml:space="preserve">no </w:t>
      </w:r>
      <w:r w:rsidR="00DD002D">
        <w:t>significant</w:t>
      </w:r>
      <w:r w:rsidR="00611B62">
        <w:t xml:space="preserve"> </w:t>
      </w:r>
      <w:r w:rsidR="006C6E49">
        <w:t>interactions in between parameters</w:t>
      </w:r>
      <w:r w:rsidR="008C1A72">
        <w:t>,</w:t>
      </w:r>
      <w:r w:rsidR="006C6E49">
        <w:t xml:space="preserve"> </w:t>
      </w:r>
      <w:r w:rsidR="008C1A72">
        <w:t>n</w:t>
      </w:r>
      <w:r w:rsidR="006C6E49">
        <w:t xml:space="preserve">or </w:t>
      </w:r>
      <w:r w:rsidR="00DD002D">
        <w:t xml:space="preserve">any complex </w:t>
      </w:r>
      <w:r w:rsidR="00611B62">
        <w:t>nonlinearities</w:t>
      </w:r>
      <w:r w:rsidR="00675F73">
        <w:t>.</w:t>
      </w:r>
    </w:p>
    <w:p w14:paraId="6E7F0674" w14:textId="4FBAB403" w:rsidR="003F052B" w:rsidRDefault="00675F73" w:rsidP="00D711FA">
      <w:r>
        <w:t>W</w:t>
      </w:r>
      <w:r w:rsidR="00611B62">
        <w:t>e</w:t>
      </w:r>
      <w:r>
        <w:t xml:space="preserve"> therefore</w:t>
      </w:r>
      <w:r w:rsidR="00611B62">
        <w:t xml:space="preserve"> perform a simple sensitivity analysis instead.</w:t>
      </w:r>
      <w:r>
        <w:t xml:space="preserve"> This involves </w:t>
      </w:r>
      <w:r w:rsidR="00DD1475">
        <w:t>(</w:t>
      </w:r>
      <w:proofErr w:type="spellStart"/>
      <w:r w:rsidR="00DD1475">
        <w:t>i</w:t>
      </w:r>
      <w:proofErr w:type="spellEnd"/>
      <w:r w:rsidR="00DD1475">
        <w:t xml:space="preserve">) </w:t>
      </w:r>
      <w:r>
        <w:t xml:space="preserve">selecting a list of key parameters, </w:t>
      </w:r>
      <w:r w:rsidR="00DD1475">
        <w:t xml:space="preserve">(ii) </w:t>
      </w:r>
      <w:r w:rsidR="009C656B">
        <w:t>perturbing</w:t>
      </w:r>
      <w:r>
        <w:t xml:space="preserve"> each individually</w:t>
      </w:r>
      <w:r w:rsidR="00DD1475">
        <w:t xml:space="preserve">, </w:t>
      </w:r>
      <w:r w:rsidR="00274033">
        <w:t>by a</w:t>
      </w:r>
      <w:r w:rsidR="00DD1475">
        <w:t xml:space="preserve"> </w:t>
      </w:r>
      <w:r w:rsidR="009C656B">
        <w:t xml:space="preserve">magnitude </w:t>
      </w:r>
      <w:r w:rsidR="00DD1475">
        <w:t xml:space="preserve">based </w:t>
      </w:r>
      <w:r w:rsidR="00274033">
        <w:t xml:space="preserve">either </w:t>
      </w:r>
      <w:r w:rsidR="00DD1475">
        <w:t xml:space="preserve">upon </w:t>
      </w:r>
      <w:r w:rsidR="002E3F5E">
        <w:t>literature,</w:t>
      </w:r>
      <w:r w:rsidR="00DD1475">
        <w:t xml:space="preserve"> or specified using the authors</w:t>
      </w:r>
      <w:r w:rsidR="00274033">
        <w:t>’</w:t>
      </w:r>
      <w:r w:rsidR="00DD1475">
        <w:t xml:space="preserve"> judgement</w:t>
      </w:r>
      <w:r>
        <w:t xml:space="preserve">, and </w:t>
      </w:r>
      <w:r w:rsidR="00DD1475">
        <w:t xml:space="preserve">(iii) </w:t>
      </w:r>
      <w:r>
        <w:t>finally</w:t>
      </w:r>
      <w:r w:rsidR="00DD1475">
        <w:t>, for each decent living sector,</w:t>
      </w:r>
      <w:r>
        <w:t xml:space="preserve"> applying </w:t>
      </w:r>
      <w:r w:rsidR="00DD1475">
        <w:t xml:space="preserve">all </w:t>
      </w:r>
      <w:r>
        <w:t xml:space="preserve">perturbations together. </w:t>
      </w:r>
      <w:r w:rsidR="00DD1475">
        <w:t xml:space="preserve">Typically, </w:t>
      </w:r>
      <w:r>
        <w:t xml:space="preserve">we only </w:t>
      </w:r>
      <w:r w:rsidR="00520C7A">
        <w:t>shift</w:t>
      </w:r>
      <w:r>
        <w:t xml:space="preserve"> </w:t>
      </w:r>
      <w:r w:rsidR="009C656B">
        <w:t xml:space="preserve">the </w:t>
      </w:r>
      <w:r>
        <w:t>parameters in one direction</w:t>
      </w:r>
      <w:r w:rsidR="009C656B">
        <w:t>,</w:t>
      </w:r>
      <w:r>
        <w:t xml:space="preserve"> i.e. that which increases energy use</w:t>
      </w:r>
      <w:r w:rsidR="009C656B">
        <w:t>;</w:t>
      </w:r>
      <w:r>
        <w:t xml:space="preserve"> </w:t>
      </w:r>
      <w:r w:rsidR="00DD1475">
        <w:t xml:space="preserve">this is because </w:t>
      </w:r>
      <w:r w:rsidR="006A3314">
        <w:t xml:space="preserve">parameters </w:t>
      </w:r>
      <w:r w:rsidR="002E3F5E">
        <w:t xml:space="preserve">in our model </w:t>
      </w:r>
      <w:r w:rsidR="00B2226D">
        <w:t>are</w:t>
      </w:r>
      <w:r w:rsidR="006A3314">
        <w:t xml:space="preserve"> already set </w:t>
      </w:r>
      <w:r w:rsidR="002E3F5E">
        <w:t>to be a low as seems</w:t>
      </w:r>
      <w:r w:rsidR="006A3314">
        <w:t xml:space="preserve"> reasonable</w:t>
      </w:r>
      <w:r w:rsidR="00E037C6">
        <w:t>,</w:t>
      </w:r>
      <w:r w:rsidR="00E037C6" w:rsidRPr="00E037C6">
        <w:t xml:space="preserve"> </w:t>
      </w:r>
      <w:r w:rsidR="002E3F5E">
        <w:t>given</w:t>
      </w:r>
      <w:r w:rsidR="00E037C6">
        <w:t xml:space="preserve"> our intention to </w:t>
      </w:r>
      <w:r w:rsidR="005F042D">
        <w:t>estimate minimal</w:t>
      </w:r>
      <w:r w:rsidR="00E037C6">
        <w:t xml:space="preserve"> energy use</w:t>
      </w:r>
      <w:r w:rsidR="005F042D">
        <w:t xml:space="preserve"> for decent living</w:t>
      </w:r>
      <w:r w:rsidR="006A3314">
        <w:t>.</w:t>
      </w:r>
      <w:r w:rsidR="00A36753">
        <w:t xml:space="preserve"> </w:t>
      </w:r>
      <w:r w:rsidR="00546DB6">
        <w:t xml:space="preserve">Specific details of parameters changes are detailed in </w:t>
      </w:r>
      <w:r w:rsidR="00471003">
        <w:t>Table S1</w:t>
      </w:r>
      <w:r w:rsidR="00BD28D6">
        <w:t>1</w:t>
      </w:r>
      <w:r w:rsidR="00546DB6">
        <w:t>, and r</w:t>
      </w:r>
      <w:r w:rsidR="00A36753">
        <w:t>esults shown in Figure 7.</w:t>
      </w:r>
    </w:p>
    <w:p w14:paraId="09A77B8B" w14:textId="21B943F8" w:rsidR="00E24043" w:rsidRDefault="006C6E49" w:rsidP="00105120">
      <w:r>
        <w:t>One of the first things that can be gathered from Figure</w:t>
      </w:r>
      <w:r w:rsidR="00E24043">
        <w:t xml:space="preserve"> 7 is that total final energy use has very little sensitivity to </w:t>
      </w:r>
      <w:r>
        <w:t xml:space="preserve">parameter changes in </w:t>
      </w:r>
      <w:r w:rsidR="00DD002D">
        <w:t xml:space="preserve">either </w:t>
      </w:r>
      <w:r>
        <w:t xml:space="preserve">the </w:t>
      </w:r>
      <w:r>
        <w:rPr>
          <w:i/>
        </w:rPr>
        <w:t>clothing</w:t>
      </w:r>
      <w:r>
        <w:t xml:space="preserve"> and </w:t>
      </w:r>
      <w:r>
        <w:rPr>
          <w:i/>
        </w:rPr>
        <w:t>communication</w:t>
      </w:r>
      <w:r>
        <w:t xml:space="preserve"> </w:t>
      </w:r>
      <w:r w:rsidR="00DD002D">
        <w:t>or</w:t>
      </w:r>
      <w:r>
        <w:rPr>
          <w:i/>
        </w:rPr>
        <w:t xml:space="preserve"> information </w:t>
      </w:r>
      <w:r>
        <w:t>sectors</w:t>
      </w:r>
      <w:r w:rsidR="00DF1083">
        <w:t>.</w:t>
      </w:r>
      <w:r>
        <w:t xml:space="preserve"> </w:t>
      </w:r>
      <w:r w:rsidR="00DF1083">
        <w:t>T</w:t>
      </w:r>
      <w:r>
        <w:t xml:space="preserve">he </w:t>
      </w:r>
      <w:r w:rsidR="00933733">
        <w:t xml:space="preserve">significant </w:t>
      </w:r>
      <w:r>
        <w:t xml:space="preserve">perturbations </w:t>
      </w:r>
      <w:r w:rsidR="00DD002D">
        <w:t>we make</w:t>
      </w:r>
      <w:r w:rsidR="00933733">
        <w:t xml:space="preserve"> </w:t>
      </w:r>
      <w:r>
        <w:t>to energy intensities</w:t>
      </w:r>
      <w:r w:rsidR="00C70343">
        <w:t xml:space="preserve"> of the latter, and</w:t>
      </w:r>
      <w:r>
        <w:t xml:space="preserve"> </w:t>
      </w:r>
      <w:r w:rsidR="00933733">
        <w:t xml:space="preserve">clothing lifetimes and washing frequencies </w:t>
      </w:r>
      <w:r w:rsidR="00C70343">
        <w:t xml:space="preserve">for the former, </w:t>
      </w:r>
      <w:r w:rsidR="00933733">
        <w:t>have very little effect on overall final energy use</w:t>
      </w:r>
      <w:r w:rsidR="00DF1083">
        <w:t xml:space="preserve"> –</w:t>
      </w:r>
      <w:r w:rsidR="00DD002D">
        <w:t xml:space="preserve"> </w:t>
      </w:r>
      <w:r w:rsidR="00DF1083">
        <w:t>for the simple reason that these sectors contribute little to total energy use</w:t>
      </w:r>
      <w:r w:rsidR="00933733">
        <w:t xml:space="preserve">. </w:t>
      </w:r>
      <w:r w:rsidR="00E24043">
        <w:t>Similarly</w:t>
      </w:r>
      <w:r w:rsidR="00DD05D2">
        <w:t xml:space="preserve"> – and for the same reason –</w:t>
      </w:r>
      <w:r w:rsidR="00E24043">
        <w:t xml:space="preserve"> total energy use has little sensitivity </w:t>
      </w:r>
      <w:r w:rsidR="00933733">
        <w:t xml:space="preserve">to the energy intensity of </w:t>
      </w:r>
      <w:r w:rsidR="00933733" w:rsidRPr="00DD05D2">
        <w:rPr>
          <w:i/>
        </w:rPr>
        <w:t>power supply</w:t>
      </w:r>
      <w:r w:rsidR="00933733">
        <w:t xml:space="preserve"> infrastructure.</w:t>
      </w:r>
    </w:p>
    <w:p w14:paraId="39700E7B" w14:textId="77777777" w:rsidR="00620F59" w:rsidRDefault="005B1649" w:rsidP="00105120">
      <w:r>
        <w:t xml:space="preserve">Across the remaining four sectors – </w:t>
      </w:r>
      <w:r>
        <w:rPr>
          <w:i/>
        </w:rPr>
        <w:t>shelter and living</w:t>
      </w:r>
      <w:r>
        <w:t xml:space="preserve">, </w:t>
      </w:r>
      <w:r w:rsidRPr="005B1649">
        <w:rPr>
          <w:i/>
        </w:rPr>
        <w:t>nutrition</w:t>
      </w:r>
      <w:r>
        <w:t xml:space="preserve">, </w:t>
      </w:r>
      <w:r w:rsidRPr="005B1649">
        <w:rPr>
          <w:i/>
        </w:rPr>
        <w:t>mobility</w:t>
      </w:r>
      <w:r>
        <w:t xml:space="preserve"> and </w:t>
      </w:r>
      <w:r>
        <w:rPr>
          <w:i/>
        </w:rPr>
        <w:t>public and commercial services</w:t>
      </w:r>
      <w:r>
        <w:rPr>
          <w:i/>
        </w:rPr>
        <w:softHyphen/>
      </w:r>
      <w:r w:rsidRPr="005B1649">
        <w:t xml:space="preserve"> –</w:t>
      </w:r>
      <w:r>
        <w:t xml:space="preserve"> the model’s sensitivity to the</w:t>
      </w:r>
      <w:r w:rsidR="00E24043">
        <w:t xml:space="preserve"> </w:t>
      </w:r>
      <w:r>
        <w:t xml:space="preserve">key </w:t>
      </w:r>
      <w:r w:rsidR="00E24043" w:rsidRPr="00620F59">
        <w:t>individual</w:t>
      </w:r>
      <w:r w:rsidR="00E24043">
        <w:t xml:space="preserve"> </w:t>
      </w:r>
      <w:r>
        <w:t xml:space="preserve">parameters is broadly similar, with three exceptions: </w:t>
      </w:r>
      <w:r w:rsidRPr="00E24043">
        <w:rPr>
          <w:i/>
        </w:rPr>
        <w:t>lighting</w:t>
      </w:r>
      <w:r>
        <w:t xml:space="preserve">, the fraction of </w:t>
      </w:r>
      <w:r w:rsidRPr="00E24043">
        <w:rPr>
          <w:i/>
        </w:rPr>
        <w:t>food intake cooked</w:t>
      </w:r>
      <w:r>
        <w:t xml:space="preserve">, and the energy intensity of </w:t>
      </w:r>
      <w:r w:rsidRPr="00E24043">
        <w:rPr>
          <w:i/>
        </w:rPr>
        <w:t>waste management</w:t>
      </w:r>
      <w:r w:rsidR="00E24043">
        <w:t xml:space="preserve">. Significant </w:t>
      </w:r>
      <w:r w:rsidR="00620F59">
        <w:t>perturbations</w:t>
      </w:r>
      <w:r w:rsidR="00E24043">
        <w:t xml:space="preserve"> to the parameters </w:t>
      </w:r>
      <w:r w:rsidR="00C70343">
        <w:t xml:space="preserve">in these </w:t>
      </w:r>
      <w:r w:rsidR="00E24043">
        <w:t xml:space="preserve">three </w:t>
      </w:r>
      <w:r w:rsidR="00C70343">
        <w:t>cases</w:t>
      </w:r>
      <w:r w:rsidR="00E24043">
        <w:t xml:space="preserve"> changes total final energy use by only 1-2%. </w:t>
      </w:r>
    </w:p>
    <w:p w14:paraId="0E5BBB0A" w14:textId="5C0EA8D6" w:rsidR="00F07B07" w:rsidRDefault="00C70343" w:rsidP="00105120">
      <w:r>
        <w:t xml:space="preserve">With respect to overall decent living sectors, the model appears most sensitive to changes in the </w:t>
      </w:r>
      <w:r w:rsidR="00E24043">
        <w:rPr>
          <w:i/>
        </w:rPr>
        <w:t>shelter and living</w:t>
      </w:r>
      <w:r w:rsidR="00E24043">
        <w:t xml:space="preserve"> and </w:t>
      </w:r>
      <w:r w:rsidR="00E24043">
        <w:rPr>
          <w:i/>
        </w:rPr>
        <w:t>public and commercial services</w:t>
      </w:r>
      <w:r w:rsidR="00E24043">
        <w:rPr>
          <w:i/>
        </w:rPr>
        <w:softHyphen/>
      </w:r>
      <w:r w:rsidR="00E24043">
        <w:t xml:space="preserve"> sectors</w:t>
      </w:r>
      <w:r>
        <w:t>.</w:t>
      </w:r>
      <w:r w:rsidR="00E24043">
        <w:t xml:space="preserve"> </w:t>
      </w:r>
      <w:r>
        <w:t xml:space="preserve">Cumulatively, </w:t>
      </w:r>
      <w:r w:rsidR="00512059">
        <w:t>t</w:t>
      </w:r>
      <w:r w:rsidR="00E24043">
        <w:t xml:space="preserve">otal global final energy use increases to </w:t>
      </w:r>
      <w:r w:rsidR="00DD002D">
        <w:t>26-27</w:t>
      </w:r>
      <w:r w:rsidR="00E24043">
        <w:t xml:space="preserve"> GJ/cap</w:t>
      </w:r>
      <w:r w:rsidR="00512059">
        <w:t>, in both cases</w:t>
      </w:r>
      <w:r w:rsidR="00DD002D">
        <w:t>, while</w:t>
      </w:r>
      <w:r w:rsidR="00512059">
        <w:t xml:space="preserve"> </w:t>
      </w:r>
      <w:r w:rsidR="00DD002D">
        <w:t>f</w:t>
      </w:r>
      <w:r w:rsidR="00512059">
        <w:t xml:space="preserve">or </w:t>
      </w:r>
      <w:r w:rsidR="00512059" w:rsidRPr="005B1649">
        <w:rPr>
          <w:i/>
        </w:rPr>
        <w:t>nutrition</w:t>
      </w:r>
      <w:r w:rsidR="00512059">
        <w:t xml:space="preserve"> and </w:t>
      </w:r>
      <w:r w:rsidR="00512059" w:rsidRPr="005B1649">
        <w:rPr>
          <w:i/>
        </w:rPr>
        <w:t>mobility</w:t>
      </w:r>
      <w:r w:rsidR="00512059">
        <w:t xml:space="preserve">, </w:t>
      </w:r>
      <w:r w:rsidR="00DD002D">
        <w:t xml:space="preserve">it </w:t>
      </w:r>
      <w:r w:rsidR="00512059">
        <w:t xml:space="preserve">increases to </w:t>
      </w:r>
      <w:r w:rsidR="00DD002D">
        <w:t>21-23</w:t>
      </w:r>
      <w:r w:rsidR="00512059">
        <w:t xml:space="preserve"> GJ/cap.</w:t>
      </w:r>
      <w:r w:rsidR="00DF1083">
        <w:t xml:space="preserve"> There are </w:t>
      </w:r>
      <w:r w:rsidR="007B2EA7">
        <w:t>two</w:t>
      </w:r>
      <w:r w:rsidR="00DF1083">
        <w:t xml:space="preserve"> main reasons for this:</w:t>
      </w:r>
    </w:p>
    <w:p w14:paraId="7A593BBA" w14:textId="7A0E0FB2" w:rsidR="00DF1083" w:rsidRDefault="00DF1083" w:rsidP="00DF1083">
      <w:pPr>
        <w:pStyle w:val="ListParagraph"/>
        <w:numPr>
          <w:ilvl w:val="0"/>
          <w:numId w:val="18"/>
        </w:numPr>
        <w:ind w:left="426" w:hanging="283"/>
      </w:pPr>
      <w:r>
        <w:t>Within the</w:t>
      </w:r>
      <w:r w:rsidRPr="00DF1083">
        <w:rPr>
          <w:i/>
        </w:rPr>
        <w:t xml:space="preserve"> </w:t>
      </w:r>
      <w:r>
        <w:rPr>
          <w:i/>
        </w:rPr>
        <w:t>shelter and living</w:t>
      </w:r>
      <w:r>
        <w:t xml:space="preserve"> and </w:t>
      </w:r>
      <w:r>
        <w:rPr>
          <w:i/>
        </w:rPr>
        <w:t>public and commercial services</w:t>
      </w:r>
      <w:r>
        <w:rPr>
          <w:i/>
        </w:rPr>
        <w:softHyphen/>
      </w:r>
      <w:r>
        <w:t xml:space="preserve"> sectors, the key parameters we test for sensitivity have </w:t>
      </w:r>
      <w:r w:rsidR="00DD002D">
        <w:t>various</w:t>
      </w:r>
      <w:r>
        <w:t xml:space="preserve"> multiplicative affects, e.g. when we simultaneously increase the energy intensity of </w:t>
      </w:r>
      <w:r w:rsidR="00D06201">
        <w:t xml:space="preserve">both </w:t>
      </w:r>
      <w:r>
        <w:t xml:space="preserve">heating and cooling and floor space per capita, and </w:t>
      </w:r>
      <w:r w:rsidR="00D06201">
        <w:t xml:space="preserve">also </w:t>
      </w:r>
      <w:r>
        <w:t xml:space="preserve">decrease household size, the increases in energy use are much more than a simple sum of the effects of each individual change. This is not to say there are no multiplicative interactions between the key parameters tested in the </w:t>
      </w:r>
      <w:r w:rsidRPr="005B1649">
        <w:rPr>
          <w:i/>
        </w:rPr>
        <w:t>nutrition</w:t>
      </w:r>
      <w:r>
        <w:t xml:space="preserve"> and </w:t>
      </w:r>
      <w:r w:rsidRPr="005B1649">
        <w:rPr>
          <w:i/>
        </w:rPr>
        <w:t>mobility</w:t>
      </w:r>
      <w:r>
        <w:t xml:space="preserve"> sectors, only that there are </w:t>
      </w:r>
      <w:r w:rsidR="00142127">
        <w:t>fewer</w:t>
      </w:r>
      <w:r>
        <w:t xml:space="preserve"> of them.</w:t>
      </w:r>
    </w:p>
    <w:p w14:paraId="5121E054" w14:textId="3BC74DB9" w:rsidR="00DF1083" w:rsidRDefault="00DF1083" w:rsidP="00DF1083">
      <w:pPr>
        <w:pStyle w:val="ListParagraph"/>
        <w:numPr>
          <w:ilvl w:val="0"/>
          <w:numId w:val="18"/>
        </w:numPr>
        <w:ind w:left="426" w:hanging="283"/>
      </w:pPr>
      <w:r>
        <w:t xml:space="preserve">Relatedly, </w:t>
      </w:r>
      <w:r w:rsidR="00D06201">
        <w:t xml:space="preserve">we </w:t>
      </w:r>
      <w:r>
        <w:t xml:space="preserve">increase activity-levels </w:t>
      </w:r>
      <w:r w:rsidR="00DD002D">
        <w:t xml:space="preserve">in </w:t>
      </w:r>
      <w:r w:rsidR="00D06201">
        <w:t xml:space="preserve">the sensitivity test more significantly for </w:t>
      </w:r>
      <w:r>
        <w:t xml:space="preserve">the </w:t>
      </w:r>
      <w:r>
        <w:rPr>
          <w:i/>
        </w:rPr>
        <w:t>shelter and living</w:t>
      </w:r>
      <w:r>
        <w:t xml:space="preserve"> and </w:t>
      </w:r>
      <w:r>
        <w:rPr>
          <w:i/>
        </w:rPr>
        <w:t>public and commercial services</w:t>
      </w:r>
      <w:r>
        <w:rPr>
          <w:i/>
        </w:rPr>
        <w:softHyphen/>
      </w:r>
      <w:r>
        <w:t xml:space="preserve"> sectors, </w:t>
      </w:r>
      <w:r w:rsidR="00D06201">
        <w:t xml:space="preserve">than </w:t>
      </w:r>
      <w:r w:rsidR="00DD002D">
        <w:t xml:space="preserve">for </w:t>
      </w:r>
      <w:r w:rsidR="00D06201">
        <w:t>the</w:t>
      </w:r>
      <w:r>
        <w:t xml:space="preserve"> </w:t>
      </w:r>
      <w:r w:rsidRPr="005B1649">
        <w:rPr>
          <w:i/>
        </w:rPr>
        <w:t>nutrition</w:t>
      </w:r>
      <w:r>
        <w:t xml:space="preserve"> and </w:t>
      </w:r>
      <w:r w:rsidRPr="005B1649">
        <w:rPr>
          <w:i/>
        </w:rPr>
        <w:t>mobility</w:t>
      </w:r>
      <w:r>
        <w:t xml:space="preserve"> sectors.</w:t>
      </w:r>
      <w:r w:rsidR="00D06201">
        <w:t xml:space="preserve"> This is because activity levels for the latter two are, arguably, more satiable – if someone’s income were to </w:t>
      </w:r>
      <w:r w:rsidR="00DD002D">
        <w:t>increase five-fold</w:t>
      </w:r>
      <w:r w:rsidR="00D06201">
        <w:t xml:space="preserve">, </w:t>
      </w:r>
      <w:r w:rsidR="00DD002D">
        <w:t xml:space="preserve">it’s conceivable that they’d </w:t>
      </w:r>
      <w:r w:rsidR="00D06201">
        <w:t xml:space="preserve">move into a house </w:t>
      </w:r>
      <w:r w:rsidR="00DD002D">
        <w:t>five</w:t>
      </w:r>
      <w:r w:rsidR="00D06201">
        <w:t xml:space="preserve"> times larger, but they’d be very unlikely to increase their calorie intake to </w:t>
      </w:r>
      <w:r w:rsidR="00DD002D">
        <w:t>12</w:t>
      </w:r>
      <w:r w:rsidR="00D06201">
        <w:t>,500</w:t>
      </w:r>
      <w:r w:rsidR="00DD002D">
        <w:t xml:space="preserve"> kcal/</w:t>
      </w:r>
      <w:r w:rsidR="00D06201">
        <w:t>day.</w:t>
      </w:r>
    </w:p>
    <w:p w14:paraId="592294F1" w14:textId="465EF1BE" w:rsidR="00F07B07" w:rsidRDefault="008C1A72" w:rsidP="008C1A72">
      <w:r>
        <w:t>It is difficult to draw further specific conclusions</w:t>
      </w:r>
      <w:r w:rsidR="00233C8F">
        <w:t xml:space="preserve"> from this sensitivity analysis – the interested reader will have to carefully examine Figure 7 and our assumptions detailed in </w:t>
      </w:r>
      <w:r w:rsidR="00471003">
        <w:t>Table S1</w:t>
      </w:r>
      <w:r w:rsidR="0074309A">
        <w:t>1</w:t>
      </w:r>
      <w:r w:rsidR="00233C8F">
        <w:t>, and make of this what they will.</w:t>
      </w:r>
      <w:r>
        <w:t xml:space="preserve"> </w:t>
      </w:r>
      <w:r w:rsidR="00233C8F">
        <w:t xml:space="preserve">However, we can say </w:t>
      </w:r>
      <w:r>
        <w:t xml:space="preserve">that the main conclusions of our work appear sound. </w:t>
      </w:r>
      <w:r w:rsidR="00DD002D">
        <w:t>If</w:t>
      </w:r>
      <w:r>
        <w:t xml:space="preserve"> it turned out </w:t>
      </w:r>
      <w:r w:rsidR="00DD002D">
        <w:t>that we’</w:t>
      </w:r>
      <w:r>
        <w:t xml:space="preserve">d been optimistic with our central DLE assumptions, </w:t>
      </w:r>
      <w:r w:rsidR="004603E6">
        <w:t xml:space="preserve">we could shift </w:t>
      </w:r>
      <w:r w:rsidR="007A30B6" w:rsidRPr="007A30B6">
        <w:rPr>
          <w:i/>
        </w:rPr>
        <w:t>every</w:t>
      </w:r>
      <w:r w:rsidR="007A30B6">
        <w:t xml:space="preserve"> one of the </w:t>
      </w:r>
      <w:r>
        <w:lastRenderedPageBreak/>
        <w:t xml:space="preserve">inputs </w:t>
      </w:r>
      <w:r w:rsidR="007A30B6">
        <w:t xml:space="preserve">detailed in </w:t>
      </w:r>
      <w:r w:rsidR="00471003">
        <w:t>Table S1</w:t>
      </w:r>
      <w:r w:rsidR="0074309A">
        <w:t>1</w:t>
      </w:r>
      <w:r w:rsidR="007A30B6">
        <w:t xml:space="preserve"> halfway towards </w:t>
      </w:r>
      <w:r>
        <w:t xml:space="preserve">the high-energy values </w:t>
      </w:r>
      <w:r w:rsidR="004603E6">
        <w:t xml:space="preserve">and </w:t>
      </w:r>
      <w:r>
        <w:t xml:space="preserve">global final energy consumption in 2050 </w:t>
      </w:r>
      <w:r w:rsidR="004603E6">
        <w:t>would remain under</w:t>
      </w:r>
      <w:r>
        <w:t xml:space="preserve"> </w:t>
      </w:r>
      <w:r w:rsidR="007A30B6">
        <w:t>300 EJ</w:t>
      </w:r>
      <w:r>
        <w:t>. This is a significant change, n</w:t>
      </w:r>
      <w:r w:rsidR="00233C8F">
        <w:t>o doubt.</w:t>
      </w:r>
      <w:r>
        <w:t xml:space="preserve"> </w:t>
      </w:r>
      <w:r w:rsidR="00233C8F">
        <w:t>Y</w:t>
      </w:r>
      <w:r>
        <w:t>et it still implies that global energy use in 2050 could be reduced to</w:t>
      </w:r>
      <w:r w:rsidR="000B7CF3">
        <w:t xml:space="preserve"> below</w:t>
      </w:r>
      <w:r>
        <w:t xml:space="preserve"> 2000 levels – </w:t>
      </w:r>
      <w:r w:rsidR="000B7CF3">
        <w:t xml:space="preserve">thus </w:t>
      </w:r>
      <w:r>
        <w:t xml:space="preserve">well under even the most optimistic </w:t>
      </w:r>
      <w:r w:rsidR="00233C8F">
        <w:t xml:space="preserve">mitigation </w:t>
      </w:r>
      <w:r>
        <w:t xml:space="preserve">scenario </w:t>
      </w:r>
      <w:r w:rsidR="000B7CF3">
        <w:t xml:space="preserve">of the IEA </w:t>
      </w:r>
      <w:r>
        <w:t>– while providing decent living standards universally to a population of nearly 10 billion people across the world.</w:t>
      </w:r>
      <w:r w:rsidR="00233C8F">
        <w:t xml:space="preserve"> Avoiding ecological collapse and alleviating global poverty are not, it seems, incompatible aspirations (at least</w:t>
      </w:r>
      <w:r w:rsidR="008B7404">
        <w:t>,</w:t>
      </w:r>
      <w:r w:rsidR="00233C8F">
        <w:t xml:space="preserve"> in theory).</w:t>
      </w:r>
    </w:p>
    <w:p w14:paraId="4DAEB515" w14:textId="0CC2DD7B" w:rsidR="00DD002D" w:rsidRPr="00620F59" w:rsidRDefault="00DD002D" w:rsidP="008C1A72">
      <w:pPr>
        <w:rPr>
          <w:sz w:val="40"/>
        </w:rPr>
      </w:pPr>
    </w:p>
    <w:p w14:paraId="545A8172" w14:textId="09169168" w:rsidR="00AB6F59" w:rsidRDefault="00430727" w:rsidP="00AB6F59">
      <w:pPr>
        <w:jc w:val="center"/>
        <w:rPr>
          <w:b/>
        </w:rPr>
      </w:pPr>
      <w:r w:rsidRPr="00430727">
        <w:rPr>
          <w:noProof/>
          <w:lang w:eastAsia="en-GB"/>
        </w:rPr>
        <w:drawing>
          <wp:inline distT="0" distB="0" distL="0" distR="0" wp14:anchorId="312D6ED7" wp14:editId="3C02C8DD">
            <wp:extent cx="5220000" cy="67533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0000" cy="6753376"/>
                    </a:xfrm>
                    <a:prstGeom prst="rect">
                      <a:avLst/>
                    </a:prstGeom>
                    <a:noFill/>
                    <a:ln>
                      <a:noFill/>
                    </a:ln>
                  </pic:spPr>
                </pic:pic>
              </a:graphicData>
            </a:graphic>
          </wp:inline>
        </w:drawing>
      </w:r>
      <w:r w:rsidR="00AB6F59" w:rsidRPr="00DE3F22">
        <w:rPr>
          <w:b/>
        </w:rPr>
        <w:t xml:space="preserve"> </w:t>
      </w:r>
    </w:p>
    <w:p w14:paraId="2F24C7C2" w14:textId="77777777" w:rsidR="00AB6F59" w:rsidRDefault="00AB6F59" w:rsidP="00430727">
      <w:pPr>
        <w:pStyle w:val="NoSpacing"/>
      </w:pPr>
    </w:p>
    <w:p w14:paraId="48742007" w14:textId="0072D6B3" w:rsidR="00AF6AE0" w:rsidRDefault="00AB6F59" w:rsidP="00105120">
      <w:pPr>
        <w:rPr>
          <w:rFonts w:asciiTheme="majorHAnsi" w:eastAsiaTheme="majorEastAsia" w:hAnsiTheme="majorHAnsi" w:cstheme="majorBidi"/>
          <w:b/>
          <w:sz w:val="36"/>
          <w:szCs w:val="32"/>
        </w:rPr>
      </w:pPr>
      <w:r w:rsidRPr="00105120">
        <w:rPr>
          <w:b/>
          <w:sz w:val="24"/>
        </w:rPr>
        <w:t xml:space="preserve">Figure 7: </w:t>
      </w:r>
      <w:r w:rsidRPr="00105120">
        <w:rPr>
          <w:sz w:val="24"/>
        </w:rPr>
        <w:t xml:space="preserve"> Global final energy use per capita</w:t>
      </w:r>
      <w:r w:rsidR="00E24043">
        <w:rPr>
          <w:sz w:val="24"/>
        </w:rPr>
        <w:t xml:space="preserve"> in 2050</w:t>
      </w:r>
      <w:r w:rsidRPr="00105120">
        <w:rPr>
          <w:sz w:val="24"/>
        </w:rPr>
        <w:t>, with parameter perturbations applied individually, and</w:t>
      </w:r>
      <w:r w:rsidR="0028498F">
        <w:rPr>
          <w:sz w:val="24"/>
        </w:rPr>
        <w:t xml:space="preserve"> then together sector-by-</w:t>
      </w:r>
      <w:r w:rsidRPr="00105120">
        <w:rPr>
          <w:sz w:val="24"/>
        </w:rPr>
        <w:t>sector (</w:t>
      </w:r>
      <w:r w:rsidR="000A0D7B">
        <w:rPr>
          <w:sz w:val="24"/>
        </w:rPr>
        <w:t>named</w:t>
      </w:r>
      <w:r w:rsidRPr="00105120">
        <w:rPr>
          <w:sz w:val="24"/>
        </w:rPr>
        <w:t xml:space="preserve"> </w:t>
      </w:r>
      <w:r w:rsidRPr="00105120">
        <w:rPr>
          <w:i/>
          <w:sz w:val="24"/>
        </w:rPr>
        <w:t>all applied</w:t>
      </w:r>
      <w:r w:rsidR="000A0D7B">
        <w:rPr>
          <w:sz w:val="24"/>
        </w:rPr>
        <w:t xml:space="preserve"> in each case</w:t>
      </w:r>
      <w:r w:rsidRPr="00105120">
        <w:rPr>
          <w:sz w:val="24"/>
        </w:rPr>
        <w:t>).</w:t>
      </w:r>
      <w:r w:rsidR="00AF6AE0">
        <w:br w:type="page"/>
      </w:r>
    </w:p>
    <w:p w14:paraId="560F2A76" w14:textId="77777777" w:rsidR="00F82660" w:rsidRDefault="00F82660" w:rsidP="00F54183">
      <w:pPr>
        <w:pStyle w:val="Heading1"/>
        <w:spacing w:after="120"/>
        <w:sectPr w:rsidR="00F82660" w:rsidSect="00457377">
          <w:footerReference w:type="default" r:id="rId15"/>
          <w:footnotePr>
            <w:numFmt w:val="lowerRoman"/>
          </w:footnotePr>
          <w:pgSz w:w="11906" w:h="16838"/>
          <w:pgMar w:top="1077" w:right="1440" w:bottom="1077" w:left="1440" w:header="709" w:footer="709" w:gutter="0"/>
          <w:cols w:space="708"/>
          <w:docGrid w:linePitch="360"/>
        </w:sectPr>
      </w:pPr>
    </w:p>
    <w:p w14:paraId="64356D45" w14:textId="2C5CABFC" w:rsidR="00F82660" w:rsidRDefault="00471003" w:rsidP="00F82660">
      <w:r>
        <w:rPr>
          <w:b/>
        </w:rPr>
        <w:lastRenderedPageBreak/>
        <w:t>Table S1</w:t>
      </w:r>
      <w:r w:rsidR="00BD28D6">
        <w:rPr>
          <w:b/>
        </w:rPr>
        <w:t>1</w:t>
      </w:r>
      <w:r w:rsidR="00F82660" w:rsidRPr="00F82660">
        <w:rPr>
          <w:b/>
        </w:rPr>
        <w:t>:</w:t>
      </w:r>
      <w:r w:rsidR="001900C3">
        <w:t xml:space="preserve">  List of parameters that are tested in the sensitivity analysis, with their default (DLE) values, low values (where applicable), and high values.</w:t>
      </w:r>
    </w:p>
    <w:p w14:paraId="4C8D8C6B" w14:textId="25C369CE" w:rsidR="001900C3" w:rsidRPr="00DA5387" w:rsidRDefault="001900C3" w:rsidP="001900C3">
      <w:pPr>
        <w:pStyle w:val="NoSpacing"/>
        <w:rPr>
          <w:sz w:val="6"/>
        </w:rPr>
      </w:pPr>
    </w:p>
    <w:tbl>
      <w:tblPr>
        <w:tblW w:w="14578" w:type="dxa"/>
        <w:tblInd w:w="108" w:type="dxa"/>
        <w:tblCellMar>
          <w:left w:w="85" w:type="dxa"/>
          <w:right w:w="85" w:type="dxa"/>
        </w:tblCellMar>
        <w:tblLook w:val="04A0" w:firstRow="1" w:lastRow="0" w:firstColumn="1" w:lastColumn="0" w:noHBand="0" w:noVBand="1"/>
      </w:tblPr>
      <w:tblGrid>
        <w:gridCol w:w="3493"/>
        <w:gridCol w:w="1446"/>
        <w:gridCol w:w="1276"/>
        <w:gridCol w:w="1984"/>
        <w:gridCol w:w="6372"/>
        <w:gridCol w:w="7"/>
      </w:tblGrid>
      <w:tr w:rsidR="00430727" w:rsidRPr="00430727" w14:paraId="33C367A0" w14:textId="77777777" w:rsidTr="00745EF9">
        <w:trPr>
          <w:gridAfter w:val="1"/>
          <w:wAfter w:w="7" w:type="dxa"/>
          <w:trHeight w:val="285"/>
        </w:trPr>
        <w:tc>
          <w:tcPr>
            <w:tcW w:w="3493" w:type="dxa"/>
            <w:shd w:val="clear" w:color="000000" w:fill="FFFFFF"/>
            <w:noWrap/>
            <w:vAlign w:val="bottom"/>
            <w:hideMark/>
          </w:tcPr>
          <w:p w14:paraId="74FC5D22" w14:textId="77777777" w:rsidR="00430727" w:rsidRPr="00430727" w:rsidRDefault="00430727" w:rsidP="00430727">
            <w:pPr>
              <w:spacing w:after="0" w:line="240" w:lineRule="auto"/>
              <w:rPr>
                <w:rFonts w:eastAsia="Times New Roman" w:cstheme="minorHAnsi"/>
                <w:color w:val="000000"/>
                <w:sz w:val="20"/>
                <w:szCs w:val="20"/>
                <w:lang w:eastAsia="en-GB"/>
              </w:rPr>
            </w:pPr>
            <w:r w:rsidRPr="00430727">
              <w:rPr>
                <w:rFonts w:eastAsia="Times New Roman" w:cstheme="minorHAnsi"/>
                <w:color w:val="000000"/>
                <w:sz w:val="20"/>
                <w:szCs w:val="20"/>
                <w:lang w:eastAsia="en-GB"/>
              </w:rPr>
              <w:t> </w:t>
            </w:r>
          </w:p>
        </w:tc>
        <w:tc>
          <w:tcPr>
            <w:tcW w:w="4706" w:type="dxa"/>
            <w:gridSpan w:val="3"/>
            <w:shd w:val="clear" w:color="000000" w:fill="000000"/>
            <w:noWrap/>
            <w:vAlign w:val="bottom"/>
            <w:hideMark/>
          </w:tcPr>
          <w:p w14:paraId="108DD50B" w14:textId="77777777" w:rsidR="00430727" w:rsidRPr="00430727" w:rsidRDefault="00430727" w:rsidP="00430727">
            <w:pPr>
              <w:spacing w:after="0" w:line="240" w:lineRule="auto"/>
              <w:rPr>
                <w:rFonts w:eastAsia="Times New Roman" w:cstheme="minorHAnsi"/>
                <w:b/>
                <w:bCs/>
                <w:color w:val="FFFFFF"/>
                <w:sz w:val="21"/>
                <w:szCs w:val="21"/>
                <w:lang w:eastAsia="en-GB"/>
              </w:rPr>
            </w:pPr>
            <w:r w:rsidRPr="00430727">
              <w:rPr>
                <w:rFonts w:eastAsia="Times New Roman" w:cstheme="minorHAnsi"/>
                <w:b/>
                <w:bCs/>
                <w:color w:val="FFFFFF"/>
                <w:sz w:val="21"/>
                <w:szCs w:val="21"/>
                <w:lang w:eastAsia="en-GB"/>
              </w:rPr>
              <w:t>Input parameters</w:t>
            </w:r>
          </w:p>
        </w:tc>
        <w:tc>
          <w:tcPr>
            <w:tcW w:w="6372" w:type="dxa"/>
            <w:shd w:val="clear" w:color="000000" w:fill="404040"/>
            <w:noWrap/>
            <w:vAlign w:val="bottom"/>
            <w:hideMark/>
          </w:tcPr>
          <w:p w14:paraId="2C32CBDB" w14:textId="77777777" w:rsidR="00430727" w:rsidRPr="00430727" w:rsidRDefault="00430727" w:rsidP="00430727">
            <w:pPr>
              <w:spacing w:after="0" w:line="240" w:lineRule="auto"/>
              <w:rPr>
                <w:rFonts w:eastAsia="Times New Roman" w:cstheme="minorHAnsi"/>
                <w:b/>
                <w:bCs/>
                <w:color w:val="FFFFFF"/>
                <w:sz w:val="21"/>
                <w:szCs w:val="21"/>
                <w:lang w:eastAsia="en-GB"/>
              </w:rPr>
            </w:pPr>
            <w:r w:rsidRPr="00430727">
              <w:rPr>
                <w:rFonts w:eastAsia="Times New Roman" w:cstheme="minorHAnsi"/>
                <w:b/>
                <w:bCs/>
                <w:color w:val="FFFFFF"/>
                <w:sz w:val="21"/>
                <w:szCs w:val="21"/>
                <w:lang w:eastAsia="en-GB"/>
              </w:rPr>
              <w:t>Details</w:t>
            </w:r>
          </w:p>
        </w:tc>
      </w:tr>
      <w:tr w:rsidR="00430727" w:rsidRPr="00430727" w14:paraId="4559867E" w14:textId="77777777" w:rsidTr="00745EF9">
        <w:trPr>
          <w:trHeight w:val="255"/>
        </w:trPr>
        <w:tc>
          <w:tcPr>
            <w:tcW w:w="3493" w:type="dxa"/>
            <w:shd w:val="clear" w:color="000000" w:fill="FFFFFF"/>
            <w:noWrap/>
            <w:vAlign w:val="bottom"/>
            <w:hideMark/>
          </w:tcPr>
          <w:p w14:paraId="6A6B4182" w14:textId="77777777" w:rsidR="00430727" w:rsidRPr="00430727" w:rsidRDefault="00430727" w:rsidP="00430727">
            <w:pPr>
              <w:spacing w:after="0" w:line="240" w:lineRule="auto"/>
              <w:rPr>
                <w:rFonts w:eastAsia="Times New Roman" w:cstheme="minorHAnsi"/>
                <w:color w:val="000000"/>
                <w:sz w:val="20"/>
                <w:szCs w:val="20"/>
                <w:lang w:eastAsia="en-GB"/>
              </w:rPr>
            </w:pPr>
            <w:r w:rsidRPr="00430727">
              <w:rPr>
                <w:rFonts w:eastAsia="Times New Roman" w:cstheme="minorHAnsi"/>
                <w:color w:val="000000"/>
                <w:sz w:val="20"/>
                <w:szCs w:val="20"/>
                <w:lang w:eastAsia="en-GB"/>
              </w:rPr>
              <w:t> </w:t>
            </w:r>
          </w:p>
        </w:tc>
        <w:tc>
          <w:tcPr>
            <w:tcW w:w="1446" w:type="dxa"/>
            <w:shd w:val="clear" w:color="000000" w:fill="262626"/>
            <w:noWrap/>
            <w:vAlign w:val="bottom"/>
            <w:hideMark/>
          </w:tcPr>
          <w:p w14:paraId="2FBD1702" w14:textId="77777777" w:rsidR="00430727" w:rsidRPr="00430727" w:rsidRDefault="00430727" w:rsidP="00430727">
            <w:pPr>
              <w:spacing w:after="0" w:line="240" w:lineRule="auto"/>
              <w:rPr>
                <w:rFonts w:eastAsia="Times New Roman" w:cstheme="minorHAnsi"/>
                <w:i/>
                <w:iCs/>
                <w:color w:val="FFFFFF"/>
                <w:sz w:val="20"/>
                <w:szCs w:val="20"/>
                <w:lang w:eastAsia="en-GB"/>
              </w:rPr>
            </w:pPr>
            <w:r w:rsidRPr="00430727">
              <w:rPr>
                <w:rFonts w:eastAsia="Times New Roman" w:cstheme="minorHAnsi"/>
                <w:i/>
                <w:iCs/>
                <w:color w:val="FFFFFF"/>
                <w:sz w:val="20"/>
                <w:szCs w:val="20"/>
                <w:lang w:eastAsia="en-GB"/>
              </w:rPr>
              <w:t>Central</w:t>
            </w:r>
          </w:p>
        </w:tc>
        <w:tc>
          <w:tcPr>
            <w:tcW w:w="1276" w:type="dxa"/>
            <w:shd w:val="clear" w:color="000000" w:fill="262626"/>
            <w:noWrap/>
            <w:vAlign w:val="bottom"/>
            <w:hideMark/>
          </w:tcPr>
          <w:p w14:paraId="04286818" w14:textId="77777777" w:rsidR="00430727" w:rsidRPr="00430727" w:rsidRDefault="00430727" w:rsidP="00430727">
            <w:pPr>
              <w:spacing w:after="0" w:line="240" w:lineRule="auto"/>
              <w:rPr>
                <w:rFonts w:eastAsia="Times New Roman" w:cstheme="minorHAnsi"/>
                <w:i/>
                <w:iCs/>
                <w:color w:val="FFFFFF"/>
                <w:sz w:val="20"/>
                <w:szCs w:val="20"/>
                <w:lang w:eastAsia="en-GB"/>
              </w:rPr>
            </w:pPr>
            <w:r w:rsidRPr="00430727">
              <w:rPr>
                <w:rFonts w:eastAsia="Times New Roman" w:cstheme="minorHAnsi"/>
                <w:i/>
                <w:iCs/>
                <w:color w:val="FFFFFF"/>
                <w:sz w:val="20"/>
                <w:szCs w:val="20"/>
                <w:lang w:eastAsia="en-GB"/>
              </w:rPr>
              <w:t>Low-energy</w:t>
            </w:r>
          </w:p>
        </w:tc>
        <w:tc>
          <w:tcPr>
            <w:tcW w:w="1984" w:type="dxa"/>
            <w:shd w:val="clear" w:color="000000" w:fill="262626"/>
            <w:noWrap/>
            <w:vAlign w:val="bottom"/>
            <w:hideMark/>
          </w:tcPr>
          <w:p w14:paraId="1D2E1552" w14:textId="77777777" w:rsidR="00430727" w:rsidRPr="00430727" w:rsidRDefault="00430727" w:rsidP="00430727">
            <w:pPr>
              <w:spacing w:after="0" w:line="240" w:lineRule="auto"/>
              <w:rPr>
                <w:rFonts w:eastAsia="Times New Roman" w:cstheme="minorHAnsi"/>
                <w:i/>
                <w:iCs/>
                <w:color w:val="FFFFFF"/>
                <w:sz w:val="20"/>
                <w:szCs w:val="20"/>
                <w:lang w:eastAsia="en-GB"/>
              </w:rPr>
            </w:pPr>
            <w:r w:rsidRPr="00430727">
              <w:rPr>
                <w:rFonts w:eastAsia="Times New Roman" w:cstheme="minorHAnsi"/>
                <w:i/>
                <w:iCs/>
                <w:color w:val="FFFFFF"/>
                <w:sz w:val="20"/>
                <w:szCs w:val="20"/>
                <w:lang w:eastAsia="en-GB"/>
              </w:rPr>
              <w:t>High-energy</w:t>
            </w:r>
          </w:p>
        </w:tc>
        <w:tc>
          <w:tcPr>
            <w:tcW w:w="6379" w:type="dxa"/>
            <w:gridSpan w:val="2"/>
            <w:shd w:val="clear" w:color="auto" w:fill="404040" w:themeFill="text1" w:themeFillTint="BF"/>
            <w:vAlign w:val="center"/>
            <w:hideMark/>
          </w:tcPr>
          <w:p w14:paraId="0BF4B1E6" w14:textId="77777777" w:rsidR="00430727" w:rsidRPr="00430727" w:rsidRDefault="00430727" w:rsidP="00430727">
            <w:pPr>
              <w:spacing w:after="0" w:line="240" w:lineRule="auto"/>
              <w:rPr>
                <w:rFonts w:eastAsia="Times New Roman" w:cstheme="minorHAnsi"/>
                <w:b/>
                <w:bCs/>
                <w:color w:val="FFFFFF"/>
                <w:sz w:val="21"/>
                <w:szCs w:val="21"/>
                <w:lang w:eastAsia="en-GB"/>
              </w:rPr>
            </w:pPr>
          </w:p>
        </w:tc>
      </w:tr>
      <w:tr w:rsidR="00430727" w:rsidRPr="00430727" w14:paraId="29E31ED7" w14:textId="77777777" w:rsidTr="00745EF9">
        <w:trPr>
          <w:trHeight w:val="285"/>
        </w:trPr>
        <w:tc>
          <w:tcPr>
            <w:tcW w:w="3493" w:type="dxa"/>
            <w:shd w:val="clear" w:color="000000" w:fill="BFBFBF"/>
            <w:noWrap/>
            <w:vAlign w:val="bottom"/>
            <w:hideMark/>
          </w:tcPr>
          <w:p w14:paraId="1689639F" w14:textId="77777777" w:rsidR="00430727" w:rsidRPr="00430727" w:rsidRDefault="00430727" w:rsidP="00430727">
            <w:pPr>
              <w:spacing w:after="0" w:line="240" w:lineRule="auto"/>
              <w:rPr>
                <w:rFonts w:eastAsia="Times New Roman" w:cstheme="minorHAnsi"/>
                <w:b/>
                <w:bCs/>
                <w:color w:val="000000"/>
                <w:sz w:val="21"/>
                <w:szCs w:val="21"/>
                <w:lang w:eastAsia="en-GB"/>
              </w:rPr>
            </w:pPr>
            <w:r w:rsidRPr="00430727">
              <w:rPr>
                <w:rFonts w:eastAsia="Times New Roman" w:cstheme="minorHAnsi"/>
                <w:b/>
                <w:bCs/>
                <w:color w:val="000000"/>
                <w:sz w:val="21"/>
                <w:szCs w:val="21"/>
                <w:lang w:eastAsia="en-GB"/>
              </w:rPr>
              <w:t>Shelter &amp; living conditions</w:t>
            </w:r>
          </w:p>
        </w:tc>
        <w:tc>
          <w:tcPr>
            <w:tcW w:w="1446" w:type="dxa"/>
            <w:shd w:val="clear" w:color="000000" w:fill="F2F2F2"/>
            <w:noWrap/>
            <w:vAlign w:val="center"/>
            <w:hideMark/>
          </w:tcPr>
          <w:p w14:paraId="2FBF880E" w14:textId="77777777" w:rsidR="00430727" w:rsidRPr="00430727" w:rsidRDefault="00430727" w:rsidP="00430727">
            <w:pPr>
              <w:spacing w:after="0" w:line="240" w:lineRule="auto"/>
              <w:jc w:val="center"/>
              <w:rPr>
                <w:rFonts w:eastAsia="Times New Roman" w:cstheme="minorHAnsi"/>
                <w:i/>
                <w:iCs/>
                <w:color w:val="000000"/>
                <w:sz w:val="20"/>
                <w:szCs w:val="20"/>
                <w:lang w:eastAsia="en-GB"/>
              </w:rPr>
            </w:pPr>
            <w:r w:rsidRPr="00430727">
              <w:rPr>
                <w:rFonts w:eastAsia="Times New Roman" w:cstheme="minorHAnsi"/>
                <w:i/>
                <w:iCs/>
                <w:color w:val="000000"/>
                <w:sz w:val="20"/>
                <w:szCs w:val="20"/>
                <w:lang w:eastAsia="en-GB"/>
              </w:rPr>
              <w:t> </w:t>
            </w:r>
          </w:p>
        </w:tc>
        <w:tc>
          <w:tcPr>
            <w:tcW w:w="1276" w:type="dxa"/>
            <w:shd w:val="clear" w:color="000000" w:fill="F2F2F2"/>
            <w:noWrap/>
            <w:vAlign w:val="center"/>
            <w:hideMark/>
          </w:tcPr>
          <w:p w14:paraId="61D34AE3" w14:textId="77777777" w:rsidR="00430727" w:rsidRPr="00430727" w:rsidRDefault="00430727" w:rsidP="00430727">
            <w:pPr>
              <w:spacing w:after="0" w:line="240" w:lineRule="auto"/>
              <w:jc w:val="center"/>
              <w:rPr>
                <w:rFonts w:eastAsia="Times New Roman" w:cstheme="minorHAnsi"/>
                <w:i/>
                <w:iCs/>
                <w:color w:val="000000"/>
                <w:sz w:val="20"/>
                <w:szCs w:val="20"/>
                <w:lang w:eastAsia="en-GB"/>
              </w:rPr>
            </w:pPr>
            <w:r w:rsidRPr="00430727">
              <w:rPr>
                <w:rFonts w:eastAsia="Times New Roman" w:cstheme="minorHAnsi"/>
                <w:i/>
                <w:iCs/>
                <w:color w:val="000000"/>
                <w:sz w:val="20"/>
                <w:szCs w:val="20"/>
                <w:lang w:eastAsia="en-GB"/>
              </w:rPr>
              <w:t> </w:t>
            </w:r>
          </w:p>
        </w:tc>
        <w:tc>
          <w:tcPr>
            <w:tcW w:w="1984" w:type="dxa"/>
            <w:shd w:val="clear" w:color="000000" w:fill="F2F2F2"/>
            <w:noWrap/>
            <w:vAlign w:val="center"/>
            <w:hideMark/>
          </w:tcPr>
          <w:p w14:paraId="01ECE373" w14:textId="77777777" w:rsidR="00430727" w:rsidRPr="00430727" w:rsidRDefault="00430727" w:rsidP="00430727">
            <w:pPr>
              <w:spacing w:after="0" w:line="240" w:lineRule="auto"/>
              <w:jc w:val="center"/>
              <w:rPr>
                <w:rFonts w:eastAsia="Times New Roman" w:cstheme="minorHAnsi"/>
                <w:i/>
                <w:iCs/>
                <w:color w:val="000000"/>
                <w:sz w:val="20"/>
                <w:szCs w:val="20"/>
                <w:lang w:eastAsia="en-GB"/>
              </w:rPr>
            </w:pPr>
            <w:r w:rsidRPr="00430727">
              <w:rPr>
                <w:rFonts w:eastAsia="Times New Roman" w:cstheme="minorHAnsi"/>
                <w:i/>
                <w:iCs/>
                <w:color w:val="000000"/>
                <w:sz w:val="20"/>
                <w:szCs w:val="20"/>
                <w:lang w:eastAsia="en-GB"/>
              </w:rPr>
              <w:t> </w:t>
            </w:r>
          </w:p>
        </w:tc>
        <w:tc>
          <w:tcPr>
            <w:tcW w:w="6379" w:type="dxa"/>
            <w:gridSpan w:val="2"/>
            <w:shd w:val="clear" w:color="000000" w:fill="F2F2F2"/>
            <w:noWrap/>
            <w:vAlign w:val="bottom"/>
            <w:hideMark/>
          </w:tcPr>
          <w:p w14:paraId="77DE655A" w14:textId="77777777" w:rsidR="00430727" w:rsidRPr="00430727" w:rsidRDefault="00430727" w:rsidP="00430727">
            <w:pPr>
              <w:spacing w:after="0" w:line="240" w:lineRule="auto"/>
              <w:rPr>
                <w:rFonts w:eastAsia="Times New Roman" w:cstheme="minorHAnsi"/>
                <w:b/>
                <w:bCs/>
                <w:color w:val="000000"/>
                <w:sz w:val="18"/>
                <w:szCs w:val="18"/>
                <w:lang w:eastAsia="en-GB"/>
              </w:rPr>
            </w:pPr>
            <w:r w:rsidRPr="00430727">
              <w:rPr>
                <w:rFonts w:eastAsia="Times New Roman" w:cstheme="minorHAnsi"/>
                <w:b/>
                <w:bCs/>
                <w:color w:val="000000"/>
                <w:sz w:val="18"/>
                <w:szCs w:val="18"/>
                <w:lang w:eastAsia="en-GB"/>
              </w:rPr>
              <w:t> </w:t>
            </w:r>
          </w:p>
        </w:tc>
      </w:tr>
      <w:tr w:rsidR="00430727" w:rsidRPr="00430727" w14:paraId="708903D7" w14:textId="77777777" w:rsidTr="00745EF9">
        <w:trPr>
          <w:trHeight w:val="255"/>
        </w:trPr>
        <w:tc>
          <w:tcPr>
            <w:tcW w:w="3493" w:type="dxa"/>
            <w:shd w:val="clear" w:color="000000" w:fill="BFBFBF"/>
            <w:noWrap/>
            <w:vAlign w:val="bottom"/>
            <w:hideMark/>
          </w:tcPr>
          <w:p w14:paraId="0922F34D"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Household size</w:t>
            </w:r>
          </w:p>
        </w:tc>
        <w:tc>
          <w:tcPr>
            <w:tcW w:w="1446" w:type="dxa"/>
            <w:shd w:val="clear" w:color="000000" w:fill="F2F2F2"/>
            <w:noWrap/>
            <w:vAlign w:val="center"/>
            <w:hideMark/>
          </w:tcPr>
          <w:p w14:paraId="1CDC989B"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4 persons/</w:t>
            </w:r>
            <w:proofErr w:type="spellStart"/>
            <w:r w:rsidRPr="00430727">
              <w:rPr>
                <w:rFonts w:eastAsia="Times New Roman" w:cstheme="minorHAnsi"/>
                <w:color w:val="000000"/>
                <w:sz w:val="18"/>
                <w:szCs w:val="18"/>
                <w:lang w:eastAsia="en-GB"/>
              </w:rPr>
              <w:t>hh</w:t>
            </w:r>
            <w:proofErr w:type="spellEnd"/>
          </w:p>
        </w:tc>
        <w:tc>
          <w:tcPr>
            <w:tcW w:w="1276" w:type="dxa"/>
            <w:shd w:val="clear" w:color="000000" w:fill="F2F2F2"/>
            <w:noWrap/>
            <w:vAlign w:val="center"/>
            <w:hideMark/>
          </w:tcPr>
          <w:p w14:paraId="55D73EA9"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F2F2F2"/>
            <w:noWrap/>
            <w:vAlign w:val="center"/>
            <w:hideMark/>
          </w:tcPr>
          <w:p w14:paraId="3D8BB6C1"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2 persons/</w:t>
            </w:r>
            <w:proofErr w:type="spellStart"/>
            <w:r w:rsidRPr="00430727">
              <w:rPr>
                <w:rFonts w:eastAsia="Times New Roman" w:cstheme="minorHAnsi"/>
                <w:color w:val="000000"/>
                <w:sz w:val="18"/>
                <w:szCs w:val="18"/>
                <w:lang w:eastAsia="en-GB"/>
              </w:rPr>
              <w:t>hh</w:t>
            </w:r>
            <w:proofErr w:type="spellEnd"/>
          </w:p>
        </w:tc>
        <w:tc>
          <w:tcPr>
            <w:tcW w:w="6379" w:type="dxa"/>
            <w:gridSpan w:val="2"/>
            <w:shd w:val="clear" w:color="000000" w:fill="F2F2F2"/>
            <w:noWrap/>
            <w:vAlign w:val="bottom"/>
            <w:hideMark/>
          </w:tcPr>
          <w:p w14:paraId="33EEF064"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r>
      <w:tr w:rsidR="00430727" w:rsidRPr="00430727" w14:paraId="7238F8CE" w14:textId="77777777" w:rsidTr="00745EF9">
        <w:trPr>
          <w:trHeight w:val="300"/>
        </w:trPr>
        <w:tc>
          <w:tcPr>
            <w:tcW w:w="3493" w:type="dxa"/>
            <w:shd w:val="clear" w:color="000000" w:fill="BFBFBF"/>
            <w:noWrap/>
            <w:vAlign w:val="bottom"/>
            <w:hideMark/>
          </w:tcPr>
          <w:p w14:paraId="5365554D"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Floor space</w:t>
            </w:r>
          </w:p>
        </w:tc>
        <w:tc>
          <w:tcPr>
            <w:tcW w:w="1446" w:type="dxa"/>
            <w:shd w:val="clear" w:color="000000" w:fill="F2F2F2"/>
            <w:noWrap/>
            <w:vAlign w:val="center"/>
            <w:hideMark/>
          </w:tcPr>
          <w:p w14:paraId="71865119"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10 m</w:t>
            </w:r>
            <w:r w:rsidRPr="00430727">
              <w:rPr>
                <w:rFonts w:eastAsia="Times New Roman" w:cstheme="minorHAnsi"/>
                <w:color w:val="000000"/>
                <w:sz w:val="18"/>
                <w:szCs w:val="18"/>
                <w:vertAlign w:val="superscript"/>
                <w:lang w:eastAsia="en-GB"/>
              </w:rPr>
              <w:t>2</w:t>
            </w:r>
          </w:p>
        </w:tc>
        <w:tc>
          <w:tcPr>
            <w:tcW w:w="1276" w:type="dxa"/>
            <w:shd w:val="clear" w:color="000000" w:fill="F2F2F2"/>
            <w:noWrap/>
            <w:vAlign w:val="center"/>
            <w:hideMark/>
          </w:tcPr>
          <w:p w14:paraId="48E21C06"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F2F2F2"/>
            <w:noWrap/>
            <w:vAlign w:val="center"/>
            <w:hideMark/>
          </w:tcPr>
          <w:p w14:paraId="2559FA68"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20 m</w:t>
            </w:r>
            <w:r w:rsidRPr="00430727">
              <w:rPr>
                <w:rFonts w:eastAsia="Times New Roman" w:cstheme="minorHAnsi"/>
                <w:color w:val="000000"/>
                <w:sz w:val="18"/>
                <w:szCs w:val="18"/>
                <w:vertAlign w:val="superscript"/>
                <w:lang w:eastAsia="en-GB"/>
              </w:rPr>
              <w:t>2</w:t>
            </w:r>
          </w:p>
        </w:tc>
        <w:tc>
          <w:tcPr>
            <w:tcW w:w="6379" w:type="dxa"/>
            <w:gridSpan w:val="2"/>
            <w:shd w:val="clear" w:color="000000" w:fill="F2F2F2"/>
            <w:noWrap/>
            <w:vAlign w:val="bottom"/>
            <w:hideMark/>
          </w:tcPr>
          <w:p w14:paraId="07E834A9" w14:textId="77777777" w:rsidR="00430727" w:rsidRPr="00430727" w:rsidRDefault="00430727" w:rsidP="00430727">
            <w:pPr>
              <w:spacing w:after="0" w:line="240" w:lineRule="auto"/>
              <w:rPr>
                <w:rFonts w:eastAsia="Times New Roman" w:cstheme="minorHAnsi"/>
                <w:color w:val="000000"/>
                <w:sz w:val="16"/>
                <w:szCs w:val="16"/>
                <w:lang w:eastAsia="en-GB"/>
              </w:rPr>
            </w:pPr>
            <w:r w:rsidRPr="00430727">
              <w:rPr>
                <w:rFonts w:eastAsia="Times New Roman" w:cstheme="minorHAnsi"/>
                <w:color w:val="000000"/>
                <w:sz w:val="16"/>
                <w:szCs w:val="16"/>
                <w:lang w:eastAsia="en-GB"/>
              </w:rPr>
              <w:t>An arbitrary 100% increase from the default</w:t>
            </w:r>
          </w:p>
        </w:tc>
      </w:tr>
      <w:tr w:rsidR="00430727" w:rsidRPr="00430727" w14:paraId="3928A4A0" w14:textId="77777777" w:rsidTr="00745EF9">
        <w:trPr>
          <w:trHeight w:val="255"/>
        </w:trPr>
        <w:tc>
          <w:tcPr>
            <w:tcW w:w="3493" w:type="dxa"/>
            <w:shd w:val="clear" w:color="000000" w:fill="BFBFBF"/>
            <w:noWrap/>
            <w:vAlign w:val="bottom"/>
            <w:hideMark/>
          </w:tcPr>
          <w:p w14:paraId="0EADE6A2"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Building standards</w:t>
            </w:r>
          </w:p>
        </w:tc>
        <w:tc>
          <w:tcPr>
            <w:tcW w:w="1446" w:type="dxa"/>
            <w:shd w:val="clear" w:color="000000" w:fill="F2F2F2"/>
            <w:noWrap/>
            <w:vAlign w:val="center"/>
            <w:hideMark/>
          </w:tcPr>
          <w:p w14:paraId="407588A1" w14:textId="77777777" w:rsidR="00430727" w:rsidRPr="00430727" w:rsidRDefault="00430727" w:rsidP="00430727">
            <w:pPr>
              <w:spacing w:after="0" w:line="240" w:lineRule="auto"/>
              <w:rPr>
                <w:rFonts w:eastAsia="Times New Roman" w:cstheme="minorHAnsi"/>
                <w:i/>
                <w:iCs/>
                <w:color w:val="000000"/>
                <w:sz w:val="16"/>
                <w:szCs w:val="18"/>
                <w:lang w:eastAsia="en-GB"/>
              </w:rPr>
            </w:pPr>
            <w:r w:rsidRPr="00430727">
              <w:rPr>
                <w:rFonts w:eastAsia="Times New Roman" w:cstheme="minorHAnsi"/>
                <w:i/>
                <w:iCs/>
                <w:color w:val="000000"/>
                <w:sz w:val="16"/>
                <w:szCs w:val="18"/>
                <w:lang w:eastAsia="en-GB"/>
              </w:rPr>
              <w:t>Advanced new</w:t>
            </w:r>
          </w:p>
        </w:tc>
        <w:tc>
          <w:tcPr>
            <w:tcW w:w="1276" w:type="dxa"/>
            <w:shd w:val="clear" w:color="000000" w:fill="F2F2F2"/>
            <w:noWrap/>
            <w:vAlign w:val="center"/>
            <w:hideMark/>
          </w:tcPr>
          <w:p w14:paraId="78074FAB" w14:textId="77777777" w:rsidR="00430727" w:rsidRPr="00430727" w:rsidRDefault="00430727" w:rsidP="00430727">
            <w:pPr>
              <w:spacing w:after="0" w:line="240" w:lineRule="auto"/>
              <w:rPr>
                <w:rFonts w:eastAsia="Times New Roman" w:cstheme="minorHAnsi"/>
                <w:color w:val="000000"/>
                <w:sz w:val="16"/>
                <w:szCs w:val="18"/>
                <w:lang w:eastAsia="en-GB"/>
              </w:rPr>
            </w:pPr>
            <w:r w:rsidRPr="00430727">
              <w:rPr>
                <w:rFonts w:eastAsia="Times New Roman" w:cstheme="minorHAnsi"/>
                <w:color w:val="000000"/>
                <w:sz w:val="16"/>
                <w:szCs w:val="18"/>
                <w:lang w:eastAsia="en-GB"/>
              </w:rPr>
              <w:t>-</w:t>
            </w:r>
          </w:p>
        </w:tc>
        <w:tc>
          <w:tcPr>
            <w:tcW w:w="1984" w:type="dxa"/>
            <w:shd w:val="clear" w:color="000000" w:fill="F2F2F2"/>
            <w:noWrap/>
            <w:vAlign w:val="center"/>
            <w:hideMark/>
          </w:tcPr>
          <w:p w14:paraId="4B884264" w14:textId="77777777" w:rsidR="00430727" w:rsidRPr="00430727" w:rsidRDefault="00430727" w:rsidP="00430727">
            <w:pPr>
              <w:spacing w:after="0" w:line="240" w:lineRule="auto"/>
              <w:rPr>
                <w:rFonts w:eastAsia="Times New Roman" w:cstheme="minorHAnsi"/>
                <w:i/>
                <w:iCs/>
                <w:color w:val="000000"/>
                <w:sz w:val="16"/>
                <w:szCs w:val="18"/>
                <w:lang w:eastAsia="en-GB"/>
              </w:rPr>
            </w:pPr>
            <w:r w:rsidRPr="00430727">
              <w:rPr>
                <w:rFonts w:eastAsia="Times New Roman" w:cstheme="minorHAnsi"/>
                <w:i/>
                <w:iCs/>
                <w:color w:val="000000"/>
                <w:sz w:val="16"/>
                <w:szCs w:val="18"/>
                <w:lang w:eastAsia="en-GB"/>
              </w:rPr>
              <w:t>New modern/deep retrofit</w:t>
            </w:r>
          </w:p>
        </w:tc>
        <w:tc>
          <w:tcPr>
            <w:tcW w:w="6379" w:type="dxa"/>
            <w:gridSpan w:val="2"/>
            <w:shd w:val="clear" w:color="000000" w:fill="F2F2F2"/>
            <w:noWrap/>
            <w:vAlign w:val="bottom"/>
            <w:hideMark/>
          </w:tcPr>
          <w:p w14:paraId="4567C620"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These are the GBPN categories used</w:t>
            </w:r>
          </w:p>
        </w:tc>
      </w:tr>
      <w:tr w:rsidR="00430727" w:rsidRPr="00430727" w14:paraId="42FD023D" w14:textId="77777777" w:rsidTr="00745EF9">
        <w:trPr>
          <w:trHeight w:val="285"/>
        </w:trPr>
        <w:tc>
          <w:tcPr>
            <w:tcW w:w="3493" w:type="dxa"/>
            <w:shd w:val="clear" w:color="000000" w:fill="BFBFBF"/>
            <w:noWrap/>
            <w:vAlign w:val="bottom"/>
            <w:hideMark/>
          </w:tcPr>
          <w:p w14:paraId="67405049"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Construction intensity</w:t>
            </w:r>
          </w:p>
        </w:tc>
        <w:tc>
          <w:tcPr>
            <w:tcW w:w="1446" w:type="dxa"/>
            <w:shd w:val="clear" w:color="000000" w:fill="F2F2F2"/>
            <w:noWrap/>
            <w:vAlign w:val="center"/>
            <w:hideMark/>
          </w:tcPr>
          <w:p w14:paraId="2954E945"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30-50 MJ/m</w:t>
            </w:r>
            <w:r w:rsidRPr="00430727">
              <w:rPr>
                <w:rFonts w:eastAsia="Times New Roman" w:cstheme="minorHAnsi"/>
                <w:color w:val="000000"/>
                <w:sz w:val="18"/>
                <w:szCs w:val="18"/>
                <w:vertAlign w:val="superscript"/>
                <w:lang w:eastAsia="en-GB"/>
              </w:rPr>
              <w:t>2</w:t>
            </w:r>
            <w:r w:rsidRPr="00430727">
              <w:rPr>
                <w:rFonts w:eastAsia="Times New Roman" w:cstheme="minorHAnsi"/>
                <w:color w:val="000000"/>
                <w:sz w:val="18"/>
                <w:szCs w:val="18"/>
                <w:lang w:eastAsia="en-GB"/>
              </w:rPr>
              <w:t>/</w:t>
            </w:r>
            <w:proofErr w:type="spellStart"/>
            <w:r w:rsidRPr="00430727">
              <w:rPr>
                <w:rFonts w:eastAsia="Times New Roman" w:cstheme="minorHAnsi"/>
                <w:color w:val="000000"/>
                <w:sz w:val="18"/>
                <w:szCs w:val="18"/>
                <w:lang w:eastAsia="en-GB"/>
              </w:rPr>
              <w:t>yr</w:t>
            </w:r>
            <w:proofErr w:type="spellEnd"/>
          </w:p>
        </w:tc>
        <w:tc>
          <w:tcPr>
            <w:tcW w:w="1276" w:type="dxa"/>
            <w:shd w:val="clear" w:color="000000" w:fill="F2F2F2"/>
            <w:noWrap/>
            <w:vAlign w:val="center"/>
            <w:hideMark/>
          </w:tcPr>
          <w:p w14:paraId="3985D35C"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F2F2F2"/>
            <w:noWrap/>
            <w:vAlign w:val="center"/>
            <w:hideMark/>
          </w:tcPr>
          <w:p w14:paraId="5E0A3B59"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120-200 MJ/m</w:t>
            </w:r>
            <w:r w:rsidRPr="00430727">
              <w:rPr>
                <w:rFonts w:eastAsia="Times New Roman" w:cstheme="minorHAnsi"/>
                <w:color w:val="000000"/>
                <w:sz w:val="18"/>
                <w:szCs w:val="18"/>
                <w:vertAlign w:val="superscript"/>
                <w:lang w:eastAsia="en-GB"/>
              </w:rPr>
              <w:t>2</w:t>
            </w:r>
            <w:r w:rsidRPr="00430727">
              <w:rPr>
                <w:rFonts w:eastAsia="Times New Roman" w:cstheme="minorHAnsi"/>
                <w:color w:val="000000"/>
                <w:sz w:val="18"/>
                <w:szCs w:val="18"/>
                <w:lang w:eastAsia="en-GB"/>
              </w:rPr>
              <w:t>/</w:t>
            </w:r>
            <w:proofErr w:type="spellStart"/>
            <w:r w:rsidRPr="00430727">
              <w:rPr>
                <w:rFonts w:eastAsia="Times New Roman" w:cstheme="minorHAnsi"/>
                <w:color w:val="000000"/>
                <w:sz w:val="18"/>
                <w:szCs w:val="18"/>
                <w:lang w:eastAsia="en-GB"/>
              </w:rPr>
              <w:t>yr</w:t>
            </w:r>
            <w:proofErr w:type="spellEnd"/>
          </w:p>
        </w:tc>
        <w:tc>
          <w:tcPr>
            <w:tcW w:w="6379" w:type="dxa"/>
            <w:gridSpan w:val="2"/>
            <w:shd w:val="clear" w:color="000000" w:fill="F2F2F2"/>
            <w:noWrap/>
            <w:vAlign w:val="bottom"/>
            <w:hideMark/>
          </w:tcPr>
          <w:p w14:paraId="4993B7BF" w14:textId="77777777" w:rsidR="00430727" w:rsidRPr="00430727" w:rsidRDefault="00430727" w:rsidP="00430727">
            <w:pPr>
              <w:spacing w:after="0" w:line="240" w:lineRule="auto"/>
              <w:rPr>
                <w:rFonts w:eastAsia="Times New Roman" w:cstheme="minorHAnsi"/>
                <w:sz w:val="16"/>
                <w:szCs w:val="16"/>
                <w:lang w:eastAsia="en-GB"/>
              </w:rPr>
            </w:pPr>
            <w:r w:rsidRPr="00430727">
              <w:rPr>
                <w:rFonts w:eastAsia="Times New Roman" w:cstheme="minorHAnsi"/>
                <w:noProof/>
                <w:sz w:val="16"/>
                <w:szCs w:val="16"/>
                <w:lang w:eastAsia="en-GB"/>
              </w:rPr>
              <w:t>Cabeza et al. (2014) (Ref.2) and Nässén et al. (2012) suggest ~100 to ~200 MJ/m</w:t>
            </w:r>
            <w:r w:rsidRPr="00430727">
              <w:rPr>
                <w:rFonts w:eastAsia="Times New Roman" w:cstheme="minorHAnsi"/>
                <w:noProof/>
                <w:sz w:val="16"/>
                <w:szCs w:val="16"/>
                <w:vertAlign w:val="superscript"/>
                <w:lang w:eastAsia="en-GB"/>
              </w:rPr>
              <w:t>2</w:t>
            </w:r>
            <w:r w:rsidRPr="00430727">
              <w:rPr>
                <w:rFonts w:eastAsia="Times New Roman" w:cstheme="minorHAnsi"/>
                <w:noProof/>
                <w:sz w:val="16"/>
                <w:szCs w:val="16"/>
                <w:lang w:eastAsia="en-GB"/>
              </w:rPr>
              <w:t>/yr</w:t>
            </w:r>
          </w:p>
        </w:tc>
      </w:tr>
      <w:tr w:rsidR="00430727" w:rsidRPr="00430727" w14:paraId="3F405ECC" w14:textId="77777777" w:rsidTr="00745EF9">
        <w:trPr>
          <w:trHeight w:val="255"/>
        </w:trPr>
        <w:tc>
          <w:tcPr>
            <w:tcW w:w="3493" w:type="dxa"/>
            <w:shd w:val="clear" w:color="000000" w:fill="BFBFBF"/>
            <w:noWrap/>
            <w:vAlign w:val="bottom"/>
            <w:hideMark/>
          </w:tcPr>
          <w:p w14:paraId="7F4BAE8E"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Water consumption</w:t>
            </w:r>
          </w:p>
        </w:tc>
        <w:tc>
          <w:tcPr>
            <w:tcW w:w="1446" w:type="dxa"/>
            <w:shd w:val="clear" w:color="000000" w:fill="F2F2F2"/>
            <w:noWrap/>
            <w:vAlign w:val="center"/>
            <w:hideMark/>
          </w:tcPr>
          <w:p w14:paraId="157479F8"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50 L/cap/day</w:t>
            </w:r>
          </w:p>
        </w:tc>
        <w:tc>
          <w:tcPr>
            <w:tcW w:w="1276" w:type="dxa"/>
            <w:shd w:val="clear" w:color="000000" w:fill="F2F2F2"/>
            <w:noWrap/>
            <w:vAlign w:val="center"/>
            <w:hideMark/>
          </w:tcPr>
          <w:p w14:paraId="3077E6A7"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F2F2F2"/>
            <w:noWrap/>
            <w:vAlign w:val="center"/>
            <w:hideMark/>
          </w:tcPr>
          <w:p w14:paraId="02D85A0E"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100 L/cap/day</w:t>
            </w:r>
          </w:p>
        </w:tc>
        <w:tc>
          <w:tcPr>
            <w:tcW w:w="6379" w:type="dxa"/>
            <w:gridSpan w:val="2"/>
            <w:shd w:val="clear" w:color="000000" w:fill="F2F2F2"/>
            <w:noWrap/>
            <w:vAlign w:val="bottom"/>
            <w:hideMark/>
          </w:tcPr>
          <w:p w14:paraId="41038634" w14:textId="77777777" w:rsidR="00430727" w:rsidRPr="00430727" w:rsidRDefault="00430727" w:rsidP="00430727">
            <w:pPr>
              <w:spacing w:after="0" w:line="240" w:lineRule="auto"/>
              <w:rPr>
                <w:rFonts w:eastAsia="Times New Roman" w:cstheme="minorHAnsi"/>
                <w:sz w:val="16"/>
                <w:szCs w:val="16"/>
                <w:lang w:eastAsia="en-GB"/>
              </w:rPr>
            </w:pPr>
            <w:r w:rsidRPr="00430727">
              <w:rPr>
                <w:rFonts w:eastAsia="Times New Roman" w:cstheme="minorHAnsi"/>
                <w:sz w:val="16"/>
                <w:szCs w:val="16"/>
                <w:lang w:eastAsia="en-GB"/>
              </w:rPr>
              <w:t xml:space="preserve">This reflects the range offered by the UN, mentioned above in the </w:t>
            </w:r>
            <w:r w:rsidRPr="00430727">
              <w:rPr>
                <w:rFonts w:eastAsia="Times New Roman" w:cstheme="minorHAnsi"/>
                <w:i/>
                <w:iCs/>
                <w:sz w:val="16"/>
                <w:szCs w:val="16"/>
                <w:lang w:eastAsia="en-GB"/>
              </w:rPr>
              <w:t>water supply</w:t>
            </w:r>
            <w:r w:rsidRPr="00430727">
              <w:rPr>
                <w:rFonts w:eastAsia="Times New Roman" w:cstheme="minorHAnsi"/>
                <w:sz w:val="16"/>
                <w:szCs w:val="16"/>
                <w:lang w:eastAsia="en-GB"/>
              </w:rPr>
              <w:t xml:space="preserve"> section</w:t>
            </w:r>
          </w:p>
        </w:tc>
      </w:tr>
      <w:tr w:rsidR="00430727" w:rsidRPr="00430727" w14:paraId="562921A7" w14:textId="77777777" w:rsidTr="00745EF9">
        <w:trPr>
          <w:trHeight w:val="255"/>
        </w:trPr>
        <w:tc>
          <w:tcPr>
            <w:tcW w:w="3493" w:type="dxa"/>
            <w:shd w:val="clear" w:color="000000" w:fill="BFBFBF"/>
            <w:noWrap/>
            <w:vAlign w:val="bottom"/>
            <w:hideMark/>
          </w:tcPr>
          <w:p w14:paraId="238183CA"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Water heating temperature</w:t>
            </w:r>
          </w:p>
        </w:tc>
        <w:tc>
          <w:tcPr>
            <w:tcW w:w="1446" w:type="dxa"/>
            <w:shd w:val="clear" w:color="000000" w:fill="F2F2F2"/>
            <w:noWrap/>
            <w:vAlign w:val="center"/>
            <w:hideMark/>
          </w:tcPr>
          <w:p w14:paraId="3AA9A164"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50°c</w:t>
            </w:r>
          </w:p>
        </w:tc>
        <w:tc>
          <w:tcPr>
            <w:tcW w:w="1276" w:type="dxa"/>
            <w:shd w:val="clear" w:color="000000" w:fill="F2F2F2"/>
            <w:noWrap/>
            <w:vAlign w:val="center"/>
            <w:hideMark/>
          </w:tcPr>
          <w:p w14:paraId="18A15E56"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F2F2F2"/>
            <w:noWrap/>
            <w:vAlign w:val="center"/>
            <w:hideMark/>
          </w:tcPr>
          <w:p w14:paraId="01ACB707"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65°c</w:t>
            </w:r>
          </w:p>
        </w:tc>
        <w:tc>
          <w:tcPr>
            <w:tcW w:w="6379" w:type="dxa"/>
            <w:gridSpan w:val="2"/>
            <w:shd w:val="clear" w:color="000000" w:fill="F2F2F2"/>
            <w:noWrap/>
            <w:vAlign w:val="center"/>
            <w:hideMark/>
          </w:tcPr>
          <w:p w14:paraId="59F63A58"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65°c is a typical current value according to Cullen et al. (2011)</w:t>
            </w:r>
          </w:p>
        </w:tc>
      </w:tr>
      <w:tr w:rsidR="00430727" w:rsidRPr="00430727" w14:paraId="745FCB38" w14:textId="77777777" w:rsidTr="00745EF9">
        <w:trPr>
          <w:trHeight w:val="255"/>
        </w:trPr>
        <w:tc>
          <w:tcPr>
            <w:tcW w:w="3493" w:type="dxa"/>
            <w:shd w:val="clear" w:color="000000" w:fill="BFBFBF"/>
            <w:noWrap/>
            <w:vAlign w:val="bottom"/>
            <w:hideMark/>
          </w:tcPr>
          <w:p w14:paraId="02FCF2CA"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Lighting intensity and coverage</w:t>
            </w:r>
          </w:p>
        </w:tc>
        <w:tc>
          <w:tcPr>
            <w:tcW w:w="1446" w:type="dxa"/>
            <w:shd w:val="clear" w:color="000000" w:fill="F2F2F2"/>
            <w:noWrap/>
            <w:vAlign w:val="center"/>
            <w:hideMark/>
          </w:tcPr>
          <w:p w14:paraId="3CFAF12C"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Default</w:t>
            </w:r>
          </w:p>
        </w:tc>
        <w:tc>
          <w:tcPr>
            <w:tcW w:w="1276" w:type="dxa"/>
            <w:shd w:val="clear" w:color="000000" w:fill="F2F2F2"/>
            <w:noWrap/>
            <w:vAlign w:val="center"/>
            <w:hideMark/>
          </w:tcPr>
          <w:p w14:paraId="0202EAE6"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F2F2F2"/>
            <w:noWrap/>
            <w:vAlign w:val="center"/>
            <w:hideMark/>
          </w:tcPr>
          <w:p w14:paraId="44FA2FBA"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400%</w:t>
            </w:r>
          </w:p>
        </w:tc>
        <w:tc>
          <w:tcPr>
            <w:tcW w:w="6379" w:type="dxa"/>
            <w:gridSpan w:val="2"/>
            <w:shd w:val="clear" w:color="000000" w:fill="F2F2F2"/>
            <w:noWrap/>
            <w:vAlign w:val="bottom"/>
            <w:hideMark/>
          </w:tcPr>
          <w:p w14:paraId="4D05D8ED"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This assumes twice as many lights are used for twice the time</w:t>
            </w:r>
          </w:p>
        </w:tc>
      </w:tr>
      <w:tr w:rsidR="00430727" w:rsidRPr="00430727" w14:paraId="12BB6DF8" w14:textId="77777777" w:rsidTr="00745EF9">
        <w:trPr>
          <w:trHeight w:val="285"/>
        </w:trPr>
        <w:tc>
          <w:tcPr>
            <w:tcW w:w="3493" w:type="dxa"/>
            <w:shd w:val="clear" w:color="000000" w:fill="A6A6A6"/>
            <w:noWrap/>
            <w:vAlign w:val="bottom"/>
            <w:hideMark/>
          </w:tcPr>
          <w:p w14:paraId="1A041C5B" w14:textId="77777777" w:rsidR="00430727" w:rsidRPr="00430727" w:rsidRDefault="00430727" w:rsidP="00430727">
            <w:pPr>
              <w:spacing w:after="0" w:line="240" w:lineRule="auto"/>
              <w:rPr>
                <w:rFonts w:eastAsia="Times New Roman" w:cstheme="minorHAnsi"/>
                <w:b/>
                <w:bCs/>
                <w:color w:val="000000"/>
                <w:sz w:val="21"/>
                <w:szCs w:val="21"/>
                <w:lang w:eastAsia="en-GB"/>
              </w:rPr>
            </w:pPr>
            <w:r w:rsidRPr="00430727">
              <w:rPr>
                <w:rFonts w:eastAsia="Times New Roman" w:cstheme="minorHAnsi"/>
                <w:b/>
                <w:bCs/>
                <w:color w:val="000000"/>
                <w:sz w:val="21"/>
                <w:szCs w:val="21"/>
                <w:lang w:eastAsia="en-GB"/>
              </w:rPr>
              <w:t>Nutrition</w:t>
            </w:r>
          </w:p>
        </w:tc>
        <w:tc>
          <w:tcPr>
            <w:tcW w:w="1446" w:type="dxa"/>
            <w:shd w:val="clear" w:color="000000" w:fill="D9D9D9"/>
            <w:noWrap/>
            <w:vAlign w:val="center"/>
            <w:hideMark/>
          </w:tcPr>
          <w:p w14:paraId="2AC09006"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1276" w:type="dxa"/>
            <w:shd w:val="clear" w:color="000000" w:fill="D9D9D9"/>
            <w:noWrap/>
            <w:vAlign w:val="center"/>
            <w:hideMark/>
          </w:tcPr>
          <w:p w14:paraId="3861FC2A"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1984" w:type="dxa"/>
            <w:shd w:val="clear" w:color="000000" w:fill="D9D9D9"/>
            <w:noWrap/>
            <w:vAlign w:val="center"/>
            <w:hideMark/>
          </w:tcPr>
          <w:p w14:paraId="2213A3C3"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6379" w:type="dxa"/>
            <w:gridSpan w:val="2"/>
            <w:shd w:val="clear" w:color="000000" w:fill="D9D9D9"/>
            <w:noWrap/>
            <w:vAlign w:val="bottom"/>
            <w:hideMark/>
          </w:tcPr>
          <w:p w14:paraId="667E34C6"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r>
      <w:tr w:rsidR="00430727" w:rsidRPr="00430727" w14:paraId="21F37523" w14:textId="77777777" w:rsidTr="00745EF9">
        <w:trPr>
          <w:trHeight w:val="255"/>
        </w:trPr>
        <w:tc>
          <w:tcPr>
            <w:tcW w:w="3493" w:type="dxa"/>
            <w:shd w:val="clear" w:color="000000" w:fill="A6A6A6"/>
            <w:noWrap/>
            <w:vAlign w:val="bottom"/>
            <w:hideMark/>
          </w:tcPr>
          <w:p w14:paraId="3B7674FF"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Consumption of animal-products</w:t>
            </w:r>
          </w:p>
        </w:tc>
        <w:tc>
          <w:tcPr>
            <w:tcW w:w="1446" w:type="dxa"/>
            <w:shd w:val="clear" w:color="000000" w:fill="D9D9D9"/>
            <w:noWrap/>
            <w:vAlign w:val="center"/>
            <w:hideMark/>
          </w:tcPr>
          <w:p w14:paraId="4A73336D"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7%</w:t>
            </w:r>
          </w:p>
        </w:tc>
        <w:tc>
          <w:tcPr>
            <w:tcW w:w="1276" w:type="dxa"/>
            <w:shd w:val="clear" w:color="000000" w:fill="D9D9D9"/>
            <w:noWrap/>
            <w:vAlign w:val="center"/>
            <w:hideMark/>
          </w:tcPr>
          <w:p w14:paraId="4088BFCE"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0%</w:t>
            </w:r>
          </w:p>
        </w:tc>
        <w:tc>
          <w:tcPr>
            <w:tcW w:w="1984" w:type="dxa"/>
            <w:shd w:val="clear" w:color="000000" w:fill="D9D9D9"/>
            <w:noWrap/>
            <w:vAlign w:val="center"/>
            <w:hideMark/>
          </w:tcPr>
          <w:p w14:paraId="59330831"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14%</w:t>
            </w:r>
          </w:p>
        </w:tc>
        <w:tc>
          <w:tcPr>
            <w:tcW w:w="6379" w:type="dxa"/>
            <w:gridSpan w:val="2"/>
            <w:shd w:val="clear" w:color="000000" w:fill="D9D9D9"/>
            <w:noWrap/>
            <w:vAlign w:val="bottom"/>
            <w:hideMark/>
          </w:tcPr>
          <w:p w14:paraId="15CE2F26" w14:textId="4428C35B" w:rsidR="00430727" w:rsidRPr="00430727" w:rsidRDefault="00DA538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Percentage</w:t>
            </w:r>
            <w:r w:rsidR="00430727" w:rsidRPr="00430727">
              <w:rPr>
                <w:rFonts w:eastAsia="Times New Roman" w:cstheme="minorHAnsi"/>
                <w:color w:val="000000"/>
                <w:sz w:val="18"/>
                <w:szCs w:val="18"/>
                <w:lang w:eastAsia="en-GB"/>
              </w:rPr>
              <w:t xml:space="preserve"> contributions on a calorie intake basis (rather than weight)</w:t>
            </w:r>
          </w:p>
        </w:tc>
      </w:tr>
      <w:tr w:rsidR="00430727" w:rsidRPr="00430727" w14:paraId="7A54C0C9" w14:textId="77777777" w:rsidTr="00745EF9">
        <w:trPr>
          <w:trHeight w:val="255"/>
        </w:trPr>
        <w:tc>
          <w:tcPr>
            <w:tcW w:w="3493" w:type="dxa"/>
            <w:shd w:val="clear" w:color="000000" w:fill="A6A6A6"/>
            <w:noWrap/>
            <w:vAlign w:val="bottom"/>
            <w:hideMark/>
          </w:tcPr>
          <w:p w14:paraId="13E17943"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Supply-chain intensity</w:t>
            </w:r>
          </w:p>
        </w:tc>
        <w:tc>
          <w:tcPr>
            <w:tcW w:w="1446" w:type="dxa"/>
            <w:shd w:val="clear" w:color="000000" w:fill="D9D9D9"/>
            <w:noWrap/>
            <w:vAlign w:val="center"/>
            <w:hideMark/>
          </w:tcPr>
          <w:p w14:paraId="4BF5C5FF"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210%</w:t>
            </w:r>
          </w:p>
        </w:tc>
        <w:tc>
          <w:tcPr>
            <w:tcW w:w="1276" w:type="dxa"/>
            <w:shd w:val="clear" w:color="000000" w:fill="D9D9D9"/>
            <w:noWrap/>
            <w:vAlign w:val="center"/>
            <w:hideMark/>
          </w:tcPr>
          <w:p w14:paraId="2EB9AC7E"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150%</w:t>
            </w:r>
          </w:p>
        </w:tc>
        <w:tc>
          <w:tcPr>
            <w:tcW w:w="1984" w:type="dxa"/>
            <w:shd w:val="clear" w:color="000000" w:fill="D9D9D9"/>
            <w:noWrap/>
            <w:vAlign w:val="center"/>
            <w:hideMark/>
          </w:tcPr>
          <w:p w14:paraId="241B23FC"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270%</w:t>
            </w:r>
          </w:p>
        </w:tc>
        <w:tc>
          <w:tcPr>
            <w:tcW w:w="6379" w:type="dxa"/>
            <w:gridSpan w:val="2"/>
            <w:shd w:val="clear" w:color="000000" w:fill="D9D9D9"/>
            <w:noWrap/>
            <w:vAlign w:val="bottom"/>
            <w:hideMark/>
          </w:tcPr>
          <w:p w14:paraId="40403597" w14:textId="77777777" w:rsidR="00430727" w:rsidRPr="00430727" w:rsidRDefault="00430727" w:rsidP="00430727">
            <w:pPr>
              <w:spacing w:after="0" w:line="240" w:lineRule="auto"/>
              <w:rPr>
                <w:rFonts w:eastAsia="Times New Roman" w:cstheme="minorHAnsi"/>
                <w:color w:val="000000"/>
                <w:sz w:val="16"/>
                <w:szCs w:val="16"/>
                <w:lang w:eastAsia="en-GB"/>
              </w:rPr>
            </w:pPr>
            <w:r w:rsidRPr="00430727">
              <w:rPr>
                <w:rFonts w:eastAsia="Times New Roman" w:cstheme="minorHAnsi"/>
                <w:color w:val="000000"/>
                <w:sz w:val="16"/>
                <w:szCs w:val="16"/>
                <w:lang w:eastAsia="en-GB"/>
              </w:rPr>
              <w:t>Percentages are relative to food-production energy: 270% is a current FAO estimate</w:t>
            </w:r>
          </w:p>
        </w:tc>
      </w:tr>
      <w:tr w:rsidR="00430727" w:rsidRPr="00430727" w14:paraId="10D8B5DF" w14:textId="77777777" w:rsidTr="00745EF9">
        <w:trPr>
          <w:trHeight w:val="255"/>
        </w:trPr>
        <w:tc>
          <w:tcPr>
            <w:tcW w:w="3493" w:type="dxa"/>
            <w:shd w:val="clear" w:color="000000" w:fill="A6A6A6"/>
            <w:noWrap/>
            <w:vAlign w:val="bottom"/>
            <w:hideMark/>
          </w:tcPr>
          <w:p w14:paraId="2074E48B"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Total food-energy intake</w:t>
            </w:r>
          </w:p>
        </w:tc>
        <w:tc>
          <w:tcPr>
            <w:tcW w:w="1446" w:type="dxa"/>
            <w:shd w:val="clear" w:color="000000" w:fill="D9D9D9"/>
            <w:noWrap/>
            <w:vAlign w:val="center"/>
            <w:hideMark/>
          </w:tcPr>
          <w:p w14:paraId="3F707659"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Default</w:t>
            </w:r>
          </w:p>
        </w:tc>
        <w:tc>
          <w:tcPr>
            <w:tcW w:w="1276" w:type="dxa"/>
            <w:shd w:val="clear" w:color="000000" w:fill="D9D9D9"/>
            <w:noWrap/>
            <w:vAlign w:val="center"/>
            <w:hideMark/>
          </w:tcPr>
          <w:p w14:paraId="5879039B"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D9D9D9"/>
            <w:noWrap/>
            <w:vAlign w:val="center"/>
            <w:hideMark/>
          </w:tcPr>
          <w:p w14:paraId="358C31E4"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125%</w:t>
            </w:r>
          </w:p>
        </w:tc>
        <w:tc>
          <w:tcPr>
            <w:tcW w:w="6379" w:type="dxa"/>
            <w:gridSpan w:val="2"/>
            <w:shd w:val="clear" w:color="000000" w:fill="D9D9D9"/>
            <w:noWrap/>
            <w:vAlign w:val="bottom"/>
            <w:hideMark/>
          </w:tcPr>
          <w:p w14:paraId="5E62D6D6"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So intake is ~2,000-3,000 kcal/capita, depending upon age</w:t>
            </w:r>
          </w:p>
        </w:tc>
      </w:tr>
      <w:tr w:rsidR="00430727" w:rsidRPr="00430727" w14:paraId="0A78C122" w14:textId="77777777" w:rsidTr="00745EF9">
        <w:trPr>
          <w:trHeight w:val="255"/>
        </w:trPr>
        <w:tc>
          <w:tcPr>
            <w:tcW w:w="3493" w:type="dxa"/>
            <w:shd w:val="clear" w:color="000000" w:fill="A6A6A6"/>
            <w:noWrap/>
            <w:vAlign w:val="bottom"/>
            <w:hideMark/>
          </w:tcPr>
          <w:p w14:paraId="64C5F597"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Food-waste</w:t>
            </w:r>
          </w:p>
        </w:tc>
        <w:tc>
          <w:tcPr>
            <w:tcW w:w="1446" w:type="dxa"/>
            <w:shd w:val="clear" w:color="000000" w:fill="D9D9D9"/>
            <w:noWrap/>
            <w:vAlign w:val="center"/>
            <w:hideMark/>
          </w:tcPr>
          <w:p w14:paraId="196B89EF"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15%</w:t>
            </w:r>
          </w:p>
        </w:tc>
        <w:tc>
          <w:tcPr>
            <w:tcW w:w="1276" w:type="dxa"/>
            <w:shd w:val="clear" w:color="000000" w:fill="D9D9D9"/>
            <w:noWrap/>
            <w:vAlign w:val="center"/>
            <w:hideMark/>
          </w:tcPr>
          <w:p w14:paraId="4D9754C3"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7.5%</w:t>
            </w:r>
          </w:p>
        </w:tc>
        <w:tc>
          <w:tcPr>
            <w:tcW w:w="1984" w:type="dxa"/>
            <w:shd w:val="clear" w:color="000000" w:fill="D9D9D9"/>
            <w:noWrap/>
            <w:vAlign w:val="center"/>
            <w:hideMark/>
          </w:tcPr>
          <w:p w14:paraId="419BACDC"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30%</w:t>
            </w:r>
          </w:p>
        </w:tc>
        <w:tc>
          <w:tcPr>
            <w:tcW w:w="6379" w:type="dxa"/>
            <w:gridSpan w:val="2"/>
            <w:shd w:val="clear" w:color="000000" w:fill="D9D9D9"/>
            <w:noWrap/>
            <w:vAlign w:val="bottom"/>
            <w:hideMark/>
          </w:tcPr>
          <w:p w14:paraId="0C433C9B"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30% is approaching current levels</w:t>
            </w:r>
          </w:p>
        </w:tc>
      </w:tr>
      <w:tr w:rsidR="00430727" w:rsidRPr="00430727" w14:paraId="747BDFCA" w14:textId="77777777" w:rsidTr="00745EF9">
        <w:trPr>
          <w:trHeight w:val="255"/>
        </w:trPr>
        <w:tc>
          <w:tcPr>
            <w:tcW w:w="3493" w:type="dxa"/>
            <w:shd w:val="clear" w:color="000000" w:fill="A6A6A6"/>
            <w:noWrap/>
            <w:vAlign w:val="bottom"/>
            <w:hideMark/>
          </w:tcPr>
          <w:p w14:paraId="5595D904"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Food intake cooked</w:t>
            </w:r>
          </w:p>
        </w:tc>
        <w:tc>
          <w:tcPr>
            <w:tcW w:w="1446" w:type="dxa"/>
            <w:shd w:val="clear" w:color="000000" w:fill="D9D9D9"/>
            <w:noWrap/>
            <w:vAlign w:val="center"/>
            <w:hideMark/>
          </w:tcPr>
          <w:p w14:paraId="70B359F9"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50%</w:t>
            </w:r>
          </w:p>
        </w:tc>
        <w:tc>
          <w:tcPr>
            <w:tcW w:w="1276" w:type="dxa"/>
            <w:shd w:val="clear" w:color="000000" w:fill="D9D9D9"/>
            <w:noWrap/>
            <w:vAlign w:val="center"/>
            <w:hideMark/>
          </w:tcPr>
          <w:p w14:paraId="2B8F9866"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33%</w:t>
            </w:r>
          </w:p>
        </w:tc>
        <w:tc>
          <w:tcPr>
            <w:tcW w:w="1984" w:type="dxa"/>
            <w:shd w:val="clear" w:color="000000" w:fill="D9D9D9"/>
            <w:noWrap/>
            <w:vAlign w:val="center"/>
            <w:hideMark/>
          </w:tcPr>
          <w:p w14:paraId="3ED64D1B"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75%</w:t>
            </w:r>
          </w:p>
        </w:tc>
        <w:tc>
          <w:tcPr>
            <w:tcW w:w="6379" w:type="dxa"/>
            <w:gridSpan w:val="2"/>
            <w:shd w:val="clear" w:color="000000" w:fill="D9D9D9"/>
            <w:noWrap/>
            <w:vAlign w:val="bottom"/>
            <w:hideMark/>
          </w:tcPr>
          <w:p w14:paraId="3E58ECA9"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An arbitrary 50% increase and decrease from the default</w:t>
            </w:r>
          </w:p>
        </w:tc>
      </w:tr>
      <w:tr w:rsidR="00430727" w:rsidRPr="00430727" w14:paraId="2162FBA5" w14:textId="77777777" w:rsidTr="00745EF9">
        <w:trPr>
          <w:trHeight w:val="285"/>
        </w:trPr>
        <w:tc>
          <w:tcPr>
            <w:tcW w:w="3493" w:type="dxa"/>
            <w:shd w:val="clear" w:color="000000" w:fill="BFBFBF"/>
            <w:noWrap/>
            <w:vAlign w:val="bottom"/>
            <w:hideMark/>
          </w:tcPr>
          <w:p w14:paraId="4F4544C3" w14:textId="77777777" w:rsidR="00430727" w:rsidRPr="00430727" w:rsidRDefault="00430727" w:rsidP="00430727">
            <w:pPr>
              <w:spacing w:after="0" w:line="240" w:lineRule="auto"/>
              <w:rPr>
                <w:rFonts w:eastAsia="Times New Roman" w:cstheme="minorHAnsi"/>
                <w:b/>
                <w:bCs/>
                <w:color w:val="000000"/>
                <w:sz w:val="21"/>
                <w:szCs w:val="21"/>
                <w:lang w:eastAsia="en-GB"/>
              </w:rPr>
            </w:pPr>
            <w:r w:rsidRPr="00430727">
              <w:rPr>
                <w:rFonts w:eastAsia="Times New Roman" w:cstheme="minorHAnsi"/>
                <w:b/>
                <w:bCs/>
                <w:color w:val="000000"/>
                <w:sz w:val="21"/>
                <w:szCs w:val="21"/>
                <w:lang w:eastAsia="en-GB"/>
              </w:rPr>
              <w:t>Mobility</w:t>
            </w:r>
          </w:p>
        </w:tc>
        <w:tc>
          <w:tcPr>
            <w:tcW w:w="1446" w:type="dxa"/>
            <w:shd w:val="clear" w:color="000000" w:fill="F2F2F2"/>
            <w:noWrap/>
            <w:vAlign w:val="center"/>
            <w:hideMark/>
          </w:tcPr>
          <w:p w14:paraId="2F6BDAC3"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1276" w:type="dxa"/>
            <w:shd w:val="clear" w:color="000000" w:fill="F2F2F2"/>
            <w:noWrap/>
            <w:vAlign w:val="center"/>
            <w:hideMark/>
          </w:tcPr>
          <w:p w14:paraId="57B43039"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1984" w:type="dxa"/>
            <w:shd w:val="clear" w:color="000000" w:fill="F2F2F2"/>
            <w:noWrap/>
            <w:vAlign w:val="center"/>
            <w:hideMark/>
          </w:tcPr>
          <w:p w14:paraId="36AADC31"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6379" w:type="dxa"/>
            <w:gridSpan w:val="2"/>
            <w:shd w:val="clear" w:color="000000" w:fill="F2F2F2"/>
            <w:noWrap/>
            <w:vAlign w:val="bottom"/>
            <w:hideMark/>
          </w:tcPr>
          <w:p w14:paraId="53CE0357"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r>
      <w:tr w:rsidR="00430727" w:rsidRPr="00430727" w14:paraId="03CC700E" w14:textId="77777777" w:rsidTr="00745EF9">
        <w:trPr>
          <w:trHeight w:val="255"/>
        </w:trPr>
        <w:tc>
          <w:tcPr>
            <w:tcW w:w="3493" w:type="dxa"/>
            <w:shd w:val="clear" w:color="000000" w:fill="BFBFBF"/>
            <w:noWrap/>
            <w:vAlign w:val="bottom"/>
            <w:hideMark/>
          </w:tcPr>
          <w:p w14:paraId="6D5CB704"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Mode-share</w:t>
            </w:r>
          </w:p>
        </w:tc>
        <w:tc>
          <w:tcPr>
            <w:tcW w:w="1446" w:type="dxa"/>
            <w:shd w:val="clear" w:color="000000" w:fill="F2F2F2"/>
            <w:noWrap/>
            <w:vAlign w:val="center"/>
            <w:hideMark/>
          </w:tcPr>
          <w:p w14:paraId="18E5F8A3"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Default</w:t>
            </w:r>
          </w:p>
        </w:tc>
        <w:tc>
          <w:tcPr>
            <w:tcW w:w="1276" w:type="dxa"/>
            <w:shd w:val="clear" w:color="000000" w:fill="F2F2F2"/>
            <w:noWrap/>
            <w:vAlign w:val="center"/>
            <w:hideMark/>
          </w:tcPr>
          <w:p w14:paraId="49803325"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No flying</w:t>
            </w:r>
          </w:p>
        </w:tc>
        <w:tc>
          <w:tcPr>
            <w:tcW w:w="1984" w:type="dxa"/>
            <w:shd w:val="clear" w:color="000000" w:fill="F2F2F2"/>
            <w:noWrap/>
            <w:vAlign w:val="center"/>
            <w:hideMark/>
          </w:tcPr>
          <w:p w14:paraId="5636F98B"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More driving &amp; flying</w:t>
            </w:r>
          </w:p>
        </w:tc>
        <w:tc>
          <w:tcPr>
            <w:tcW w:w="6379" w:type="dxa"/>
            <w:gridSpan w:val="2"/>
            <w:shd w:val="clear" w:color="000000" w:fill="F2F2F2"/>
            <w:noWrap/>
            <w:vAlign w:val="bottom"/>
            <w:hideMark/>
          </w:tcPr>
          <w:p w14:paraId="161020F1" w14:textId="77777777" w:rsidR="00430727" w:rsidRPr="00430727" w:rsidRDefault="00430727" w:rsidP="00430727">
            <w:pPr>
              <w:spacing w:after="0" w:line="240" w:lineRule="auto"/>
              <w:rPr>
                <w:rFonts w:eastAsia="Times New Roman" w:cstheme="minorHAnsi"/>
                <w:color w:val="000000"/>
                <w:sz w:val="16"/>
                <w:szCs w:val="16"/>
                <w:lang w:eastAsia="en-GB"/>
              </w:rPr>
            </w:pPr>
            <w:r w:rsidRPr="00430727">
              <w:rPr>
                <w:rFonts w:eastAsia="Times New Roman" w:cstheme="minorHAnsi"/>
                <w:i/>
                <w:iCs/>
                <w:color w:val="000000"/>
                <w:sz w:val="16"/>
                <w:szCs w:val="16"/>
                <w:lang w:eastAsia="en-GB"/>
              </w:rPr>
              <w:t>High energy:</w:t>
            </w:r>
            <w:r w:rsidRPr="00430727">
              <w:rPr>
                <w:rFonts w:eastAsia="Times New Roman" w:cstheme="minorHAnsi"/>
                <w:color w:val="000000"/>
                <w:sz w:val="16"/>
                <w:szCs w:val="16"/>
                <w:lang w:eastAsia="en-GB"/>
              </w:rPr>
              <w:t xml:space="preserve"> Car use increases 20%</w:t>
            </w:r>
            <w:r w:rsidRPr="00430727">
              <w:rPr>
                <w:rFonts w:ascii="Arial" w:eastAsia="Times New Roman" w:hAnsi="Arial" w:cs="Arial"/>
                <w:b/>
                <w:bCs/>
                <w:color w:val="000000"/>
                <w:sz w:val="16"/>
                <w:szCs w:val="16"/>
                <w:lang w:eastAsia="en-GB"/>
              </w:rPr>
              <w:t>→</w:t>
            </w:r>
            <w:r w:rsidRPr="00430727">
              <w:rPr>
                <w:rFonts w:eastAsia="Times New Roman" w:cstheme="minorHAnsi"/>
                <w:color w:val="000000"/>
                <w:sz w:val="16"/>
                <w:szCs w:val="16"/>
                <w:lang w:eastAsia="en-GB"/>
              </w:rPr>
              <w:t>50%; buses &amp; rail decrease 40%</w:t>
            </w:r>
            <w:r w:rsidRPr="00430727">
              <w:rPr>
                <w:rFonts w:ascii="Arial" w:eastAsia="Times New Roman" w:hAnsi="Arial" w:cs="Arial"/>
                <w:b/>
                <w:bCs/>
                <w:color w:val="000000"/>
                <w:sz w:val="16"/>
                <w:szCs w:val="16"/>
                <w:lang w:eastAsia="en-GB"/>
              </w:rPr>
              <w:t>→</w:t>
            </w:r>
            <w:r w:rsidRPr="00430727">
              <w:rPr>
                <w:rFonts w:eastAsia="Times New Roman" w:cstheme="minorHAnsi"/>
                <w:color w:val="000000"/>
                <w:sz w:val="16"/>
                <w:szCs w:val="16"/>
                <w:lang w:eastAsia="en-GB"/>
              </w:rPr>
              <w:t xml:space="preserve">25%; 1 flight per 2 </w:t>
            </w:r>
            <w:proofErr w:type="spellStart"/>
            <w:r w:rsidRPr="00430727">
              <w:rPr>
                <w:rFonts w:eastAsia="Times New Roman" w:cstheme="minorHAnsi"/>
                <w:color w:val="000000"/>
                <w:sz w:val="16"/>
                <w:szCs w:val="16"/>
                <w:lang w:eastAsia="en-GB"/>
              </w:rPr>
              <w:t>yrs</w:t>
            </w:r>
            <w:proofErr w:type="spellEnd"/>
          </w:p>
        </w:tc>
      </w:tr>
      <w:tr w:rsidR="00430727" w:rsidRPr="00430727" w14:paraId="333ABFBD" w14:textId="77777777" w:rsidTr="00745EF9">
        <w:trPr>
          <w:trHeight w:val="255"/>
        </w:trPr>
        <w:tc>
          <w:tcPr>
            <w:tcW w:w="3493" w:type="dxa"/>
            <w:shd w:val="clear" w:color="000000" w:fill="BFBFBF"/>
            <w:noWrap/>
            <w:vAlign w:val="bottom"/>
            <w:hideMark/>
          </w:tcPr>
          <w:p w14:paraId="54F38CE5"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Activity-levels</w:t>
            </w:r>
          </w:p>
        </w:tc>
        <w:tc>
          <w:tcPr>
            <w:tcW w:w="1446" w:type="dxa"/>
            <w:shd w:val="clear" w:color="000000" w:fill="F2F2F2"/>
            <w:noWrap/>
            <w:vAlign w:val="center"/>
            <w:hideMark/>
          </w:tcPr>
          <w:p w14:paraId="1E7115CB"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Default</w:t>
            </w:r>
          </w:p>
        </w:tc>
        <w:tc>
          <w:tcPr>
            <w:tcW w:w="1276" w:type="dxa"/>
            <w:shd w:val="clear" w:color="000000" w:fill="F2F2F2"/>
            <w:noWrap/>
            <w:vAlign w:val="center"/>
            <w:hideMark/>
          </w:tcPr>
          <w:p w14:paraId="735DD619"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75%</w:t>
            </w:r>
          </w:p>
        </w:tc>
        <w:tc>
          <w:tcPr>
            <w:tcW w:w="1984" w:type="dxa"/>
            <w:shd w:val="clear" w:color="000000" w:fill="F2F2F2"/>
            <w:noWrap/>
            <w:vAlign w:val="center"/>
            <w:hideMark/>
          </w:tcPr>
          <w:p w14:paraId="71EB769D"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150%</w:t>
            </w:r>
          </w:p>
        </w:tc>
        <w:tc>
          <w:tcPr>
            <w:tcW w:w="6379" w:type="dxa"/>
            <w:gridSpan w:val="2"/>
            <w:shd w:val="clear" w:color="000000" w:fill="F2F2F2"/>
            <w:noWrap/>
            <w:vAlign w:val="bottom"/>
            <w:hideMark/>
          </w:tcPr>
          <w:p w14:paraId="713256D9" w14:textId="77777777" w:rsidR="00430727" w:rsidRPr="00430727" w:rsidRDefault="00430727" w:rsidP="00430727">
            <w:pPr>
              <w:spacing w:after="0" w:line="240" w:lineRule="auto"/>
              <w:rPr>
                <w:rFonts w:eastAsia="Times New Roman" w:cstheme="minorHAnsi"/>
                <w:color w:val="000000"/>
                <w:sz w:val="16"/>
                <w:szCs w:val="16"/>
                <w:lang w:eastAsia="en-GB"/>
              </w:rPr>
            </w:pPr>
            <w:r w:rsidRPr="00430727">
              <w:rPr>
                <w:rFonts w:eastAsia="Times New Roman" w:cstheme="minorHAnsi"/>
                <w:color w:val="000000"/>
                <w:sz w:val="16"/>
                <w:szCs w:val="16"/>
                <w:lang w:eastAsia="en-GB"/>
              </w:rPr>
              <w:t>A 50% increase brings mobility levels up to the higher end of the IEA's (2017) assumptions</w:t>
            </w:r>
          </w:p>
        </w:tc>
      </w:tr>
      <w:tr w:rsidR="00430727" w:rsidRPr="00430727" w14:paraId="122240A5" w14:textId="77777777" w:rsidTr="00745EF9">
        <w:trPr>
          <w:trHeight w:val="255"/>
        </w:trPr>
        <w:tc>
          <w:tcPr>
            <w:tcW w:w="3493" w:type="dxa"/>
            <w:shd w:val="clear" w:color="000000" w:fill="BFBFBF"/>
            <w:noWrap/>
            <w:vAlign w:val="bottom"/>
            <w:hideMark/>
          </w:tcPr>
          <w:p w14:paraId="6FDA87B4"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Direct &amp; embodied energy intensities</w:t>
            </w:r>
          </w:p>
        </w:tc>
        <w:tc>
          <w:tcPr>
            <w:tcW w:w="1446" w:type="dxa"/>
            <w:shd w:val="clear" w:color="000000" w:fill="F2F2F2"/>
            <w:noWrap/>
            <w:vAlign w:val="center"/>
            <w:hideMark/>
          </w:tcPr>
          <w:p w14:paraId="2D9500A0"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Default</w:t>
            </w:r>
          </w:p>
        </w:tc>
        <w:tc>
          <w:tcPr>
            <w:tcW w:w="1276" w:type="dxa"/>
            <w:shd w:val="clear" w:color="000000" w:fill="F2F2F2"/>
            <w:noWrap/>
            <w:vAlign w:val="center"/>
            <w:hideMark/>
          </w:tcPr>
          <w:p w14:paraId="4845B3E5"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F2F2F2"/>
            <w:noWrap/>
            <w:vAlign w:val="center"/>
            <w:hideMark/>
          </w:tcPr>
          <w:p w14:paraId="351333C1"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200%</w:t>
            </w:r>
          </w:p>
        </w:tc>
        <w:tc>
          <w:tcPr>
            <w:tcW w:w="6379" w:type="dxa"/>
            <w:gridSpan w:val="2"/>
            <w:shd w:val="clear" w:color="000000" w:fill="F2F2F2"/>
            <w:noWrap/>
            <w:vAlign w:val="bottom"/>
            <w:hideMark/>
          </w:tcPr>
          <w:p w14:paraId="3CB54B9B" w14:textId="77777777" w:rsidR="00430727" w:rsidRPr="00430727" w:rsidRDefault="00430727" w:rsidP="00430727">
            <w:pPr>
              <w:spacing w:after="0" w:line="240" w:lineRule="auto"/>
              <w:rPr>
                <w:rFonts w:eastAsia="Times New Roman" w:cstheme="minorHAnsi"/>
                <w:color w:val="000000"/>
                <w:sz w:val="16"/>
                <w:szCs w:val="16"/>
                <w:lang w:eastAsia="en-GB"/>
              </w:rPr>
            </w:pPr>
            <w:r w:rsidRPr="00430727">
              <w:rPr>
                <w:rFonts w:eastAsia="Times New Roman" w:cstheme="minorHAnsi"/>
                <w:color w:val="000000"/>
                <w:sz w:val="16"/>
                <w:szCs w:val="16"/>
                <w:lang w:eastAsia="en-GB"/>
              </w:rPr>
              <w:t>This keeps the values within the ranges of Chester and Horvath (2009) and Chester et al. (2013)</w:t>
            </w:r>
          </w:p>
        </w:tc>
      </w:tr>
      <w:tr w:rsidR="00430727" w:rsidRPr="00430727" w14:paraId="0E74A0CF" w14:textId="77777777" w:rsidTr="00745EF9">
        <w:trPr>
          <w:trHeight w:val="285"/>
        </w:trPr>
        <w:tc>
          <w:tcPr>
            <w:tcW w:w="3493" w:type="dxa"/>
            <w:shd w:val="clear" w:color="000000" w:fill="A6A6A6"/>
            <w:noWrap/>
            <w:vAlign w:val="bottom"/>
            <w:hideMark/>
          </w:tcPr>
          <w:p w14:paraId="4716AA6B" w14:textId="77777777" w:rsidR="00430727" w:rsidRPr="00430727" w:rsidRDefault="00430727" w:rsidP="00430727">
            <w:pPr>
              <w:spacing w:after="0" w:line="240" w:lineRule="auto"/>
              <w:rPr>
                <w:rFonts w:eastAsia="Times New Roman" w:cstheme="minorHAnsi"/>
                <w:b/>
                <w:bCs/>
                <w:color w:val="000000"/>
                <w:sz w:val="21"/>
                <w:szCs w:val="21"/>
                <w:lang w:eastAsia="en-GB"/>
              </w:rPr>
            </w:pPr>
            <w:r w:rsidRPr="00430727">
              <w:rPr>
                <w:rFonts w:eastAsia="Times New Roman" w:cstheme="minorHAnsi"/>
                <w:b/>
                <w:bCs/>
                <w:color w:val="000000"/>
                <w:sz w:val="21"/>
                <w:szCs w:val="21"/>
                <w:lang w:eastAsia="en-GB"/>
              </w:rPr>
              <w:t>Communication &amp; information</w:t>
            </w:r>
          </w:p>
        </w:tc>
        <w:tc>
          <w:tcPr>
            <w:tcW w:w="1446" w:type="dxa"/>
            <w:shd w:val="clear" w:color="000000" w:fill="D9D9D9"/>
            <w:noWrap/>
            <w:vAlign w:val="center"/>
            <w:hideMark/>
          </w:tcPr>
          <w:p w14:paraId="4B94B8B7"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1276" w:type="dxa"/>
            <w:shd w:val="clear" w:color="000000" w:fill="D9D9D9"/>
            <w:noWrap/>
            <w:vAlign w:val="center"/>
            <w:hideMark/>
          </w:tcPr>
          <w:p w14:paraId="237F2943"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1984" w:type="dxa"/>
            <w:shd w:val="clear" w:color="000000" w:fill="D9D9D9"/>
            <w:noWrap/>
            <w:vAlign w:val="center"/>
            <w:hideMark/>
          </w:tcPr>
          <w:p w14:paraId="605EAE94"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6379" w:type="dxa"/>
            <w:gridSpan w:val="2"/>
            <w:shd w:val="clear" w:color="000000" w:fill="D9D9D9"/>
            <w:noWrap/>
            <w:vAlign w:val="bottom"/>
            <w:hideMark/>
          </w:tcPr>
          <w:p w14:paraId="2B5C494C"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r>
      <w:tr w:rsidR="00430727" w:rsidRPr="00430727" w14:paraId="3D917020" w14:textId="77777777" w:rsidTr="00745EF9">
        <w:trPr>
          <w:trHeight w:val="255"/>
        </w:trPr>
        <w:tc>
          <w:tcPr>
            <w:tcW w:w="3493" w:type="dxa"/>
            <w:shd w:val="clear" w:color="000000" w:fill="A6A6A6"/>
            <w:noWrap/>
            <w:vAlign w:val="bottom"/>
            <w:hideMark/>
          </w:tcPr>
          <w:p w14:paraId="2B49E185"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Phone ownership age</w:t>
            </w:r>
          </w:p>
        </w:tc>
        <w:tc>
          <w:tcPr>
            <w:tcW w:w="1446" w:type="dxa"/>
            <w:shd w:val="clear" w:color="000000" w:fill="D9D9D9"/>
            <w:noWrap/>
            <w:vAlign w:val="center"/>
            <w:hideMark/>
          </w:tcPr>
          <w:p w14:paraId="4C5D6742"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xml:space="preserve">10 </w:t>
            </w:r>
            <w:proofErr w:type="spellStart"/>
            <w:r w:rsidRPr="00430727">
              <w:rPr>
                <w:rFonts w:eastAsia="Times New Roman" w:cstheme="minorHAnsi"/>
                <w:color w:val="000000"/>
                <w:sz w:val="18"/>
                <w:szCs w:val="18"/>
                <w:lang w:eastAsia="en-GB"/>
              </w:rPr>
              <w:t>yrs</w:t>
            </w:r>
            <w:proofErr w:type="spellEnd"/>
          </w:p>
        </w:tc>
        <w:tc>
          <w:tcPr>
            <w:tcW w:w="1276" w:type="dxa"/>
            <w:shd w:val="clear" w:color="000000" w:fill="D9D9D9"/>
            <w:noWrap/>
            <w:vAlign w:val="center"/>
            <w:hideMark/>
          </w:tcPr>
          <w:p w14:paraId="364F34CE"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xml:space="preserve">15 </w:t>
            </w:r>
            <w:proofErr w:type="spellStart"/>
            <w:r w:rsidRPr="00430727">
              <w:rPr>
                <w:rFonts w:eastAsia="Times New Roman" w:cstheme="minorHAnsi"/>
                <w:color w:val="000000"/>
                <w:sz w:val="18"/>
                <w:szCs w:val="18"/>
                <w:lang w:eastAsia="en-GB"/>
              </w:rPr>
              <w:t>yrs</w:t>
            </w:r>
            <w:proofErr w:type="spellEnd"/>
          </w:p>
        </w:tc>
        <w:tc>
          <w:tcPr>
            <w:tcW w:w="1984" w:type="dxa"/>
            <w:shd w:val="clear" w:color="000000" w:fill="D9D9D9"/>
            <w:noWrap/>
            <w:vAlign w:val="center"/>
            <w:hideMark/>
          </w:tcPr>
          <w:p w14:paraId="17A996E9"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xml:space="preserve">5 </w:t>
            </w:r>
            <w:proofErr w:type="spellStart"/>
            <w:r w:rsidRPr="00430727">
              <w:rPr>
                <w:rFonts w:eastAsia="Times New Roman" w:cstheme="minorHAnsi"/>
                <w:color w:val="000000"/>
                <w:sz w:val="18"/>
                <w:szCs w:val="18"/>
                <w:lang w:eastAsia="en-GB"/>
              </w:rPr>
              <w:t>yrs</w:t>
            </w:r>
            <w:proofErr w:type="spellEnd"/>
          </w:p>
        </w:tc>
        <w:tc>
          <w:tcPr>
            <w:tcW w:w="6379" w:type="dxa"/>
            <w:gridSpan w:val="2"/>
            <w:shd w:val="clear" w:color="000000" w:fill="D9D9D9"/>
            <w:noWrap/>
            <w:vAlign w:val="bottom"/>
            <w:hideMark/>
          </w:tcPr>
          <w:p w14:paraId="600F147A"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Minimum age at which a person owns a mobile phone</w:t>
            </w:r>
          </w:p>
        </w:tc>
      </w:tr>
      <w:tr w:rsidR="00430727" w:rsidRPr="00430727" w14:paraId="031C26CC" w14:textId="77777777" w:rsidTr="00745EF9">
        <w:trPr>
          <w:trHeight w:val="255"/>
        </w:trPr>
        <w:tc>
          <w:tcPr>
            <w:tcW w:w="3493" w:type="dxa"/>
            <w:shd w:val="clear" w:color="000000" w:fill="A6A6A6"/>
            <w:noWrap/>
            <w:vAlign w:val="bottom"/>
            <w:hideMark/>
          </w:tcPr>
          <w:p w14:paraId="0F87535F"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Embodied energy intensities</w:t>
            </w:r>
          </w:p>
        </w:tc>
        <w:tc>
          <w:tcPr>
            <w:tcW w:w="1446" w:type="dxa"/>
            <w:shd w:val="clear" w:color="000000" w:fill="D9D9D9"/>
            <w:noWrap/>
            <w:vAlign w:val="center"/>
            <w:hideMark/>
          </w:tcPr>
          <w:p w14:paraId="55960B86"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Default</w:t>
            </w:r>
          </w:p>
        </w:tc>
        <w:tc>
          <w:tcPr>
            <w:tcW w:w="1276" w:type="dxa"/>
            <w:shd w:val="clear" w:color="000000" w:fill="D9D9D9"/>
            <w:noWrap/>
            <w:vAlign w:val="center"/>
            <w:hideMark/>
          </w:tcPr>
          <w:p w14:paraId="7844ED5E"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D9D9D9"/>
            <w:noWrap/>
            <w:vAlign w:val="center"/>
            <w:hideMark/>
          </w:tcPr>
          <w:p w14:paraId="07531940"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150%</w:t>
            </w:r>
          </w:p>
        </w:tc>
        <w:tc>
          <w:tcPr>
            <w:tcW w:w="6379" w:type="dxa"/>
            <w:gridSpan w:val="2"/>
            <w:shd w:val="clear" w:color="000000" w:fill="D9D9D9"/>
            <w:noWrap/>
            <w:vAlign w:val="bottom"/>
            <w:hideMark/>
          </w:tcPr>
          <w:p w14:paraId="19FC6785" w14:textId="77777777" w:rsidR="00430727" w:rsidRPr="00430727" w:rsidRDefault="00430727" w:rsidP="00430727">
            <w:pPr>
              <w:spacing w:after="0" w:line="240" w:lineRule="auto"/>
              <w:rPr>
                <w:rFonts w:eastAsia="Times New Roman" w:cstheme="minorHAnsi"/>
                <w:color w:val="000000"/>
                <w:sz w:val="16"/>
                <w:szCs w:val="16"/>
                <w:lang w:eastAsia="en-GB"/>
              </w:rPr>
            </w:pPr>
            <w:r w:rsidRPr="00430727">
              <w:rPr>
                <w:rFonts w:eastAsia="Times New Roman" w:cstheme="minorHAnsi"/>
                <w:color w:val="000000"/>
                <w:sz w:val="16"/>
                <w:szCs w:val="16"/>
                <w:lang w:eastAsia="en-GB"/>
              </w:rPr>
              <w:t xml:space="preserve">Based upon higher estimates from Deng et al. (2011) and </w:t>
            </w:r>
            <w:proofErr w:type="spellStart"/>
            <w:r w:rsidRPr="00430727">
              <w:rPr>
                <w:rFonts w:eastAsia="Times New Roman" w:cstheme="minorHAnsi"/>
                <w:color w:val="000000"/>
                <w:sz w:val="16"/>
                <w:szCs w:val="16"/>
                <w:lang w:eastAsia="en-GB"/>
              </w:rPr>
              <w:t>Proske</w:t>
            </w:r>
            <w:proofErr w:type="spellEnd"/>
            <w:r w:rsidRPr="00430727">
              <w:rPr>
                <w:rFonts w:eastAsia="Times New Roman" w:cstheme="minorHAnsi"/>
                <w:color w:val="000000"/>
                <w:sz w:val="16"/>
                <w:szCs w:val="16"/>
                <w:lang w:eastAsia="en-GB"/>
              </w:rPr>
              <w:t xml:space="preserve"> et al. (2016)</w:t>
            </w:r>
          </w:p>
        </w:tc>
      </w:tr>
      <w:tr w:rsidR="00430727" w:rsidRPr="00430727" w14:paraId="539DAFD9" w14:textId="77777777" w:rsidTr="00745EF9">
        <w:trPr>
          <w:trHeight w:val="255"/>
        </w:trPr>
        <w:tc>
          <w:tcPr>
            <w:tcW w:w="3493" w:type="dxa"/>
            <w:shd w:val="clear" w:color="000000" w:fill="A6A6A6"/>
            <w:noWrap/>
            <w:vAlign w:val="bottom"/>
            <w:hideMark/>
          </w:tcPr>
          <w:p w14:paraId="6A090C8A"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Network energy for computers</w:t>
            </w:r>
          </w:p>
        </w:tc>
        <w:tc>
          <w:tcPr>
            <w:tcW w:w="1446" w:type="dxa"/>
            <w:shd w:val="clear" w:color="000000" w:fill="D9D9D9"/>
            <w:noWrap/>
            <w:vAlign w:val="center"/>
            <w:hideMark/>
          </w:tcPr>
          <w:p w14:paraId="7832FF52"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Default</w:t>
            </w:r>
          </w:p>
        </w:tc>
        <w:tc>
          <w:tcPr>
            <w:tcW w:w="1276" w:type="dxa"/>
            <w:shd w:val="clear" w:color="000000" w:fill="D9D9D9"/>
            <w:noWrap/>
            <w:vAlign w:val="center"/>
            <w:hideMark/>
          </w:tcPr>
          <w:p w14:paraId="5779E0ED"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D9D9D9"/>
            <w:noWrap/>
            <w:vAlign w:val="center"/>
            <w:hideMark/>
          </w:tcPr>
          <w:p w14:paraId="79B6D2EA"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200%</w:t>
            </w:r>
          </w:p>
        </w:tc>
        <w:tc>
          <w:tcPr>
            <w:tcW w:w="6379" w:type="dxa"/>
            <w:gridSpan w:val="2"/>
            <w:shd w:val="clear" w:color="000000" w:fill="D9D9D9"/>
            <w:noWrap/>
            <w:vAlign w:val="bottom"/>
            <w:hideMark/>
          </w:tcPr>
          <w:p w14:paraId="75C64DA5"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An arbitrary 100% increase from the default</w:t>
            </w:r>
          </w:p>
        </w:tc>
      </w:tr>
      <w:tr w:rsidR="00430727" w:rsidRPr="00430727" w14:paraId="26D5D2F9" w14:textId="77777777" w:rsidTr="00745EF9">
        <w:trPr>
          <w:trHeight w:val="285"/>
        </w:trPr>
        <w:tc>
          <w:tcPr>
            <w:tcW w:w="3493" w:type="dxa"/>
            <w:shd w:val="clear" w:color="000000" w:fill="BFBFBF"/>
            <w:noWrap/>
            <w:vAlign w:val="bottom"/>
            <w:hideMark/>
          </w:tcPr>
          <w:p w14:paraId="636FE9E0" w14:textId="77777777" w:rsidR="00430727" w:rsidRPr="00430727" w:rsidRDefault="00430727" w:rsidP="00430727">
            <w:pPr>
              <w:spacing w:after="0" w:line="240" w:lineRule="auto"/>
              <w:rPr>
                <w:rFonts w:eastAsia="Times New Roman" w:cstheme="minorHAnsi"/>
                <w:b/>
                <w:bCs/>
                <w:color w:val="000000"/>
                <w:sz w:val="21"/>
                <w:szCs w:val="21"/>
                <w:lang w:eastAsia="en-GB"/>
              </w:rPr>
            </w:pPr>
            <w:r w:rsidRPr="00430727">
              <w:rPr>
                <w:rFonts w:eastAsia="Times New Roman" w:cstheme="minorHAnsi"/>
                <w:b/>
                <w:bCs/>
                <w:color w:val="000000"/>
                <w:sz w:val="21"/>
                <w:szCs w:val="21"/>
                <w:lang w:eastAsia="en-GB"/>
              </w:rPr>
              <w:t>Clothing</w:t>
            </w:r>
          </w:p>
        </w:tc>
        <w:tc>
          <w:tcPr>
            <w:tcW w:w="1446" w:type="dxa"/>
            <w:shd w:val="clear" w:color="000000" w:fill="F2F2F2"/>
            <w:noWrap/>
            <w:vAlign w:val="center"/>
            <w:hideMark/>
          </w:tcPr>
          <w:p w14:paraId="576C329B"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1276" w:type="dxa"/>
            <w:shd w:val="clear" w:color="000000" w:fill="F2F2F2"/>
            <w:noWrap/>
            <w:vAlign w:val="center"/>
            <w:hideMark/>
          </w:tcPr>
          <w:p w14:paraId="6CDE444A"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1984" w:type="dxa"/>
            <w:shd w:val="clear" w:color="000000" w:fill="F2F2F2"/>
            <w:noWrap/>
            <w:vAlign w:val="center"/>
            <w:hideMark/>
          </w:tcPr>
          <w:p w14:paraId="25EEBEE0"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6379" w:type="dxa"/>
            <w:gridSpan w:val="2"/>
            <w:shd w:val="clear" w:color="000000" w:fill="F2F2F2"/>
            <w:noWrap/>
            <w:vAlign w:val="bottom"/>
            <w:hideMark/>
          </w:tcPr>
          <w:p w14:paraId="531D51BE"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r>
      <w:tr w:rsidR="00430727" w:rsidRPr="00430727" w14:paraId="7459261A" w14:textId="77777777" w:rsidTr="00745EF9">
        <w:trPr>
          <w:trHeight w:val="255"/>
        </w:trPr>
        <w:tc>
          <w:tcPr>
            <w:tcW w:w="3493" w:type="dxa"/>
            <w:shd w:val="clear" w:color="000000" w:fill="BFBFBF"/>
            <w:noWrap/>
            <w:vAlign w:val="bottom"/>
            <w:hideMark/>
          </w:tcPr>
          <w:p w14:paraId="740B51FA"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Lifetimes</w:t>
            </w:r>
          </w:p>
        </w:tc>
        <w:tc>
          <w:tcPr>
            <w:tcW w:w="1446" w:type="dxa"/>
            <w:shd w:val="clear" w:color="000000" w:fill="F2F2F2"/>
            <w:noWrap/>
            <w:vAlign w:val="center"/>
            <w:hideMark/>
          </w:tcPr>
          <w:p w14:paraId="7154D483"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Default</w:t>
            </w:r>
          </w:p>
        </w:tc>
        <w:tc>
          <w:tcPr>
            <w:tcW w:w="1276" w:type="dxa"/>
            <w:shd w:val="clear" w:color="000000" w:fill="F2F2F2"/>
            <w:noWrap/>
            <w:vAlign w:val="center"/>
            <w:hideMark/>
          </w:tcPr>
          <w:p w14:paraId="5E69869F"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F2F2F2"/>
            <w:noWrap/>
            <w:vAlign w:val="center"/>
            <w:hideMark/>
          </w:tcPr>
          <w:p w14:paraId="115E644C"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75%</w:t>
            </w:r>
          </w:p>
        </w:tc>
        <w:tc>
          <w:tcPr>
            <w:tcW w:w="6379" w:type="dxa"/>
            <w:gridSpan w:val="2"/>
            <w:shd w:val="clear" w:color="000000" w:fill="F2F2F2"/>
            <w:noWrap/>
            <w:vAlign w:val="bottom"/>
            <w:hideMark/>
          </w:tcPr>
          <w:p w14:paraId="6D3A659D"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This matches WRAP data for current UK clothes lifetimes</w:t>
            </w:r>
          </w:p>
        </w:tc>
      </w:tr>
      <w:tr w:rsidR="00430727" w:rsidRPr="00430727" w14:paraId="4F558B19" w14:textId="77777777" w:rsidTr="00745EF9">
        <w:trPr>
          <w:trHeight w:val="255"/>
        </w:trPr>
        <w:tc>
          <w:tcPr>
            <w:tcW w:w="3493" w:type="dxa"/>
            <w:shd w:val="clear" w:color="000000" w:fill="BFBFBF"/>
            <w:noWrap/>
            <w:vAlign w:val="bottom"/>
            <w:hideMark/>
          </w:tcPr>
          <w:p w14:paraId="1B17AD35"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Days worn per wash</w:t>
            </w:r>
          </w:p>
        </w:tc>
        <w:tc>
          <w:tcPr>
            <w:tcW w:w="1446" w:type="dxa"/>
            <w:shd w:val="clear" w:color="000000" w:fill="F2F2F2"/>
            <w:noWrap/>
            <w:vAlign w:val="center"/>
            <w:hideMark/>
          </w:tcPr>
          <w:p w14:paraId="765C842C"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Default</w:t>
            </w:r>
          </w:p>
        </w:tc>
        <w:tc>
          <w:tcPr>
            <w:tcW w:w="1276" w:type="dxa"/>
            <w:shd w:val="clear" w:color="000000" w:fill="F2F2F2"/>
            <w:noWrap/>
            <w:vAlign w:val="center"/>
            <w:hideMark/>
          </w:tcPr>
          <w:p w14:paraId="5647757B"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F2F2F2"/>
            <w:noWrap/>
            <w:vAlign w:val="center"/>
            <w:hideMark/>
          </w:tcPr>
          <w:p w14:paraId="0E72E64C"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75%</w:t>
            </w:r>
          </w:p>
        </w:tc>
        <w:tc>
          <w:tcPr>
            <w:tcW w:w="6379" w:type="dxa"/>
            <w:gridSpan w:val="2"/>
            <w:shd w:val="clear" w:color="000000" w:fill="F2F2F2"/>
            <w:noWrap/>
            <w:vAlign w:val="bottom"/>
            <w:hideMark/>
          </w:tcPr>
          <w:p w14:paraId="68F9B9B0"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Set equal to the above</w:t>
            </w:r>
          </w:p>
        </w:tc>
      </w:tr>
      <w:tr w:rsidR="00430727" w:rsidRPr="00430727" w14:paraId="33334411" w14:textId="77777777" w:rsidTr="00745EF9">
        <w:trPr>
          <w:trHeight w:val="285"/>
        </w:trPr>
        <w:tc>
          <w:tcPr>
            <w:tcW w:w="3493" w:type="dxa"/>
            <w:shd w:val="clear" w:color="000000" w:fill="A6A6A6"/>
            <w:noWrap/>
            <w:vAlign w:val="bottom"/>
            <w:hideMark/>
          </w:tcPr>
          <w:p w14:paraId="1FC62915" w14:textId="77777777" w:rsidR="00430727" w:rsidRPr="00430727" w:rsidRDefault="00430727" w:rsidP="00430727">
            <w:pPr>
              <w:spacing w:after="0" w:line="240" w:lineRule="auto"/>
              <w:rPr>
                <w:rFonts w:eastAsia="Times New Roman" w:cstheme="minorHAnsi"/>
                <w:b/>
                <w:bCs/>
                <w:color w:val="000000"/>
                <w:sz w:val="21"/>
                <w:szCs w:val="21"/>
                <w:lang w:eastAsia="en-GB"/>
              </w:rPr>
            </w:pPr>
            <w:r w:rsidRPr="00430727">
              <w:rPr>
                <w:rFonts w:eastAsia="Times New Roman" w:cstheme="minorHAnsi"/>
                <w:b/>
                <w:bCs/>
                <w:color w:val="000000"/>
                <w:sz w:val="21"/>
                <w:szCs w:val="21"/>
                <w:lang w:eastAsia="en-GB"/>
              </w:rPr>
              <w:t>Public &amp; commercial services</w:t>
            </w:r>
          </w:p>
        </w:tc>
        <w:tc>
          <w:tcPr>
            <w:tcW w:w="1446" w:type="dxa"/>
            <w:shd w:val="clear" w:color="000000" w:fill="D9D9D9"/>
            <w:noWrap/>
            <w:vAlign w:val="center"/>
            <w:hideMark/>
          </w:tcPr>
          <w:p w14:paraId="1022CCCB"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1276" w:type="dxa"/>
            <w:shd w:val="clear" w:color="000000" w:fill="D9D9D9"/>
            <w:noWrap/>
            <w:vAlign w:val="center"/>
            <w:hideMark/>
          </w:tcPr>
          <w:p w14:paraId="22174A22"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1984" w:type="dxa"/>
            <w:shd w:val="clear" w:color="000000" w:fill="D9D9D9"/>
            <w:noWrap/>
            <w:vAlign w:val="center"/>
            <w:hideMark/>
          </w:tcPr>
          <w:p w14:paraId="7283D1A4"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6379" w:type="dxa"/>
            <w:gridSpan w:val="2"/>
            <w:shd w:val="clear" w:color="000000" w:fill="D9D9D9"/>
            <w:noWrap/>
            <w:vAlign w:val="bottom"/>
            <w:hideMark/>
          </w:tcPr>
          <w:p w14:paraId="460E71DF"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r>
      <w:tr w:rsidR="00430727" w:rsidRPr="00430727" w14:paraId="25AF0A1E" w14:textId="77777777" w:rsidTr="00745EF9">
        <w:trPr>
          <w:trHeight w:val="255"/>
        </w:trPr>
        <w:tc>
          <w:tcPr>
            <w:tcW w:w="3493" w:type="dxa"/>
            <w:shd w:val="clear" w:color="000000" w:fill="A6A6A6"/>
            <w:noWrap/>
            <w:vAlign w:val="bottom"/>
            <w:hideMark/>
          </w:tcPr>
          <w:p w14:paraId="50C701AA"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Public buildings floor space</w:t>
            </w:r>
          </w:p>
        </w:tc>
        <w:tc>
          <w:tcPr>
            <w:tcW w:w="1446" w:type="dxa"/>
            <w:shd w:val="clear" w:color="000000" w:fill="D9D9D9"/>
            <w:noWrap/>
            <w:vAlign w:val="center"/>
            <w:hideMark/>
          </w:tcPr>
          <w:p w14:paraId="7D97A727"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Default</w:t>
            </w:r>
          </w:p>
        </w:tc>
        <w:tc>
          <w:tcPr>
            <w:tcW w:w="1276" w:type="dxa"/>
            <w:shd w:val="clear" w:color="000000" w:fill="D9D9D9"/>
            <w:noWrap/>
            <w:vAlign w:val="center"/>
            <w:hideMark/>
          </w:tcPr>
          <w:p w14:paraId="3DF47F8D"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67%</w:t>
            </w:r>
          </w:p>
        </w:tc>
        <w:tc>
          <w:tcPr>
            <w:tcW w:w="1984" w:type="dxa"/>
            <w:shd w:val="clear" w:color="000000" w:fill="D9D9D9"/>
            <w:noWrap/>
            <w:vAlign w:val="center"/>
            <w:hideMark/>
          </w:tcPr>
          <w:p w14:paraId="67CE0BC7"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150%</w:t>
            </w:r>
          </w:p>
        </w:tc>
        <w:tc>
          <w:tcPr>
            <w:tcW w:w="6379" w:type="dxa"/>
            <w:gridSpan w:val="2"/>
            <w:shd w:val="clear" w:color="000000" w:fill="D9D9D9"/>
            <w:noWrap/>
            <w:vAlign w:val="bottom"/>
            <w:hideMark/>
          </w:tcPr>
          <w:p w14:paraId="66A6BD0A"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An arbitrary 50% increase and decrease from the default</w:t>
            </w:r>
          </w:p>
        </w:tc>
      </w:tr>
      <w:tr w:rsidR="00430727" w:rsidRPr="00430727" w14:paraId="4B0E25D1" w14:textId="77777777" w:rsidTr="00745EF9">
        <w:trPr>
          <w:trHeight w:val="255"/>
        </w:trPr>
        <w:tc>
          <w:tcPr>
            <w:tcW w:w="3493" w:type="dxa"/>
            <w:shd w:val="clear" w:color="000000" w:fill="A6A6A6"/>
            <w:noWrap/>
            <w:vAlign w:val="bottom"/>
            <w:hideMark/>
          </w:tcPr>
          <w:p w14:paraId="4723E070"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Building standards</w:t>
            </w:r>
          </w:p>
        </w:tc>
        <w:tc>
          <w:tcPr>
            <w:tcW w:w="1446" w:type="dxa"/>
            <w:shd w:val="clear" w:color="000000" w:fill="D9D9D9"/>
            <w:noWrap/>
            <w:vAlign w:val="center"/>
            <w:hideMark/>
          </w:tcPr>
          <w:p w14:paraId="466603BA" w14:textId="77777777" w:rsidR="00430727" w:rsidRPr="00430727" w:rsidRDefault="00430727" w:rsidP="00430727">
            <w:pPr>
              <w:spacing w:after="0" w:line="240" w:lineRule="auto"/>
              <w:rPr>
                <w:rFonts w:eastAsia="Times New Roman" w:cstheme="minorHAnsi"/>
                <w:i/>
                <w:iCs/>
                <w:color w:val="000000"/>
                <w:sz w:val="16"/>
                <w:szCs w:val="18"/>
                <w:lang w:eastAsia="en-GB"/>
              </w:rPr>
            </w:pPr>
            <w:r w:rsidRPr="00430727">
              <w:rPr>
                <w:rFonts w:eastAsia="Times New Roman" w:cstheme="minorHAnsi"/>
                <w:i/>
                <w:iCs/>
                <w:color w:val="000000"/>
                <w:sz w:val="16"/>
                <w:szCs w:val="18"/>
                <w:lang w:eastAsia="en-GB"/>
              </w:rPr>
              <w:t>Advanced new</w:t>
            </w:r>
          </w:p>
        </w:tc>
        <w:tc>
          <w:tcPr>
            <w:tcW w:w="1276" w:type="dxa"/>
            <w:shd w:val="clear" w:color="000000" w:fill="D9D9D9"/>
            <w:noWrap/>
            <w:vAlign w:val="center"/>
            <w:hideMark/>
          </w:tcPr>
          <w:p w14:paraId="52A9C4A5" w14:textId="77777777" w:rsidR="00430727" w:rsidRPr="00430727" w:rsidRDefault="00430727" w:rsidP="00430727">
            <w:pPr>
              <w:spacing w:after="0" w:line="240" w:lineRule="auto"/>
              <w:rPr>
                <w:rFonts w:eastAsia="Times New Roman" w:cstheme="minorHAnsi"/>
                <w:color w:val="000000"/>
                <w:sz w:val="16"/>
                <w:szCs w:val="18"/>
                <w:lang w:eastAsia="en-GB"/>
              </w:rPr>
            </w:pPr>
            <w:r w:rsidRPr="00430727">
              <w:rPr>
                <w:rFonts w:eastAsia="Times New Roman" w:cstheme="minorHAnsi"/>
                <w:color w:val="000000"/>
                <w:sz w:val="16"/>
                <w:szCs w:val="18"/>
                <w:lang w:eastAsia="en-GB"/>
              </w:rPr>
              <w:t>-</w:t>
            </w:r>
          </w:p>
        </w:tc>
        <w:tc>
          <w:tcPr>
            <w:tcW w:w="1984" w:type="dxa"/>
            <w:shd w:val="clear" w:color="000000" w:fill="D9D9D9"/>
            <w:noWrap/>
            <w:vAlign w:val="center"/>
            <w:hideMark/>
          </w:tcPr>
          <w:p w14:paraId="55E9D21F" w14:textId="77777777" w:rsidR="00430727" w:rsidRPr="00430727" w:rsidRDefault="00430727" w:rsidP="00430727">
            <w:pPr>
              <w:spacing w:after="0" w:line="240" w:lineRule="auto"/>
              <w:rPr>
                <w:rFonts w:eastAsia="Times New Roman" w:cstheme="minorHAnsi"/>
                <w:i/>
                <w:iCs/>
                <w:color w:val="000000"/>
                <w:sz w:val="16"/>
                <w:szCs w:val="18"/>
                <w:lang w:eastAsia="en-GB"/>
              </w:rPr>
            </w:pPr>
            <w:r w:rsidRPr="00430727">
              <w:rPr>
                <w:rFonts w:eastAsia="Times New Roman" w:cstheme="minorHAnsi"/>
                <w:i/>
                <w:iCs/>
                <w:color w:val="000000"/>
                <w:sz w:val="16"/>
                <w:szCs w:val="18"/>
                <w:lang w:eastAsia="en-GB"/>
              </w:rPr>
              <w:t>New modern/deep retrofit</w:t>
            </w:r>
          </w:p>
        </w:tc>
        <w:tc>
          <w:tcPr>
            <w:tcW w:w="6379" w:type="dxa"/>
            <w:gridSpan w:val="2"/>
            <w:shd w:val="clear" w:color="000000" w:fill="D9D9D9"/>
            <w:noWrap/>
            <w:vAlign w:val="bottom"/>
            <w:hideMark/>
          </w:tcPr>
          <w:p w14:paraId="062EC37C"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These are the GBPN categories used</w:t>
            </w:r>
          </w:p>
        </w:tc>
      </w:tr>
      <w:tr w:rsidR="00430727" w:rsidRPr="00430727" w14:paraId="0BFCD1CF" w14:textId="77777777" w:rsidTr="00745EF9">
        <w:trPr>
          <w:trHeight w:val="285"/>
        </w:trPr>
        <w:tc>
          <w:tcPr>
            <w:tcW w:w="3493" w:type="dxa"/>
            <w:shd w:val="clear" w:color="000000" w:fill="A6A6A6"/>
            <w:noWrap/>
            <w:vAlign w:val="bottom"/>
            <w:hideMark/>
          </w:tcPr>
          <w:p w14:paraId="78CD9E7C"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Construction intensity</w:t>
            </w:r>
          </w:p>
        </w:tc>
        <w:tc>
          <w:tcPr>
            <w:tcW w:w="1446" w:type="dxa"/>
            <w:shd w:val="clear" w:color="000000" w:fill="D9D9D9"/>
            <w:noWrap/>
            <w:vAlign w:val="center"/>
            <w:hideMark/>
          </w:tcPr>
          <w:p w14:paraId="0345F9E8"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90-450 MJ/m</w:t>
            </w:r>
            <w:r w:rsidRPr="00430727">
              <w:rPr>
                <w:rFonts w:eastAsia="Times New Roman" w:cstheme="minorHAnsi"/>
                <w:color w:val="000000"/>
                <w:sz w:val="18"/>
                <w:szCs w:val="18"/>
                <w:vertAlign w:val="superscript"/>
                <w:lang w:eastAsia="en-GB"/>
              </w:rPr>
              <w:t>2</w:t>
            </w:r>
            <w:r w:rsidRPr="00430727">
              <w:rPr>
                <w:rFonts w:eastAsia="Times New Roman" w:cstheme="minorHAnsi"/>
                <w:color w:val="000000"/>
                <w:sz w:val="18"/>
                <w:szCs w:val="18"/>
                <w:lang w:eastAsia="en-GB"/>
              </w:rPr>
              <w:t>/</w:t>
            </w:r>
            <w:proofErr w:type="spellStart"/>
            <w:r w:rsidRPr="00430727">
              <w:rPr>
                <w:rFonts w:eastAsia="Times New Roman" w:cstheme="minorHAnsi"/>
                <w:color w:val="000000"/>
                <w:sz w:val="18"/>
                <w:szCs w:val="18"/>
                <w:lang w:eastAsia="en-GB"/>
              </w:rPr>
              <w:t>yr</w:t>
            </w:r>
            <w:proofErr w:type="spellEnd"/>
          </w:p>
        </w:tc>
        <w:tc>
          <w:tcPr>
            <w:tcW w:w="1276" w:type="dxa"/>
            <w:shd w:val="clear" w:color="000000" w:fill="D9D9D9"/>
            <w:noWrap/>
            <w:vAlign w:val="center"/>
            <w:hideMark/>
          </w:tcPr>
          <w:p w14:paraId="2E90DA53"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D9D9D9"/>
            <w:noWrap/>
            <w:vAlign w:val="center"/>
            <w:hideMark/>
          </w:tcPr>
          <w:p w14:paraId="06147FF8"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180-900 MJ/m</w:t>
            </w:r>
            <w:r w:rsidRPr="00430727">
              <w:rPr>
                <w:rFonts w:eastAsia="Times New Roman" w:cstheme="minorHAnsi"/>
                <w:color w:val="000000"/>
                <w:sz w:val="18"/>
                <w:szCs w:val="18"/>
                <w:vertAlign w:val="superscript"/>
                <w:lang w:eastAsia="en-GB"/>
              </w:rPr>
              <w:t>2</w:t>
            </w:r>
            <w:r w:rsidRPr="00430727">
              <w:rPr>
                <w:rFonts w:eastAsia="Times New Roman" w:cstheme="minorHAnsi"/>
                <w:color w:val="000000"/>
                <w:sz w:val="18"/>
                <w:szCs w:val="18"/>
                <w:lang w:eastAsia="en-GB"/>
              </w:rPr>
              <w:t>/</w:t>
            </w:r>
            <w:proofErr w:type="spellStart"/>
            <w:r w:rsidRPr="00430727">
              <w:rPr>
                <w:rFonts w:eastAsia="Times New Roman" w:cstheme="minorHAnsi"/>
                <w:color w:val="000000"/>
                <w:sz w:val="18"/>
                <w:szCs w:val="18"/>
                <w:lang w:eastAsia="en-GB"/>
              </w:rPr>
              <w:t>yr</w:t>
            </w:r>
            <w:proofErr w:type="spellEnd"/>
          </w:p>
        </w:tc>
        <w:tc>
          <w:tcPr>
            <w:tcW w:w="6379" w:type="dxa"/>
            <w:gridSpan w:val="2"/>
            <w:shd w:val="clear" w:color="000000" w:fill="D9D9D9"/>
            <w:noWrap/>
            <w:vAlign w:val="bottom"/>
            <w:hideMark/>
          </w:tcPr>
          <w:p w14:paraId="5B7E0118"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An arbitrary 100% increase from the default</w:t>
            </w:r>
          </w:p>
        </w:tc>
      </w:tr>
      <w:tr w:rsidR="00430727" w:rsidRPr="00430727" w14:paraId="6773BBEF" w14:textId="77777777" w:rsidTr="00745EF9">
        <w:trPr>
          <w:trHeight w:val="255"/>
        </w:trPr>
        <w:tc>
          <w:tcPr>
            <w:tcW w:w="3493" w:type="dxa"/>
            <w:shd w:val="clear" w:color="000000" w:fill="A6A6A6"/>
            <w:noWrap/>
            <w:vAlign w:val="bottom"/>
            <w:hideMark/>
          </w:tcPr>
          <w:p w14:paraId="7D09AEBD"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 xml:space="preserve">Healthcare/education </w:t>
            </w:r>
            <w:r w:rsidRPr="00430727">
              <w:rPr>
                <w:rFonts w:eastAsia="Times New Roman" w:cstheme="minorHAnsi"/>
                <w:i/>
                <w:iCs/>
                <w:color w:val="000000"/>
                <w:sz w:val="20"/>
                <w:szCs w:val="20"/>
                <w:lang w:eastAsia="en-GB"/>
              </w:rPr>
              <w:t xml:space="preserve">other </w:t>
            </w:r>
            <w:r w:rsidRPr="00430727">
              <w:rPr>
                <w:rFonts w:eastAsia="Times New Roman" w:cstheme="minorHAnsi"/>
                <w:color w:val="000000"/>
                <w:sz w:val="20"/>
                <w:szCs w:val="20"/>
                <w:lang w:eastAsia="en-GB"/>
              </w:rPr>
              <w:t>energy</w:t>
            </w:r>
          </w:p>
        </w:tc>
        <w:tc>
          <w:tcPr>
            <w:tcW w:w="1446" w:type="dxa"/>
            <w:shd w:val="clear" w:color="000000" w:fill="D9D9D9"/>
            <w:noWrap/>
            <w:vAlign w:val="center"/>
            <w:hideMark/>
          </w:tcPr>
          <w:p w14:paraId="77817FDE"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Default</w:t>
            </w:r>
          </w:p>
        </w:tc>
        <w:tc>
          <w:tcPr>
            <w:tcW w:w="1276" w:type="dxa"/>
            <w:shd w:val="clear" w:color="000000" w:fill="D9D9D9"/>
            <w:noWrap/>
            <w:vAlign w:val="center"/>
            <w:hideMark/>
          </w:tcPr>
          <w:p w14:paraId="3E13678D"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w:t>
            </w:r>
          </w:p>
        </w:tc>
        <w:tc>
          <w:tcPr>
            <w:tcW w:w="1984" w:type="dxa"/>
            <w:shd w:val="clear" w:color="000000" w:fill="D9D9D9"/>
            <w:noWrap/>
            <w:vAlign w:val="center"/>
            <w:hideMark/>
          </w:tcPr>
          <w:p w14:paraId="09786877" w14:textId="77777777" w:rsidR="00430727" w:rsidRPr="00430727" w:rsidRDefault="00430727" w:rsidP="00430727">
            <w:pPr>
              <w:spacing w:after="0" w:line="240" w:lineRule="auto"/>
              <w:rPr>
                <w:rFonts w:eastAsia="Times New Roman" w:cstheme="minorHAnsi"/>
                <w:i/>
                <w:iCs/>
                <w:color w:val="000000"/>
                <w:sz w:val="18"/>
                <w:szCs w:val="18"/>
                <w:lang w:eastAsia="en-GB"/>
              </w:rPr>
            </w:pPr>
            <w:r w:rsidRPr="00430727">
              <w:rPr>
                <w:rFonts w:eastAsia="Times New Roman" w:cstheme="minorHAnsi"/>
                <w:i/>
                <w:iCs/>
                <w:color w:val="000000"/>
                <w:sz w:val="18"/>
                <w:szCs w:val="18"/>
                <w:lang w:eastAsia="en-GB"/>
              </w:rPr>
              <w:t>200%</w:t>
            </w:r>
          </w:p>
        </w:tc>
        <w:tc>
          <w:tcPr>
            <w:tcW w:w="6379" w:type="dxa"/>
            <w:gridSpan w:val="2"/>
            <w:shd w:val="clear" w:color="000000" w:fill="D9D9D9"/>
            <w:noWrap/>
            <w:vAlign w:val="bottom"/>
            <w:hideMark/>
          </w:tcPr>
          <w:p w14:paraId="6B4C4158"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xml:space="preserve">This is direct energy use that is </w:t>
            </w:r>
            <w:r w:rsidRPr="00430727">
              <w:rPr>
                <w:rFonts w:eastAsia="Times New Roman" w:cstheme="minorHAnsi"/>
                <w:i/>
                <w:iCs/>
                <w:color w:val="000000"/>
                <w:sz w:val="18"/>
                <w:szCs w:val="18"/>
                <w:lang w:eastAsia="en-GB"/>
              </w:rPr>
              <w:t>not</w:t>
            </w:r>
            <w:r w:rsidRPr="00430727">
              <w:rPr>
                <w:rFonts w:eastAsia="Times New Roman" w:cstheme="minorHAnsi"/>
                <w:color w:val="000000"/>
                <w:sz w:val="18"/>
                <w:szCs w:val="18"/>
                <w:lang w:eastAsia="en-GB"/>
              </w:rPr>
              <w:t xml:space="preserve"> for heating and cooling</w:t>
            </w:r>
          </w:p>
        </w:tc>
      </w:tr>
      <w:tr w:rsidR="00430727" w:rsidRPr="00430727" w14:paraId="26BCBAB0" w14:textId="77777777" w:rsidTr="00745EF9">
        <w:trPr>
          <w:trHeight w:val="255"/>
        </w:trPr>
        <w:tc>
          <w:tcPr>
            <w:tcW w:w="3493" w:type="dxa"/>
            <w:shd w:val="clear" w:color="000000" w:fill="A6A6A6"/>
            <w:noWrap/>
            <w:vAlign w:val="bottom"/>
            <w:hideMark/>
          </w:tcPr>
          <w:p w14:paraId="5DFDC079"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Waste management energy use</w:t>
            </w:r>
          </w:p>
        </w:tc>
        <w:tc>
          <w:tcPr>
            <w:tcW w:w="1446" w:type="dxa"/>
            <w:shd w:val="clear" w:color="000000" w:fill="D9D9D9"/>
            <w:noWrap/>
            <w:vAlign w:val="center"/>
            <w:hideMark/>
          </w:tcPr>
          <w:p w14:paraId="6ACDDD70"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Default</w:t>
            </w:r>
          </w:p>
        </w:tc>
        <w:tc>
          <w:tcPr>
            <w:tcW w:w="1276" w:type="dxa"/>
            <w:shd w:val="clear" w:color="000000" w:fill="D9D9D9"/>
            <w:noWrap/>
            <w:vAlign w:val="center"/>
            <w:hideMark/>
          </w:tcPr>
          <w:p w14:paraId="76B4F8B6"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50%</w:t>
            </w:r>
          </w:p>
        </w:tc>
        <w:tc>
          <w:tcPr>
            <w:tcW w:w="1984" w:type="dxa"/>
            <w:shd w:val="clear" w:color="000000" w:fill="D9D9D9"/>
            <w:noWrap/>
            <w:vAlign w:val="center"/>
            <w:hideMark/>
          </w:tcPr>
          <w:p w14:paraId="17B65508"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300%</w:t>
            </w:r>
          </w:p>
        </w:tc>
        <w:tc>
          <w:tcPr>
            <w:tcW w:w="6379" w:type="dxa"/>
            <w:gridSpan w:val="2"/>
            <w:shd w:val="clear" w:color="000000" w:fill="D9D9D9"/>
            <w:noWrap/>
            <w:vAlign w:val="bottom"/>
            <w:hideMark/>
          </w:tcPr>
          <w:p w14:paraId="48E8D192"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An arbitrary 50% decrease and 200% increase from the default</w:t>
            </w:r>
          </w:p>
        </w:tc>
      </w:tr>
      <w:tr w:rsidR="00430727" w:rsidRPr="00430727" w14:paraId="6DE3A3FC" w14:textId="77777777" w:rsidTr="00745EF9">
        <w:trPr>
          <w:trHeight w:val="285"/>
        </w:trPr>
        <w:tc>
          <w:tcPr>
            <w:tcW w:w="3493" w:type="dxa"/>
            <w:shd w:val="clear" w:color="000000" w:fill="BFBFBF"/>
            <w:noWrap/>
            <w:vAlign w:val="bottom"/>
            <w:hideMark/>
          </w:tcPr>
          <w:p w14:paraId="3152B3F3" w14:textId="77777777" w:rsidR="00430727" w:rsidRPr="00430727" w:rsidRDefault="00430727" w:rsidP="00430727">
            <w:pPr>
              <w:spacing w:after="0" w:line="240" w:lineRule="auto"/>
              <w:rPr>
                <w:rFonts w:eastAsia="Times New Roman" w:cstheme="minorHAnsi"/>
                <w:b/>
                <w:bCs/>
                <w:color w:val="000000"/>
                <w:sz w:val="21"/>
                <w:szCs w:val="21"/>
                <w:lang w:eastAsia="en-GB"/>
              </w:rPr>
            </w:pPr>
            <w:r w:rsidRPr="00430727">
              <w:rPr>
                <w:rFonts w:eastAsia="Times New Roman" w:cstheme="minorHAnsi"/>
                <w:b/>
                <w:bCs/>
                <w:color w:val="000000"/>
                <w:sz w:val="21"/>
                <w:szCs w:val="21"/>
                <w:lang w:eastAsia="en-GB"/>
              </w:rPr>
              <w:t>Power supply</w:t>
            </w:r>
          </w:p>
        </w:tc>
        <w:tc>
          <w:tcPr>
            <w:tcW w:w="1446" w:type="dxa"/>
            <w:shd w:val="clear" w:color="000000" w:fill="F2F2F2"/>
            <w:noWrap/>
            <w:vAlign w:val="center"/>
            <w:hideMark/>
          </w:tcPr>
          <w:p w14:paraId="4CCE4C17"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1276" w:type="dxa"/>
            <w:shd w:val="clear" w:color="000000" w:fill="F2F2F2"/>
            <w:noWrap/>
            <w:vAlign w:val="center"/>
            <w:hideMark/>
          </w:tcPr>
          <w:p w14:paraId="2149EDE4"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1984" w:type="dxa"/>
            <w:shd w:val="clear" w:color="000000" w:fill="F2F2F2"/>
            <w:noWrap/>
            <w:vAlign w:val="center"/>
            <w:hideMark/>
          </w:tcPr>
          <w:p w14:paraId="2C380E02"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c>
          <w:tcPr>
            <w:tcW w:w="6379" w:type="dxa"/>
            <w:gridSpan w:val="2"/>
            <w:shd w:val="clear" w:color="000000" w:fill="F2F2F2"/>
            <w:noWrap/>
            <w:vAlign w:val="bottom"/>
            <w:hideMark/>
          </w:tcPr>
          <w:p w14:paraId="7D7E35D2"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w:t>
            </w:r>
          </w:p>
        </w:tc>
      </w:tr>
      <w:tr w:rsidR="00430727" w:rsidRPr="00430727" w14:paraId="1B29A43F" w14:textId="77777777" w:rsidTr="00745EF9">
        <w:trPr>
          <w:trHeight w:val="255"/>
        </w:trPr>
        <w:tc>
          <w:tcPr>
            <w:tcW w:w="3493" w:type="dxa"/>
            <w:shd w:val="clear" w:color="000000" w:fill="BFBFBF"/>
            <w:noWrap/>
            <w:vAlign w:val="bottom"/>
            <w:hideMark/>
          </w:tcPr>
          <w:p w14:paraId="5116ED90" w14:textId="77777777" w:rsidR="00430727" w:rsidRPr="00430727" w:rsidRDefault="00430727" w:rsidP="00430727">
            <w:pPr>
              <w:spacing w:after="0" w:line="240" w:lineRule="auto"/>
              <w:ind w:firstLineChars="100" w:firstLine="200"/>
              <w:rPr>
                <w:rFonts w:eastAsia="Times New Roman" w:cstheme="minorHAnsi"/>
                <w:color w:val="000000"/>
                <w:sz w:val="20"/>
                <w:szCs w:val="20"/>
                <w:lang w:eastAsia="en-GB"/>
              </w:rPr>
            </w:pPr>
            <w:r w:rsidRPr="00430727">
              <w:rPr>
                <w:rFonts w:eastAsia="Times New Roman" w:cstheme="minorHAnsi"/>
                <w:color w:val="000000"/>
                <w:sz w:val="20"/>
                <w:szCs w:val="20"/>
                <w:lang w:eastAsia="en-GB"/>
              </w:rPr>
              <w:t>Energy intensity of infrastructure</w:t>
            </w:r>
          </w:p>
        </w:tc>
        <w:tc>
          <w:tcPr>
            <w:tcW w:w="1446" w:type="dxa"/>
            <w:shd w:val="clear" w:color="000000" w:fill="F2F2F2"/>
            <w:noWrap/>
            <w:vAlign w:val="center"/>
            <w:hideMark/>
          </w:tcPr>
          <w:p w14:paraId="77A48041"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0.15 MJ/MJ</w:t>
            </w:r>
          </w:p>
        </w:tc>
        <w:tc>
          <w:tcPr>
            <w:tcW w:w="1276" w:type="dxa"/>
            <w:shd w:val="clear" w:color="000000" w:fill="F2F2F2"/>
            <w:noWrap/>
            <w:vAlign w:val="center"/>
            <w:hideMark/>
          </w:tcPr>
          <w:p w14:paraId="7CD940BC"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0.1 MJ/MJ</w:t>
            </w:r>
          </w:p>
        </w:tc>
        <w:tc>
          <w:tcPr>
            <w:tcW w:w="1984" w:type="dxa"/>
            <w:shd w:val="clear" w:color="000000" w:fill="F2F2F2"/>
            <w:noWrap/>
            <w:vAlign w:val="center"/>
            <w:hideMark/>
          </w:tcPr>
          <w:p w14:paraId="359567B4"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0.25 MJ/MJ</w:t>
            </w:r>
          </w:p>
        </w:tc>
        <w:tc>
          <w:tcPr>
            <w:tcW w:w="6379" w:type="dxa"/>
            <w:gridSpan w:val="2"/>
            <w:shd w:val="clear" w:color="000000" w:fill="F2F2F2"/>
            <w:noWrap/>
            <w:vAlign w:val="bottom"/>
            <w:hideMark/>
          </w:tcPr>
          <w:p w14:paraId="3FB84486" w14:textId="77777777" w:rsidR="00430727" w:rsidRPr="00430727" w:rsidRDefault="00430727" w:rsidP="00430727">
            <w:pPr>
              <w:spacing w:after="0" w:line="240" w:lineRule="auto"/>
              <w:rPr>
                <w:rFonts w:eastAsia="Times New Roman" w:cstheme="minorHAnsi"/>
                <w:color w:val="000000"/>
                <w:sz w:val="18"/>
                <w:szCs w:val="18"/>
                <w:lang w:eastAsia="en-GB"/>
              </w:rPr>
            </w:pPr>
            <w:r w:rsidRPr="00430727">
              <w:rPr>
                <w:rFonts w:eastAsia="Times New Roman" w:cstheme="minorHAnsi"/>
                <w:color w:val="000000"/>
                <w:sz w:val="18"/>
                <w:szCs w:val="18"/>
                <w:lang w:eastAsia="en-GB"/>
              </w:rPr>
              <w:t xml:space="preserve">This covers the range offered by </w:t>
            </w:r>
            <w:proofErr w:type="spellStart"/>
            <w:r w:rsidRPr="00430727">
              <w:rPr>
                <w:rFonts w:eastAsia="Times New Roman" w:cstheme="minorHAnsi"/>
                <w:color w:val="000000"/>
                <w:sz w:val="18"/>
                <w:szCs w:val="18"/>
                <w:lang w:eastAsia="en-GB"/>
              </w:rPr>
              <w:t>Hertwich</w:t>
            </w:r>
            <w:proofErr w:type="spellEnd"/>
            <w:r w:rsidRPr="00430727">
              <w:rPr>
                <w:rFonts w:eastAsia="Times New Roman" w:cstheme="minorHAnsi"/>
                <w:color w:val="000000"/>
                <w:sz w:val="18"/>
                <w:szCs w:val="18"/>
                <w:lang w:eastAsia="en-GB"/>
              </w:rPr>
              <w:t xml:space="preserve"> et al. (2015)</w:t>
            </w:r>
          </w:p>
        </w:tc>
      </w:tr>
    </w:tbl>
    <w:p w14:paraId="2A51CBEA" w14:textId="4D3CD4E8" w:rsidR="00306F5D" w:rsidRDefault="00306F5D" w:rsidP="00306F5D">
      <w:pPr>
        <w:pStyle w:val="Title"/>
      </w:pPr>
      <w:r>
        <w:rPr>
          <w:b/>
        </w:rPr>
        <w:lastRenderedPageBreak/>
        <w:t>Part 3</w:t>
      </w:r>
      <w:r>
        <w:t xml:space="preserve">   Decent Living Energy by country</w:t>
      </w:r>
    </w:p>
    <w:p w14:paraId="31C0A305" w14:textId="699B35D5" w:rsidR="00306F5D" w:rsidRDefault="00306F5D" w:rsidP="00306F5D"/>
    <w:tbl>
      <w:tblPr>
        <w:tblW w:w="14728" w:type="dxa"/>
        <w:tblCellMar>
          <w:left w:w="28" w:type="dxa"/>
          <w:right w:w="28" w:type="dxa"/>
        </w:tblCellMar>
        <w:tblLook w:val="04A0" w:firstRow="1" w:lastRow="0" w:firstColumn="1" w:lastColumn="0" w:noHBand="0" w:noVBand="1"/>
      </w:tblPr>
      <w:tblGrid>
        <w:gridCol w:w="567"/>
        <w:gridCol w:w="1477"/>
        <w:gridCol w:w="1308"/>
        <w:gridCol w:w="594"/>
        <w:gridCol w:w="594"/>
        <w:gridCol w:w="594"/>
        <w:gridCol w:w="595"/>
        <w:gridCol w:w="595"/>
        <w:gridCol w:w="595"/>
        <w:gridCol w:w="595"/>
        <w:gridCol w:w="595"/>
        <w:gridCol w:w="595"/>
        <w:gridCol w:w="596"/>
        <w:gridCol w:w="595"/>
        <w:gridCol w:w="616"/>
        <w:gridCol w:w="616"/>
        <w:gridCol w:w="595"/>
        <w:gridCol w:w="595"/>
        <w:gridCol w:w="724"/>
        <w:gridCol w:w="596"/>
        <w:gridCol w:w="596"/>
        <w:gridCol w:w="495"/>
      </w:tblGrid>
      <w:tr w:rsidR="00673866" w:rsidRPr="00306F5D" w14:paraId="5B33CAA5" w14:textId="77777777" w:rsidTr="00673866">
        <w:trPr>
          <w:trHeight w:val="255"/>
        </w:trPr>
        <w:tc>
          <w:tcPr>
            <w:tcW w:w="3352" w:type="dxa"/>
            <w:gridSpan w:val="3"/>
            <w:tcBorders>
              <w:top w:val="nil"/>
              <w:left w:val="nil"/>
              <w:bottom w:val="nil"/>
              <w:right w:val="nil"/>
            </w:tcBorders>
            <w:shd w:val="clear" w:color="auto" w:fill="F2F2F2" w:themeFill="background1" w:themeFillShade="F2"/>
            <w:noWrap/>
            <w:vAlign w:val="center"/>
            <w:hideMark/>
          </w:tcPr>
          <w:p w14:paraId="01829A3E" w14:textId="7E2A7051" w:rsidR="00673866" w:rsidRPr="00673866" w:rsidRDefault="00673866" w:rsidP="00673866">
            <w:pPr>
              <w:spacing w:after="0" w:line="240" w:lineRule="auto"/>
              <w:jc w:val="center"/>
              <w:rPr>
                <w:rFonts w:asciiTheme="majorHAnsi" w:eastAsia="Times New Roman" w:hAnsiTheme="majorHAnsi" w:cstheme="majorHAnsi"/>
                <w:b/>
                <w:bCs/>
                <w:i/>
                <w:color w:val="000000"/>
                <w:sz w:val="20"/>
                <w:szCs w:val="20"/>
                <w:lang w:eastAsia="en-GB"/>
              </w:rPr>
            </w:pPr>
            <w:r w:rsidRPr="00673866">
              <w:rPr>
                <w:rFonts w:asciiTheme="majorHAnsi" w:eastAsia="Times New Roman" w:hAnsiTheme="majorHAnsi" w:cstheme="majorHAnsi"/>
                <w:b/>
                <w:bCs/>
                <w:i/>
                <w:color w:val="000000"/>
                <w:szCs w:val="28"/>
                <w:lang w:eastAsia="en-GB"/>
              </w:rPr>
              <w:t>Decent living energy; GJ/capita</w:t>
            </w:r>
          </w:p>
        </w:tc>
        <w:tc>
          <w:tcPr>
            <w:tcW w:w="1782" w:type="dxa"/>
            <w:gridSpan w:val="3"/>
            <w:tcBorders>
              <w:top w:val="nil"/>
              <w:left w:val="nil"/>
              <w:bottom w:val="nil"/>
              <w:right w:val="nil"/>
            </w:tcBorders>
            <w:shd w:val="clear" w:color="000000" w:fill="A6A6A6"/>
            <w:vAlign w:val="center"/>
            <w:hideMark/>
          </w:tcPr>
          <w:p w14:paraId="0A63E537" w14:textId="77777777" w:rsidR="00673866" w:rsidRPr="002F18DD" w:rsidRDefault="00673866" w:rsidP="00306F5D">
            <w:pPr>
              <w:spacing w:after="0" w:line="240" w:lineRule="auto"/>
              <w:jc w:val="center"/>
              <w:rPr>
                <w:rFonts w:asciiTheme="majorHAnsi" w:eastAsia="Times New Roman" w:hAnsiTheme="majorHAnsi" w:cstheme="majorHAnsi"/>
                <w:b/>
                <w:bCs/>
                <w:color w:val="000000"/>
                <w:sz w:val="24"/>
                <w:szCs w:val="20"/>
                <w:lang w:eastAsia="en-GB"/>
              </w:rPr>
            </w:pPr>
            <w:r w:rsidRPr="002F18DD">
              <w:rPr>
                <w:rFonts w:asciiTheme="majorHAnsi" w:eastAsia="Times New Roman" w:hAnsiTheme="majorHAnsi" w:cstheme="majorHAnsi"/>
                <w:b/>
                <w:bCs/>
                <w:color w:val="000000"/>
                <w:sz w:val="24"/>
                <w:szCs w:val="20"/>
                <w:lang w:eastAsia="en-GB"/>
              </w:rPr>
              <w:t>Nutrition</w:t>
            </w:r>
          </w:p>
        </w:tc>
        <w:tc>
          <w:tcPr>
            <w:tcW w:w="1785" w:type="dxa"/>
            <w:gridSpan w:val="3"/>
            <w:tcBorders>
              <w:top w:val="nil"/>
              <w:left w:val="nil"/>
              <w:bottom w:val="nil"/>
              <w:right w:val="nil"/>
            </w:tcBorders>
            <w:shd w:val="clear" w:color="000000" w:fill="808080"/>
            <w:vAlign w:val="center"/>
            <w:hideMark/>
          </w:tcPr>
          <w:p w14:paraId="355D144C" w14:textId="77777777" w:rsidR="00673866" w:rsidRPr="002F18DD" w:rsidRDefault="00673866" w:rsidP="00306F5D">
            <w:pPr>
              <w:spacing w:after="0" w:line="240" w:lineRule="auto"/>
              <w:jc w:val="center"/>
              <w:rPr>
                <w:rFonts w:asciiTheme="majorHAnsi" w:eastAsia="Times New Roman" w:hAnsiTheme="majorHAnsi" w:cstheme="majorHAnsi"/>
                <w:b/>
                <w:bCs/>
                <w:color w:val="000000"/>
                <w:sz w:val="24"/>
                <w:szCs w:val="20"/>
                <w:lang w:eastAsia="en-GB"/>
              </w:rPr>
            </w:pPr>
            <w:r w:rsidRPr="002F18DD">
              <w:rPr>
                <w:rFonts w:asciiTheme="majorHAnsi" w:eastAsia="Times New Roman" w:hAnsiTheme="majorHAnsi" w:cstheme="majorHAnsi"/>
                <w:b/>
                <w:bCs/>
                <w:color w:val="000000"/>
                <w:sz w:val="24"/>
                <w:szCs w:val="20"/>
                <w:lang w:eastAsia="en-GB"/>
              </w:rPr>
              <w:t>Shelter &amp; living conditions</w:t>
            </w:r>
          </w:p>
        </w:tc>
        <w:tc>
          <w:tcPr>
            <w:tcW w:w="1785" w:type="dxa"/>
            <w:gridSpan w:val="3"/>
            <w:tcBorders>
              <w:top w:val="nil"/>
              <w:left w:val="nil"/>
              <w:bottom w:val="nil"/>
              <w:right w:val="nil"/>
            </w:tcBorders>
            <w:shd w:val="clear" w:color="000000" w:fill="A6A6A6"/>
            <w:vAlign w:val="center"/>
            <w:hideMark/>
          </w:tcPr>
          <w:p w14:paraId="4EE0781F" w14:textId="77777777" w:rsidR="00673866" w:rsidRPr="002F18DD" w:rsidRDefault="00673866" w:rsidP="00306F5D">
            <w:pPr>
              <w:spacing w:after="0" w:line="240" w:lineRule="auto"/>
              <w:jc w:val="center"/>
              <w:rPr>
                <w:rFonts w:asciiTheme="majorHAnsi" w:eastAsia="Times New Roman" w:hAnsiTheme="majorHAnsi" w:cstheme="majorHAnsi"/>
                <w:b/>
                <w:bCs/>
                <w:color w:val="000000"/>
                <w:sz w:val="24"/>
                <w:szCs w:val="20"/>
                <w:lang w:eastAsia="en-GB"/>
              </w:rPr>
            </w:pPr>
            <w:r w:rsidRPr="002F18DD">
              <w:rPr>
                <w:rFonts w:asciiTheme="majorHAnsi" w:eastAsia="Times New Roman" w:hAnsiTheme="majorHAnsi" w:cstheme="majorHAnsi"/>
                <w:b/>
                <w:bCs/>
                <w:color w:val="000000"/>
                <w:sz w:val="24"/>
                <w:szCs w:val="20"/>
                <w:lang w:eastAsia="en-GB"/>
              </w:rPr>
              <w:t>Hygiene</w:t>
            </w:r>
          </w:p>
        </w:tc>
        <w:tc>
          <w:tcPr>
            <w:tcW w:w="1191" w:type="dxa"/>
            <w:gridSpan w:val="2"/>
            <w:tcBorders>
              <w:top w:val="nil"/>
              <w:left w:val="nil"/>
              <w:bottom w:val="nil"/>
              <w:right w:val="nil"/>
            </w:tcBorders>
            <w:shd w:val="clear" w:color="000000" w:fill="808080"/>
            <w:vAlign w:val="center"/>
            <w:hideMark/>
          </w:tcPr>
          <w:p w14:paraId="146D0A8E" w14:textId="77777777" w:rsidR="00673866" w:rsidRPr="002F18DD" w:rsidRDefault="00673866" w:rsidP="00306F5D">
            <w:pPr>
              <w:spacing w:after="0" w:line="240" w:lineRule="auto"/>
              <w:jc w:val="center"/>
              <w:rPr>
                <w:rFonts w:asciiTheme="majorHAnsi" w:eastAsia="Times New Roman" w:hAnsiTheme="majorHAnsi" w:cstheme="majorHAnsi"/>
                <w:b/>
                <w:bCs/>
                <w:color w:val="000000"/>
                <w:sz w:val="24"/>
                <w:szCs w:val="20"/>
                <w:lang w:eastAsia="en-GB"/>
              </w:rPr>
            </w:pPr>
            <w:r w:rsidRPr="002F18DD">
              <w:rPr>
                <w:rFonts w:asciiTheme="majorHAnsi" w:eastAsia="Times New Roman" w:hAnsiTheme="majorHAnsi" w:cstheme="majorHAnsi"/>
                <w:b/>
                <w:bCs/>
                <w:color w:val="000000"/>
                <w:sz w:val="24"/>
                <w:szCs w:val="20"/>
                <w:lang w:eastAsia="en-GB"/>
              </w:rPr>
              <w:t>Clothing</w:t>
            </w:r>
          </w:p>
        </w:tc>
        <w:tc>
          <w:tcPr>
            <w:tcW w:w="616" w:type="dxa"/>
            <w:vMerge w:val="restart"/>
            <w:tcBorders>
              <w:top w:val="nil"/>
              <w:left w:val="nil"/>
              <w:bottom w:val="nil"/>
              <w:right w:val="nil"/>
            </w:tcBorders>
            <w:shd w:val="clear" w:color="000000" w:fill="BFBFBF"/>
            <w:noWrap/>
            <w:textDirection w:val="tbRl"/>
            <w:vAlign w:val="center"/>
            <w:hideMark/>
          </w:tcPr>
          <w:p w14:paraId="363A97BE" w14:textId="77777777" w:rsidR="00673866" w:rsidRPr="002F18DD" w:rsidRDefault="00673866" w:rsidP="00306F5D">
            <w:pPr>
              <w:spacing w:after="0" w:line="240" w:lineRule="auto"/>
              <w:jc w:val="center"/>
              <w:rPr>
                <w:rFonts w:asciiTheme="majorHAnsi" w:eastAsia="Times New Roman" w:hAnsiTheme="majorHAnsi" w:cstheme="majorHAnsi"/>
                <w:b/>
                <w:bCs/>
                <w:color w:val="000000"/>
                <w:sz w:val="24"/>
                <w:szCs w:val="20"/>
                <w:lang w:eastAsia="en-GB"/>
              </w:rPr>
            </w:pPr>
            <w:r w:rsidRPr="002F18DD">
              <w:rPr>
                <w:rFonts w:asciiTheme="majorHAnsi" w:eastAsia="Times New Roman" w:hAnsiTheme="majorHAnsi" w:cstheme="majorHAnsi"/>
                <w:b/>
                <w:bCs/>
                <w:color w:val="000000"/>
                <w:sz w:val="24"/>
                <w:szCs w:val="20"/>
                <w:lang w:eastAsia="en-GB"/>
              </w:rPr>
              <w:t>Healthcare</w:t>
            </w:r>
          </w:p>
        </w:tc>
        <w:tc>
          <w:tcPr>
            <w:tcW w:w="616" w:type="dxa"/>
            <w:vMerge w:val="restart"/>
            <w:tcBorders>
              <w:top w:val="nil"/>
              <w:left w:val="nil"/>
              <w:bottom w:val="nil"/>
              <w:right w:val="nil"/>
            </w:tcBorders>
            <w:shd w:val="clear" w:color="auto" w:fill="808080" w:themeFill="background1" w:themeFillShade="80"/>
            <w:noWrap/>
            <w:textDirection w:val="tbRl"/>
            <w:vAlign w:val="center"/>
            <w:hideMark/>
          </w:tcPr>
          <w:p w14:paraId="00DC29AC" w14:textId="77777777" w:rsidR="00673866" w:rsidRPr="002F18DD" w:rsidRDefault="00673866" w:rsidP="00306F5D">
            <w:pPr>
              <w:spacing w:after="0" w:line="240" w:lineRule="auto"/>
              <w:jc w:val="center"/>
              <w:rPr>
                <w:rFonts w:asciiTheme="majorHAnsi" w:eastAsia="Times New Roman" w:hAnsiTheme="majorHAnsi" w:cstheme="majorHAnsi"/>
                <w:b/>
                <w:bCs/>
                <w:color w:val="000000"/>
                <w:sz w:val="24"/>
                <w:szCs w:val="20"/>
                <w:lang w:eastAsia="en-GB"/>
              </w:rPr>
            </w:pPr>
            <w:r w:rsidRPr="002F18DD">
              <w:rPr>
                <w:rFonts w:asciiTheme="majorHAnsi" w:eastAsia="Times New Roman" w:hAnsiTheme="majorHAnsi" w:cstheme="majorHAnsi"/>
                <w:b/>
                <w:bCs/>
                <w:color w:val="000000"/>
                <w:sz w:val="24"/>
                <w:szCs w:val="20"/>
                <w:lang w:eastAsia="en-GB"/>
              </w:rPr>
              <w:t>Education</w:t>
            </w:r>
          </w:p>
        </w:tc>
        <w:tc>
          <w:tcPr>
            <w:tcW w:w="1914" w:type="dxa"/>
            <w:gridSpan w:val="3"/>
            <w:tcBorders>
              <w:top w:val="nil"/>
              <w:left w:val="nil"/>
              <w:bottom w:val="nil"/>
              <w:right w:val="nil"/>
            </w:tcBorders>
            <w:shd w:val="clear" w:color="000000" w:fill="A6A6A6"/>
            <w:vAlign w:val="center"/>
            <w:hideMark/>
          </w:tcPr>
          <w:p w14:paraId="19375034" w14:textId="4A14F637" w:rsidR="00673866" w:rsidRPr="002F18DD" w:rsidRDefault="00673866" w:rsidP="002F18DD">
            <w:pPr>
              <w:spacing w:after="0" w:line="240" w:lineRule="auto"/>
              <w:jc w:val="center"/>
              <w:rPr>
                <w:rFonts w:asciiTheme="majorHAnsi" w:eastAsia="Times New Roman" w:hAnsiTheme="majorHAnsi" w:cstheme="majorHAnsi"/>
                <w:b/>
                <w:bCs/>
                <w:color w:val="000000"/>
                <w:sz w:val="24"/>
                <w:szCs w:val="20"/>
                <w:lang w:eastAsia="en-GB"/>
              </w:rPr>
            </w:pPr>
            <w:r>
              <w:rPr>
                <w:rFonts w:asciiTheme="majorHAnsi" w:eastAsia="Times New Roman" w:hAnsiTheme="majorHAnsi" w:cstheme="majorHAnsi"/>
                <w:b/>
                <w:bCs/>
                <w:color w:val="000000"/>
                <w:sz w:val="24"/>
                <w:szCs w:val="20"/>
                <w:lang w:eastAsia="en-GB"/>
              </w:rPr>
              <w:t>Communication and</w:t>
            </w:r>
            <w:r w:rsidRPr="002F18DD">
              <w:rPr>
                <w:rFonts w:asciiTheme="majorHAnsi" w:eastAsia="Times New Roman" w:hAnsiTheme="majorHAnsi" w:cstheme="majorHAnsi"/>
                <w:b/>
                <w:bCs/>
                <w:color w:val="000000"/>
                <w:sz w:val="24"/>
                <w:szCs w:val="20"/>
                <w:lang w:eastAsia="en-GB"/>
              </w:rPr>
              <w:t xml:space="preserve"> info</w:t>
            </w:r>
            <w:r>
              <w:rPr>
                <w:rFonts w:asciiTheme="majorHAnsi" w:eastAsia="Times New Roman" w:hAnsiTheme="majorHAnsi" w:cstheme="majorHAnsi"/>
                <w:b/>
                <w:bCs/>
                <w:color w:val="000000"/>
                <w:sz w:val="24"/>
                <w:szCs w:val="20"/>
                <w:lang w:eastAsia="en-GB"/>
              </w:rPr>
              <w:t>rmation</w:t>
            </w:r>
          </w:p>
        </w:tc>
        <w:tc>
          <w:tcPr>
            <w:tcW w:w="1192" w:type="dxa"/>
            <w:gridSpan w:val="2"/>
            <w:tcBorders>
              <w:top w:val="nil"/>
              <w:left w:val="nil"/>
              <w:bottom w:val="nil"/>
              <w:right w:val="nil"/>
            </w:tcBorders>
            <w:shd w:val="clear" w:color="000000" w:fill="808080"/>
            <w:vAlign w:val="center"/>
            <w:hideMark/>
          </w:tcPr>
          <w:p w14:paraId="7A0C8E84" w14:textId="77777777" w:rsidR="00673866" w:rsidRPr="002F18DD" w:rsidRDefault="00673866" w:rsidP="00306F5D">
            <w:pPr>
              <w:spacing w:after="0" w:line="240" w:lineRule="auto"/>
              <w:jc w:val="center"/>
              <w:rPr>
                <w:rFonts w:asciiTheme="majorHAnsi" w:eastAsia="Times New Roman" w:hAnsiTheme="majorHAnsi" w:cstheme="majorHAnsi"/>
                <w:b/>
                <w:bCs/>
                <w:color w:val="000000"/>
                <w:sz w:val="24"/>
                <w:szCs w:val="20"/>
                <w:lang w:eastAsia="en-GB"/>
              </w:rPr>
            </w:pPr>
            <w:r w:rsidRPr="002F18DD">
              <w:rPr>
                <w:rFonts w:asciiTheme="majorHAnsi" w:eastAsia="Times New Roman" w:hAnsiTheme="majorHAnsi" w:cstheme="majorHAnsi"/>
                <w:b/>
                <w:bCs/>
                <w:color w:val="000000"/>
                <w:sz w:val="24"/>
                <w:szCs w:val="20"/>
                <w:lang w:eastAsia="en-GB"/>
              </w:rPr>
              <w:t>Mobility</w:t>
            </w:r>
          </w:p>
        </w:tc>
        <w:tc>
          <w:tcPr>
            <w:tcW w:w="495" w:type="dxa"/>
            <w:vMerge w:val="restart"/>
            <w:tcBorders>
              <w:top w:val="nil"/>
              <w:left w:val="nil"/>
              <w:bottom w:val="nil"/>
              <w:right w:val="nil"/>
            </w:tcBorders>
            <w:shd w:val="clear" w:color="000000" w:fill="BFBFBF"/>
            <w:textDirection w:val="tbRl"/>
            <w:vAlign w:val="center"/>
            <w:hideMark/>
          </w:tcPr>
          <w:p w14:paraId="4EC44910" w14:textId="77777777" w:rsidR="00673866" w:rsidRPr="00857F78" w:rsidRDefault="00673866" w:rsidP="00306F5D">
            <w:pPr>
              <w:spacing w:after="0" w:line="240" w:lineRule="auto"/>
              <w:jc w:val="center"/>
              <w:rPr>
                <w:rFonts w:asciiTheme="majorHAnsi" w:eastAsia="Times New Roman" w:hAnsiTheme="majorHAnsi" w:cstheme="majorHAnsi"/>
                <w:b/>
                <w:bCs/>
                <w:iCs/>
                <w:color w:val="000000"/>
                <w:sz w:val="24"/>
                <w:szCs w:val="20"/>
                <w:lang w:eastAsia="en-GB"/>
              </w:rPr>
            </w:pPr>
            <w:r w:rsidRPr="00857F78">
              <w:rPr>
                <w:rFonts w:asciiTheme="majorHAnsi" w:eastAsia="Times New Roman" w:hAnsiTheme="majorHAnsi" w:cstheme="majorHAnsi"/>
                <w:b/>
                <w:bCs/>
                <w:iCs/>
                <w:color w:val="000000"/>
                <w:sz w:val="24"/>
                <w:szCs w:val="20"/>
                <w:lang w:eastAsia="en-GB"/>
              </w:rPr>
              <w:t>Other</w:t>
            </w:r>
          </w:p>
        </w:tc>
      </w:tr>
      <w:tr w:rsidR="00306F5D" w:rsidRPr="00306F5D" w14:paraId="0FD165EF" w14:textId="77777777" w:rsidTr="002F18DD">
        <w:trPr>
          <w:trHeight w:val="1320"/>
        </w:trPr>
        <w:tc>
          <w:tcPr>
            <w:tcW w:w="2044" w:type="dxa"/>
            <w:gridSpan w:val="2"/>
            <w:tcBorders>
              <w:top w:val="nil"/>
              <w:left w:val="nil"/>
              <w:bottom w:val="nil"/>
              <w:right w:val="nil"/>
            </w:tcBorders>
            <w:shd w:val="clear" w:color="auto" w:fill="A6A6A6" w:themeFill="background1" w:themeFillShade="A6"/>
            <w:noWrap/>
            <w:vAlign w:val="bottom"/>
            <w:hideMark/>
          </w:tcPr>
          <w:p w14:paraId="6CF201FE" w14:textId="77777777" w:rsidR="00306F5D" w:rsidRPr="002F18DD" w:rsidRDefault="00306F5D" w:rsidP="00306F5D">
            <w:pPr>
              <w:spacing w:after="0" w:line="240" w:lineRule="auto"/>
              <w:rPr>
                <w:rFonts w:asciiTheme="majorHAnsi" w:eastAsia="Times New Roman" w:hAnsiTheme="majorHAnsi" w:cstheme="majorHAnsi"/>
                <w:b/>
                <w:bCs/>
                <w:color w:val="000000"/>
                <w:sz w:val="24"/>
                <w:szCs w:val="20"/>
                <w:lang w:eastAsia="en-GB"/>
              </w:rPr>
            </w:pPr>
            <w:r w:rsidRPr="002F18DD">
              <w:rPr>
                <w:rFonts w:asciiTheme="majorHAnsi" w:eastAsia="Times New Roman" w:hAnsiTheme="majorHAnsi" w:cstheme="majorHAnsi"/>
                <w:b/>
                <w:bCs/>
                <w:color w:val="000000"/>
                <w:sz w:val="24"/>
                <w:szCs w:val="20"/>
                <w:lang w:eastAsia="en-GB"/>
              </w:rPr>
              <w:t>Country</w:t>
            </w:r>
          </w:p>
        </w:tc>
        <w:tc>
          <w:tcPr>
            <w:tcW w:w="1308" w:type="dxa"/>
            <w:tcBorders>
              <w:top w:val="nil"/>
              <w:left w:val="nil"/>
              <w:bottom w:val="nil"/>
              <w:right w:val="nil"/>
            </w:tcBorders>
            <w:shd w:val="clear" w:color="auto" w:fill="A6A6A6" w:themeFill="background1" w:themeFillShade="A6"/>
            <w:noWrap/>
            <w:vAlign w:val="bottom"/>
            <w:hideMark/>
          </w:tcPr>
          <w:p w14:paraId="1B435640" w14:textId="77777777" w:rsidR="00306F5D" w:rsidRPr="002F18DD" w:rsidRDefault="00306F5D" w:rsidP="00306F5D">
            <w:pPr>
              <w:spacing w:after="0" w:line="240" w:lineRule="auto"/>
              <w:rPr>
                <w:rFonts w:asciiTheme="majorHAnsi" w:eastAsia="Times New Roman" w:hAnsiTheme="majorHAnsi" w:cstheme="majorHAnsi"/>
                <w:b/>
                <w:bCs/>
                <w:color w:val="000000"/>
                <w:sz w:val="24"/>
                <w:szCs w:val="20"/>
                <w:lang w:eastAsia="en-GB"/>
              </w:rPr>
            </w:pPr>
            <w:r w:rsidRPr="002F18DD">
              <w:rPr>
                <w:rFonts w:asciiTheme="majorHAnsi" w:eastAsia="Times New Roman" w:hAnsiTheme="majorHAnsi" w:cstheme="majorHAnsi"/>
                <w:b/>
                <w:bCs/>
                <w:color w:val="000000"/>
                <w:sz w:val="24"/>
                <w:szCs w:val="20"/>
                <w:lang w:eastAsia="en-GB"/>
              </w:rPr>
              <w:t>Region</w:t>
            </w:r>
          </w:p>
        </w:tc>
        <w:tc>
          <w:tcPr>
            <w:tcW w:w="594" w:type="dxa"/>
            <w:tcBorders>
              <w:top w:val="nil"/>
              <w:left w:val="nil"/>
              <w:bottom w:val="nil"/>
              <w:right w:val="nil"/>
            </w:tcBorders>
            <w:shd w:val="clear" w:color="000000" w:fill="BFBFBF"/>
            <w:textDirection w:val="tbRl"/>
            <w:vAlign w:val="center"/>
            <w:hideMark/>
          </w:tcPr>
          <w:p w14:paraId="01509B2A"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Food</w:t>
            </w:r>
          </w:p>
        </w:tc>
        <w:tc>
          <w:tcPr>
            <w:tcW w:w="594" w:type="dxa"/>
            <w:tcBorders>
              <w:top w:val="nil"/>
              <w:left w:val="nil"/>
              <w:bottom w:val="nil"/>
              <w:right w:val="nil"/>
            </w:tcBorders>
            <w:shd w:val="clear" w:color="000000" w:fill="BFBFBF"/>
            <w:textDirection w:val="tbRl"/>
            <w:vAlign w:val="center"/>
            <w:hideMark/>
          </w:tcPr>
          <w:p w14:paraId="0C5D396E"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Cooking appliances</w:t>
            </w:r>
          </w:p>
        </w:tc>
        <w:tc>
          <w:tcPr>
            <w:tcW w:w="594" w:type="dxa"/>
            <w:tcBorders>
              <w:top w:val="nil"/>
              <w:left w:val="nil"/>
              <w:bottom w:val="nil"/>
              <w:right w:val="nil"/>
            </w:tcBorders>
            <w:shd w:val="clear" w:color="000000" w:fill="BFBFBF"/>
            <w:textDirection w:val="tbRl"/>
            <w:vAlign w:val="center"/>
            <w:hideMark/>
          </w:tcPr>
          <w:p w14:paraId="6F70FA04"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Cold Storage</w:t>
            </w:r>
          </w:p>
        </w:tc>
        <w:tc>
          <w:tcPr>
            <w:tcW w:w="595" w:type="dxa"/>
            <w:tcBorders>
              <w:top w:val="nil"/>
              <w:left w:val="nil"/>
              <w:bottom w:val="nil"/>
              <w:right w:val="nil"/>
            </w:tcBorders>
            <w:shd w:val="clear" w:color="000000" w:fill="A6A6A6"/>
            <w:textDirection w:val="tbRl"/>
            <w:vAlign w:val="center"/>
            <w:hideMark/>
          </w:tcPr>
          <w:p w14:paraId="5C34549D"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House construction</w:t>
            </w:r>
          </w:p>
        </w:tc>
        <w:tc>
          <w:tcPr>
            <w:tcW w:w="595" w:type="dxa"/>
            <w:tcBorders>
              <w:top w:val="nil"/>
              <w:left w:val="nil"/>
              <w:bottom w:val="nil"/>
              <w:right w:val="nil"/>
            </w:tcBorders>
            <w:shd w:val="clear" w:color="000000" w:fill="A6A6A6"/>
            <w:textDirection w:val="tbRl"/>
            <w:vAlign w:val="center"/>
            <w:hideMark/>
          </w:tcPr>
          <w:p w14:paraId="5E9EF582"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Thermal comfort</w:t>
            </w:r>
          </w:p>
        </w:tc>
        <w:tc>
          <w:tcPr>
            <w:tcW w:w="595" w:type="dxa"/>
            <w:tcBorders>
              <w:top w:val="nil"/>
              <w:left w:val="nil"/>
              <w:bottom w:val="nil"/>
              <w:right w:val="nil"/>
            </w:tcBorders>
            <w:shd w:val="clear" w:color="000000" w:fill="A6A6A6"/>
            <w:textDirection w:val="tbRl"/>
            <w:vAlign w:val="center"/>
            <w:hideMark/>
          </w:tcPr>
          <w:p w14:paraId="133D5A57"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Illumination</w:t>
            </w:r>
          </w:p>
        </w:tc>
        <w:tc>
          <w:tcPr>
            <w:tcW w:w="595" w:type="dxa"/>
            <w:tcBorders>
              <w:top w:val="nil"/>
              <w:left w:val="nil"/>
              <w:bottom w:val="nil"/>
              <w:right w:val="nil"/>
            </w:tcBorders>
            <w:shd w:val="clear" w:color="000000" w:fill="BFBFBF"/>
            <w:textDirection w:val="tbRl"/>
            <w:vAlign w:val="center"/>
            <w:hideMark/>
          </w:tcPr>
          <w:p w14:paraId="33BF747A"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Water supply</w:t>
            </w:r>
          </w:p>
        </w:tc>
        <w:tc>
          <w:tcPr>
            <w:tcW w:w="595" w:type="dxa"/>
            <w:tcBorders>
              <w:top w:val="nil"/>
              <w:left w:val="nil"/>
              <w:bottom w:val="nil"/>
              <w:right w:val="nil"/>
            </w:tcBorders>
            <w:shd w:val="clear" w:color="000000" w:fill="BFBFBF"/>
            <w:textDirection w:val="tbRl"/>
            <w:vAlign w:val="center"/>
            <w:hideMark/>
          </w:tcPr>
          <w:p w14:paraId="52E440FD"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Water heating</w:t>
            </w:r>
          </w:p>
        </w:tc>
        <w:tc>
          <w:tcPr>
            <w:tcW w:w="595" w:type="dxa"/>
            <w:tcBorders>
              <w:top w:val="nil"/>
              <w:left w:val="nil"/>
              <w:bottom w:val="nil"/>
              <w:right w:val="nil"/>
            </w:tcBorders>
            <w:shd w:val="clear" w:color="000000" w:fill="BFBFBF"/>
            <w:textDirection w:val="tbRl"/>
            <w:vAlign w:val="center"/>
            <w:hideMark/>
          </w:tcPr>
          <w:p w14:paraId="199E0D7E"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Waste management</w:t>
            </w:r>
          </w:p>
        </w:tc>
        <w:tc>
          <w:tcPr>
            <w:tcW w:w="596" w:type="dxa"/>
            <w:tcBorders>
              <w:top w:val="nil"/>
              <w:left w:val="nil"/>
              <w:bottom w:val="nil"/>
              <w:right w:val="nil"/>
            </w:tcBorders>
            <w:shd w:val="clear" w:color="000000" w:fill="A6A6A6"/>
            <w:textDirection w:val="tbRl"/>
            <w:vAlign w:val="center"/>
            <w:hideMark/>
          </w:tcPr>
          <w:p w14:paraId="5F785D9C"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Clothes</w:t>
            </w:r>
          </w:p>
        </w:tc>
        <w:tc>
          <w:tcPr>
            <w:tcW w:w="595" w:type="dxa"/>
            <w:tcBorders>
              <w:top w:val="nil"/>
              <w:left w:val="nil"/>
              <w:bottom w:val="nil"/>
              <w:right w:val="nil"/>
            </w:tcBorders>
            <w:shd w:val="clear" w:color="000000" w:fill="A6A6A6"/>
            <w:textDirection w:val="tbRl"/>
            <w:vAlign w:val="center"/>
            <w:hideMark/>
          </w:tcPr>
          <w:p w14:paraId="27AC0469"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Clothes washing</w:t>
            </w:r>
          </w:p>
        </w:tc>
        <w:tc>
          <w:tcPr>
            <w:tcW w:w="616" w:type="dxa"/>
            <w:vMerge/>
            <w:tcBorders>
              <w:top w:val="nil"/>
              <w:left w:val="nil"/>
              <w:bottom w:val="nil"/>
              <w:right w:val="nil"/>
            </w:tcBorders>
            <w:vAlign w:val="center"/>
            <w:hideMark/>
          </w:tcPr>
          <w:p w14:paraId="0D3208B7" w14:textId="77777777" w:rsidR="00306F5D" w:rsidRPr="00306F5D" w:rsidRDefault="00306F5D" w:rsidP="00306F5D">
            <w:pPr>
              <w:spacing w:after="0" w:line="240" w:lineRule="auto"/>
              <w:rPr>
                <w:rFonts w:asciiTheme="majorHAnsi" w:eastAsia="Times New Roman" w:hAnsiTheme="majorHAnsi" w:cstheme="majorHAnsi"/>
                <w:b/>
                <w:bCs/>
                <w:color w:val="000000"/>
                <w:sz w:val="20"/>
                <w:szCs w:val="20"/>
                <w:lang w:eastAsia="en-GB"/>
              </w:rPr>
            </w:pPr>
          </w:p>
        </w:tc>
        <w:tc>
          <w:tcPr>
            <w:tcW w:w="616" w:type="dxa"/>
            <w:vMerge/>
            <w:tcBorders>
              <w:top w:val="nil"/>
              <w:left w:val="nil"/>
              <w:bottom w:val="nil"/>
              <w:right w:val="nil"/>
            </w:tcBorders>
            <w:shd w:val="clear" w:color="auto" w:fill="808080" w:themeFill="background1" w:themeFillShade="80"/>
            <w:vAlign w:val="center"/>
            <w:hideMark/>
          </w:tcPr>
          <w:p w14:paraId="5384FC6B" w14:textId="77777777" w:rsidR="00306F5D" w:rsidRPr="00306F5D" w:rsidRDefault="00306F5D" w:rsidP="00306F5D">
            <w:pPr>
              <w:spacing w:after="0" w:line="240" w:lineRule="auto"/>
              <w:rPr>
                <w:rFonts w:asciiTheme="majorHAnsi" w:eastAsia="Times New Roman" w:hAnsiTheme="majorHAnsi" w:cstheme="majorHAnsi"/>
                <w:b/>
                <w:bCs/>
                <w:color w:val="000000"/>
                <w:sz w:val="20"/>
                <w:szCs w:val="20"/>
                <w:lang w:eastAsia="en-GB"/>
              </w:rPr>
            </w:pPr>
          </w:p>
        </w:tc>
        <w:tc>
          <w:tcPr>
            <w:tcW w:w="595" w:type="dxa"/>
            <w:tcBorders>
              <w:top w:val="nil"/>
              <w:left w:val="nil"/>
              <w:bottom w:val="nil"/>
              <w:right w:val="nil"/>
            </w:tcBorders>
            <w:shd w:val="clear" w:color="000000" w:fill="BFBFBF"/>
            <w:textDirection w:val="tbRl"/>
            <w:vAlign w:val="center"/>
            <w:hideMark/>
          </w:tcPr>
          <w:p w14:paraId="2FD46798"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Phones</w:t>
            </w:r>
          </w:p>
        </w:tc>
        <w:tc>
          <w:tcPr>
            <w:tcW w:w="595" w:type="dxa"/>
            <w:tcBorders>
              <w:top w:val="nil"/>
              <w:left w:val="nil"/>
              <w:bottom w:val="nil"/>
              <w:right w:val="nil"/>
            </w:tcBorders>
            <w:shd w:val="clear" w:color="000000" w:fill="BFBFBF"/>
            <w:textDirection w:val="tbRl"/>
            <w:vAlign w:val="center"/>
            <w:hideMark/>
          </w:tcPr>
          <w:p w14:paraId="0296FA14"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Computers</w:t>
            </w:r>
          </w:p>
        </w:tc>
        <w:tc>
          <w:tcPr>
            <w:tcW w:w="724" w:type="dxa"/>
            <w:tcBorders>
              <w:top w:val="nil"/>
              <w:left w:val="nil"/>
              <w:bottom w:val="nil"/>
              <w:right w:val="nil"/>
            </w:tcBorders>
            <w:shd w:val="clear" w:color="000000" w:fill="BFBFBF"/>
            <w:textDirection w:val="tbRl"/>
            <w:vAlign w:val="center"/>
            <w:hideMark/>
          </w:tcPr>
          <w:p w14:paraId="75048C28"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ICT networks</w:t>
            </w:r>
            <w:r w:rsidRPr="00306F5D">
              <w:rPr>
                <w:rFonts w:asciiTheme="majorHAnsi" w:eastAsia="Times New Roman" w:hAnsiTheme="majorHAnsi" w:cstheme="majorHAnsi"/>
                <w:color w:val="000000"/>
                <w:sz w:val="20"/>
                <w:szCs w:val="20"/>
                <w:lang w:eastAsia="en-GB"/>
              </w:rPr>
              <w:br/>
              <w:t>&amp; data</w:t>
            </w:r>
          </w:p>
        </w:tc>
        <w:tc>
          <w:tcPr>
            <w:tcW w:w="596" w:type="dxa"/>
            <w:tcBorders>
              <w:top w:val="nil"/>
              <w:left w:val="nil"/>
              <w:bottom w:val="nil"/>
              <w:right w:val="nil"/>
            </w:tcBorders>
            <w:shd w:val="clear" w:color="000000" w:fill="A6A6A6"/>
            <w:textDirection w:val="tbRl"/>
            <w:vAlign w:val="center"/>
            <w:hideMark/>
          </w:tcPr>
          <w:p w14:paraId="4A81D1E5"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Vehicles</w:t>
            </w:r>
          </w:p>
        </w:tc>
        <w:tc>
          <w:tcPr>
            <w:tcW w:w="596" w:type="dxa"/>
            <w:tcBorders>
              <w:top w:val="nil"/>
              <w:left w:val="nil"/>
              <w:bottom w:val="nil"/>
              <w:right w:val="nil"/>
            </w:tcBorders>
            <w:shd w:val="clear" w:color="000000" w:fill="A6A6A6"/>
            <w:textDirection w:val="tbRl"/>
            <w:vAlign w:val="center"/>
            <w:hideMark/>
          </w:tcPr>
          <w:p w14:paraId="715E163B" w14:textId="77777777" w:rsidR="00306F5D" w:rsidRPr="00306F5D" w:rsidRDefault="00306F5D" w:rsidP="00306F5D">
            <w:pPr>
              <w:spacing w:after="0" w:line="240" w:lineRule="auto"/>
              <w:jc w:val="center"/>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Transport infrastructure</w:t>
            </w:r>
          </w:p>
        </w:tc>
        <w:tc>
          <w:tcPr>
            <w:tcW w:w="495" w:type="dxa"/>
            <w:vMerge/>
            <w:tcBorders>
              <w:top w:val="nil"/>
              <w:left w:val="nil"/>
              <w:bottom w:val="nil"/>
              <w:right w:val="nil"/>
            </w:tcBorders>
            <w:vAlign w:val="center"/>
            <w:hideMark/>
          </w:tcPr>
          <w:p w14:paraId="4187BFAF" w14:textId="77777777" w:rsidR="00306F5D" w:rsidRPr="00306F5D" w:rsidRDefault="00306F5D" w:rsidP="00306F5D">
            <w:pPr>
              <w:spacing w:after="0" w:line="240" w:lineRule="auto"/>
              <w:rPr>
                <w:rFonts w:asciiTheme="majorHAnsi" w:eastAsia="Times New Roman" w:hAnsiTheme="majorHAnsi" w:cstheme="majorHAnsi"/>
                <w:b/>
                <w:bCs/>
                <w:i/>
                <w:iCs/>
                <w:color w:val="000000"/>
                <w:sz w:val="20"/>
                <w:szCs w:val="20"/>
                <w:lang w:eastAsia="en-GB"/>
              </w:rPr>
            </w:pPr>
          </w:p>
        </w:tc>
      </w:tr>
      <w:tr w:rsidR="00306F5D" w:rsidRPr="00306F5D" w14:paraId="52FD8B55"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F402EA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AUS</w:t>
            </w:r>
          </w:p>
        </w:tc>
        <w:tc>
          <w:tcPr>
            <w:tcW w:w="1477" w:type="dxa"/>
            <w:tcBorders>
              <w:top w:val="nil"/>
              <w:left w:val="nil"/>
              <w:bottom w:val="nil"/>
              <w:right w:val="nil"/>
            </w:tcBorders>
            <w:shd w:val="clear" w:color="auto" w:fill="D9D9D9" w:themeFill="background1" w:themeFillShade="D9"/>
            <w:noWrap/>
            <w:vAlign w:val="bottom"/>
            <w:hideMark/>
          </w:tcPr>
          <w:p w14:paraId="0C49C828"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Australia</w:t>
            </w:r>
          </w:p>
        </w:tc>
        <w:tc>
          <w:tcPr>
            <w:tcW w:w="1308" w:type="dxa"/>
            <w:tcBorders>
              <w:top w:val="nil"/>
              <w:left w:val="nil"/>
              <w:bottom w:val="nil"/>
              <w:right w:val="nil"/>
            </w:tcBorders>
            <w:shd w:val="clear" w:color="auto" w:fill="D9D9D9" w:themeFill="background1" w:themeFillShade="D9"/>
            <w:noWrap/>
            <w:vAlign w:val="bottom"/>
            <w:hideMark/>
          </w:tcPr>
          <w:p w14:paraId="05906F24"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Oceania</w:t>
            </w:r>
          </w:p>
        </w:tc>
        <w:tc>
          <w:tcPr>
            <w:tcW w:w="594" w:type="dxa"/>
            <w:tcBorders>
              <w:top w:val="nil"/>
              <w:left w:val="nil"/>
              <w:bottom w:val="nil"/>
              <w:right w:val="nil"/>
            </w:tcBorders>
            <w:shd w:val="clear" w:color="000000" w:fill="F2F2F2"/>
            <w:noWrap/>
            <w:vAlign w:val="bottom"/>
            <w:hideMark/>
          </w:tcPr>
          <w:p w14:paraId="11046BE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1AD579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2206E6D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DD1D68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7620343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C7FF1E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3710A1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029D951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726C45D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3EBFA6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968BD3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222FC67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616" w:type="dxa"/>
            <w:tcBorders>
              <w:top w:val="nil"/>
              <w:left w:val="nil"/>
              <w:bottom w:val="nil"/>
              <w:right w:val="nil"/>
            </w:tcBorders>
            <w:shd w:val="clear" w:color="000000" w:fill="D9D9D9"/>
            <w:noWrap/>
            <w:vAlign w:val="bottom"/>
            <w:hideMark/>
          </w:tcPr>
          <w:p w14:paraId="1DDCA0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33FD018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C318EE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44450D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BDD496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c>
          <w:tcPr>
            <w:tcW w:w="596" w:type="dxa"/>
            <w:tcBorders>
              <w:top w:val="nil"/>
              <w:left w:val="nil"/>
              <w:bottom w:val="nil"/>
              <w:right w:val="nil"/>
            </w:tcBorders>
            <w:shd w:val="clear" w:color="000000" w:fill="D9D9D9"/>
            <w:noWrap/>
            <w:vAlign w:val="bottom"/>
            <w:hideMark/>
          </w:tcPr>
          <w:p w14:paraId="6355C85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6CF375D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r>
      <w:tr w:rsidR="00306F5D" w:rsidRPr="00306F5D" w14:paraId="13F0935F"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3D71305"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NZL</w:t>
            </w:r>
          </w:p>
        </w:tc>
        <w:tc>
          <w:tcPr>
            <w:tcW w:w="1477" w:type="dxa"/>
            <w:tcBorders>
              <w:top w:val="nil"/>
              <w:left w:val="nil"/>
              <w:bottom w:val="nil"/>
              <w:right w:val="nil"/>
            </w:tcBorders>
            <w:shd w:val="clear" w:color="auto" w:fill="D9D9D9" w:themeFill="background1" w:themeFillShade="D9"/>
            <w:noWrap/>
            <w:vAlign w:val="bottom"/>
            <w:hideMark/>
          </w:tcPr>
          <w:p w14:paraId="4D018A2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New Zealand</w:t>
            </w:r>
          </w:p>
        </w:tc>
        <w:tc>
          <w:tcPr>
            <w:tcW w:w="1308" w:type="dxa"/>
            <w:tcBorders>
              <w:top w:val="nil"/>
              <w:left w:val="nil"/>
              <w:bottom w:val="nil"/>
              <w:right w:val="nil"/>
            </w:tcBorders>
            <w:shd w:val="clear" w:color="auto" w:fill="D9D9D9" w:themeFill="background1" w:themeFillShade="D9"/>
            <w:noWrap/>
            <w:vAlign w:val="bottom"/>
            <w:hideMark/>
          </w:tcPr>
          <w:p w14:paraId="4F1E8E47"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Oceania</w:t>
            </w:r>
          </w:p>
        </w:tc>
        <w:tc>
          <w:tcPr>
            <w:tcW w:w="594" w:type="dxa"/>
            <w:tcBorders>
              <w:top w:val="nil"/>
              <w:left w:val="nil"/>
              <w:bottom w:val="nil"/>
              <w:right w:val="nil"/>
            </w:tcBorders>
            <w:shd w:val="clear" w:color="000000" w:fill="F2F2F2"/>
            <w:noWrap/>
            <w:vAlign w:val="bottom"/>
            <w:hideMark/>
          </w:tcPr>
          <w:p w14:paraId="624520E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110BC8A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0C1CC7B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726A1A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30146C4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A8A5C6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9086E6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6380571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4D99AF8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1BEF7A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D4BA85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A8708E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616" w:type="dxa"/>
            <w:tcBorders>
              <w:top w:val="nil"/>
              <w:left w:val="nil"/>
              <w:bottom w:val="nil"/>
              <w:right w:val="nil"/>
            </w:tcBorders>
            <w:shd w:val="clear" w:color="000000" w:fill="D9D9D9"/>
            <w:noWrap/>
            <w:vAlign w:val="bottom"/>
            <w:hideMark/>
          </w:tcPr>
          <w:p w14:paraId="596E195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6FCF86C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773895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669B0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FB026D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c>
          <w:tcPr>
            <w:tcW w:w="596" w:type="dxa"/>
            <w:tcBorders>
              <w:top w:val="nil"/>
              <w:left w:val="nil"/>
              <w:bottom w:val="nil"/>
              <w:right w:val="nil"/>
            </w:tcBorders>
            <w:shd w:val="clear" w:color="000000" w:fill="D9D9D9"/>
            <w:noWrap/>
            <w:vAlign w:val="bottom"/>
            <w:hideMark/>
          </w:tcPr>
          <w:p w14:paraId="33CE46C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0B7EA0E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r>
      <w:tr w:rsidR="00306F5D" w:rsidRPr="00306F5D" w14:paraId="003DBDB1" w14:textId="77777777" w:rsidTr="002F18DD">
        <w:trPr>
          <w:trHeight w:val="255"/>
        </w:trPr>
        <w:tc>
          <w:tcPr>
            <w:tcW w:w="567" w:type="dxa"/>
            <w:tcBorders>
              <w:top w:val="single" w:sz="4" w:space="0" w:color="A6A6A6"/>
              <w:left w:val="nil"/>
              <w:bottom w:val="nil"/>
              <w:right w:val="nil"/>
            </w:tcBorders>
            <w:shd w:val="clear" w:color="auto" w:fill="D9D9D9" w:themeFill="background1" w:themeFillShade="D9"/>
            <w:noWrap/>
            <w:vAlign w:val="bottom"/>
            <w:hideMark/>
          </w:tcPr>
          <w:p w14:paraId="0F524CE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CHN</w:t>
            </w:r>
          </w:p>
        </w:tc>
        <w:tc>
          <w:tcPr>
            <w:tcW w:w="1477" w:type="dxa"/>
            <w:tcBorders>
              <w:top w:val="single" w:sz="4" w:space="0" w:color="A6A6A6"/>
              <w:left w:val="nil"/>
              <w:bottom w:val="nil"/>
              <w:right w:val="nil"/>
            </w:tcBorders>
            <w:shd w:val="clear" w:color="auto" w:fill="D9D9D9" w:themeFill="background1" w:themeFillShade="D9"/>
            <w:noWrap/>
            <w:vAlign w:val="bottom"/>
            <w:hideMark/>
          </w:tcPr>
          <w:p w14:paraId="635BEB0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China</w:t>
            </w:r>
          </w:p>
        </w:tc>
        <w:tc>
          <w:tcPr>
            <w:tcW w:w="1308" w:type="dxa"/>
            <w:tcBorders>
              <w:top w:val="single" w:sz="4" w:space="0" w:color="A6A6A6"/>
              <w:left w:val="nil"/>
              <w:bottom w:val="nil"/>
              <w:right w:val="nil"/>
            </w:tcBorders>
            <w:shd w:val="clear" w:color="auto" w:fill="D9D9D9" w:themeFill="background1" w:themeFillShade="D9"/>
            <w:noWrap/>
            <w:vAlign w:val="bottom"/>
            <w:hideMark/>
          </w:tcPr>
          <w:p w14:paraId="5854CB47"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 Asia</w:t>
            </w:r>
          </w:p>
        </w:tc>
        <w:tc>
          <w:tcPr>
            <w:tcW w:w="594" w:type="dxa"/>
            <w:tcBorders>
              <w:top w:val="single" w:sz="4" w:space="0" w:color="A6A6A6"/>
              <w:left w:val="nil"/>
              <w:bottom w:val="nil"/>
              <w:right w:val="nil"/>
            </w:tcBorders>
            <w:shd w:val="clear" w:color="000000" w:fill="F2F2F2"/>
            <w:noWrap/>
            <w:vAlign w:val="bottom"/>
            <w:hideMark/>
          </w:tcPr>
          <w:p w14:paraId="48074B2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single" w:sz="4" w:space="0" w:color="A6A6A6"/>
              <w:left w:val="nil"/>
              <w:bottom w:val="nil"/>
              <w:right w:val="nil"/>
            </w:tcBorders>
            <w:shd w:val="clear" w:color="000000" w:fill="F2F2F2"/>
            <w:noWrap/>
            <w:vAlign w:val="bottom"/>
            <w:hideMark/>
          </w:tcPr>
          <w:p w14:paraId="5ADB8B6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single" w:sz="4" w:space="0" w:color="A6A6A6"/>
              <w:left w:val="nil"/>
              <w:bottom w:val="nil"/>
              <w:right w:val="nil"/>
            </w:tcBorders>
            <w:shd w:val="clear" w:color="000000" w:fill="F2F2F2"/>
            <w:noWrap/>
            <w:vAlign w:val="bottom"/>
            <w:hideMark/>
          </w:tcPr>
          <w:p w14:paraId="338100D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D9D9D9"/>
            <w:noWrap/>
            <w:vAlign w:val="bottom"/>
            <w:hideMark/>
          </w:tcPr>
          <w:p w14:paraId="770AC21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D9D9D9"/>
            <w:noWrap/>
            <w:vAlign w:val="bottom"/>
            <w:hideMark/>
          </w:tcPr>
          <w:p w14:paraId="72C5328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single" w:sz="4" w:space="0" w:color="A6A6A6"/>
              <w:left w:val="nil"/>
              <w:bottom w:val="nil"/>
              <w:right w:val="nil"/>
            </w:tcBorders>
            <w:shd w:val="clear" w:color="000000" w:fill="D9D9D9"/>
            <w:noWrap/>
            <w:vAlign w:val="bottom"/>
            <w:hideMark/>
          </w:tcPr>
          <w:p w14:paraId="1230C2E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73B211F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F2F2F2"/>
            <w:noWrap/>
            <w:vAlign w:val="bottom"/>
            <w:hideMark/>
          </w:tcPr>
          <w:p w14:paraId="116879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single" w:sz="4" w:space="0" w:color="A6A6A6"/>
              <w:left w:val="nil"/>
              <w:bottom w:val="nil"/>
              <w:right w:val="nil"/>
            </w:tcBorders>
            <w:shd w:val="clear" w:color="000000" w:fill="F2F2F2"/>
            <w:noWrap/>
            <w:vAlign w:val="bottom"/>
            <w:hideMark/>
          </w:tcPr>
          <w:p w14:paraId="700B752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single" w:sz="4" w:space="0" w:color="A6A6A6"/>
              <w:left w:val="nil"/>
              <w:bottom w:val="nil"/>
              <w:right w:val="nil"/>
            </w:tcBorders>
            <w:shd w:val="clear" w:color="000000" w:fill="D9D9D9"/>
            <w:noWrap/>
            <w:vAlign w:val="bottom"/>
            <w:hideMark/>
          </w:tcPr>
          <w:p w14:paraId="029B3B9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18497CE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single" w:sz="4" w:space="0" w:color="A6A6A6"/>
              <w:left w:val="nil"/>
              <w:bottom w:val="nil"/>
              <w:right w:val="nil"/>
            </w:tcBorders>
            <w:shd w:val="clear" w:color="000000" w:fill="F2F2F2"/>
            <w:noWrap/>
            <w:vAlign w:val="bottom"/>
            <w:hideMark/>
          </w:tcPr>
          <w:p w14:paraId="56495F1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single" w:sz="4" w:space="0" w:color="A6A6A6"/>
              <w:left w:val="nil"/>
              <w:bottom w:val="nil"/>
              <w:right w:val="nil"/>
            </w:tcBorders>
            <w:shd w:val="clear" w:color="000000" w:fill="D9D9D9"/>
            <w:noWrap/>
            <w:vAlign w:val="bottom"/>
            <w:hideMark/>
          </w:tcPr>
          <w:p w14:paraId="57D2F16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single" w:sz="4" w:space="0" w:color="A6A6A6"/>
              <w:left w:val="nil"/>
              <w:bottom w:val="nil"/>
              <w:right w:val="nil"/>
            </w:tcBorders>
            <w:shd w:val="clear" w:color="000000" w:fill="F2F2F2"/>
            <w:noWrap/>
            <w:vAlign w:val="bottom"/>
            <w:hideMark/>
          </w:tcPr>
          <w:p w14:paraId="52836DF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171E27A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single" w:sz="4" w:space="0" w:color="A6A6A6"/>
              <w:left w:val="nil"/>
              <w:bottom w:val="nil"/>
              <w:right w:val="nil"/>
            </w:tcBorders>
            <w:shd w:val="clear" w:color="000000" w:fill="F2F2F2"/>
            <w:noWrap/>
            <w:vAlign w:val="bottom"/>
            <w:hideMark/>
          </w:tcPr>
          <w:p w14:paraId="7AE4B8E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single" w:sz="4" w:space="0" w:color="A6A6A6"/>
              <w:left w:val="nil"/>
              <w:bottom w:val="nil"/>
              <w:right w:val="nil"/>
            </w:tcBorders>
            <w:shd w:val="clear" w:color="000000" w:fill="D9D9D9"/>
            <w:noWrap/>
            <w:vAlign w:val="bottom"/>
            <w:hideMark/>
          </w:tcPr>
          <w:p w14:paraId="3395E0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2.1</w:t>
            </w:r>
          </w:p>
        </w:tc>
        <w:tc>
          <w:tcPr>
            <w:tcW w:w="596" w:type="dxa"/>
            <w:tcBorders>
              <w:top w:val="single" w:sz="4" w:space="0" w:color="A6A6A6"/>
              <w:left w:val="nil"/>
              <w:bottom w:val="nil"/>
              <w:right w:val="nil"/>
            </w:tcBorders>
            <w:shd w:val="clear" w:color="000000" w:fill="D9D9D9"/>
            <w:noWrap/>
            <w:vAlign w:val="bottom"/>
            <w:hideMark/>
          </w:tcPr>
          <w:p w14:paraId="17D7B6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495" w:type="dxa"/>
            <w:tcBorders>
              <w:top w:val="single" w:sz="4" w:space="0" w:color="A6A6A6"/>
              <w:left w:val="nil"/>
              <w:bottom w:val="nil"/>
              <w:right w:val="nil"/>
            </w:tcBorders>
            <w:shd w:val="clear" w:color="000000" w:fill="F2F2F2"/>
            <w:noWrap/>
            <w:vAlign w:val="bottom"/>
            <w:hideMark/>
          </w:tcPr>
          <w:p w14:paraId="4991FA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2EA4B2D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5BA2D9D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HKG</w:t>
            </w:r>
          </w:p>
        </w:tc>
        <w:tc>
          <w:tcPr>
            <w:tcW w:w="1477" w:type="dxa"/>
            <w:tcBorders>
              <w:top w:val="nil"/>
              <w:left w:val="nil"/>
              <w:bottom w:val="nil"/>
              <w:right w:val="nil"/>
            </w:tcBorders>
            <w:shd w:val="clear" w:color="auto" w:fill="D9D9D9" w:themeFill="background1" w:themeFillShade="D9"/>
            <w:noWrap/>
            <w:vAlign w:val="bottom"/>
            <w:hideMark/>
          </w:tcPr>
          <w:p w14:paraId="118CAD5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Hong Kong</w:t>
            </w:r>
          </w:p>
        </w:tc>
        <w:tc>
          <w:tcPr>
            <w:tcW w:w="1308" w:type="dxa"/>
            <w:tcBorders>
              <w:top w:val="nil"/>
              <w:left w:val="nil"/>
              <w:bottom w:val="nil"/>
              <w:right w:val="nil"/>
            </w:tcBorders>
            <w:shd w:val="clear" w:color="auto" w:fill="D9D9D9" w:themeFill="background1" w:themeFillShade="D9"/>
            <w:noWrap/>
            <w:vAlign w:val="bottom"/>
            <w:hideMark/>
          </w:tcPr>
          <w:p w14:paraId="5CE35B84"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 Asia</w:t>
            </w:r>
          </w:p>
        </w:tc>
        <w:tc>
          <w:tcPr>
            <w:tcW w:w="594" w:type="dxa"/>
            <w:tcBorders>
              <w:top w:val="nil"/>
              <w:left w:val="nil"/>
              <w:bottom w:val="nil"/>
              <w:right w:val="nil"/>
            </w:tcBorders>
            <w:shd w:val="clear" w:color="000000" w:fill="F2F2F2"/>
            <w:noWrap/>
            <w:vAlign w:val="bottom"/>
            <w:hideMark/>
          </w:tcPr>
          <w:p w14:paraId="193AC08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DF8D24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DA7184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1E5C123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4D33DC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59AA012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9FC2CB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0A4C044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214D00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221AAB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743D2F4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A4CDC1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21A52C7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58A7823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D3C09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34CB99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6178E47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1.7</w:t>
            </w:r>
          </w:p>
        </w:tc>
        <w:tc>
          <w:tcPr>
            <w:tcW w:w="596" w:type="dxa"/>
            <w:tcBorders>
              <w:top w:val="nil"/>
              <w:left w:val="nil"/>
              <w:bottom w:val="nil"/>
              <w:right w:val="nil"/>
            </w:tcBorders>
            <w:shd w:val="clear" w:color="000000" w:fill="D9D9D9"/>
            <w:noWrap/>
            <w:vAlign w:val="bottom"/>
            <w:hideMark/>
          </w:tcPr>
          <w:p w14:paraId="75E0B65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48C0FC8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515A35A9"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7F6EB0BB"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JPN</w:t>
            </w:r>
          </w:p>
        </w:tc>
        <w:tc>
          <w:tcPr>
            <w:tcW w:w="1477" w:type="dxa"/>
            <w:tcBorders>
              <w:top w:val="nil"/>
              <w:left w:val="nil"/>
              <w:bottom w:val="nil"/>
              <w:right w:val="nil"/>
            </w:tcBorders>
            <w:shd w:val="clear" w:color="auto" w:fill="D9D9D9" w:themeFill="background1" w:themeFillShade="D9"/>
            <w:noWrap/>
            <w:vAlign w:val="bottom"/>
            <w:hideMark/>
          </w:tcPr>
          <w:p w14:paraId="547EFE1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Japan</w:t>
            </w:r>
          </w:p>
        </w:tc>
        <w:tc>
          <w:tcPr>
            <w:tcW w:w="1308" w:type="dxa"/>
            <w:tcBorders>
              <w:top w:val="nil"/>
              <w:left w:val="nil"/>
              <w:bottom w:val="nil"/>
              <w:right w:val="nil"/>
            </w:tcBorders>
            <w:shd w:val="clear" w:color="auto" w:fill="D9D9D9" w:themeFill="background1" w:themeFillShade="D9"/>
            <w:noWrap/>
            <w:vAlign w:val="bottom"/>
            <w:hideMark/>
          </w:tcPr>
          <w:p w14:paraId="26E620C1"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 Asia</w:t>
            </w:r>
          </w:p>
        </w:tc>
        <w:tc>
          <w:tcPr>
            <w:tcW w:w="594" w:type="dxa"/>
            <w:tcBorders>
              <w:top w:val="nil"/>
              <w:left w:val="nil"/>
              <w:bottom w:val="nil"/>
              <w:right w:val="nil"/>
            </w:tcBorders>
            <w:shd w:val="clear" w:color="000000" w:fill="F2F2F2"/>
            <w:noWrap/>
            <w:vAlign w:val="bottom"/>
            <w:hideMark/>
          </w:tcPr>
          <w:p w14:paraId="65835DA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BAC01A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0C8D39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036A130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76814B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0EEE591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8DB8C5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49A38A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220CA52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5A27D45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50A7A1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3DFA34F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42CFEB6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3D86ED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C5785E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44B8697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1B230B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1.7</w:t>
            </w:r>
          </w:p>
        </w:tc>
        <w:tc>
          <w:tcPr>
            <w:tcW w:w="596" w:type="dxa"/>
            <w:tcBorders>
              <w:top w:val="nil"/>
              <w:left w:val="nil"/>
              <w:bottom w:val="nil"/>
              <w:right w:val="nil"/>
            </w:tcBorders>
            <w:shd w:val="clear" w:color="000000" w:fill="D9D9D9"/>
            <w:noWrap/>
            <w:vAlign w:val="bottom"/>
            <w:hideMark/>
          </w:tcPr>
          <w:p w14:paraId="5C04222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259E9F8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r>
      <w:tr w:rsidR="00306F5D" w:rsidRPr="00306F5D" w14:paraId="78025422"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CC982C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KOR</w:t>
            </w:r>
          </w:p>
        </w:tc>
        <w:tc>
          <w:tcPr>
            <w:tcW w:w="1477" w:type="dxa"/>
            <w:tcBorders>
              <w:top w:val="nil"/>
              <w:left w:val="nil"/>
              <w:bottom w:val="nil"/>
              <w:right w:val="nil"/>
            </w:tcBorders>
            <w:shd w:val="clear" w:color="auto" w:fill="D9D9D9" w:themeFill="background1" w:themeFillShade="D9"/>
            <w:noWrap/>
            <w:vAlign w:val="bottom"/>
            <w:hideMark/>
          </w:tcPr>
          <w:p w14:paraId="29AA6209"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Korea</w:t>
            </w:r>
          </w:p>
        </w:tc>
        <w:tc>
          <w:tcPr>
            <w:tcW w:w="1308" w:type="dxa"/>
            <w:tcBorders>
              <w:top w:val="nil"/>
              <w:left w:val="nil"/>
              <w:bottom w:val="nil"/>
              <w:right w:val="nil"/>
            </w:tcBorders>
            <w:shd w:val="clear" w:color="auto" w:fill="D9D9D9" w:themeFill="background1" w:themeFillShade="D9"/>
            <w:noWrap/>
            <w:vAlign w:val="bottom"/>
            <w:hideMark/>
          </w:tcPr>
          <w:p w14:paraId="087FBC07"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 Asia</w:t>
            </w:r>
          </w:p>
        </w:tc>
        <w:tc>
          <w:tcPr>
            <w:tcW w:w="594" w:type="dxa"/>
            <w:tcBorders>
              <w:top w:val="nil"/>
              <w:left w:val="nil"/>
              <w:bottom w:val="nil"/>
              <w:right w:val="nil"/>
            </w:tcBorders>
            <w:shd w:val="clear" w:color="000000" w:fill="F2F2F2"/>
            <w:noWrap/>
            <w:vAlign w:val="bottom"/>
            <w:hideMark/>
          </w:tcPr>
          <w:p w14:paraId="275D1A5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39C7F4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706AEE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671366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041D14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1805AC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CC1A23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1B79B92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595" w:type="dxa"/>
            <w:tcBorders>
              <w:top w:val="nil"/>
              <w:left w:val="nil"/>
              <w:bottom w:val="nil"/>
              <w:right w:val="nil"/>
            </w:tcBorders>
            <w:shd w:val="clear" w:color="000000" w:fill="F2F2F2"/>
            <w:noWrap/>
            <w:vAlign w:val="bottom"/>
            <w:hideMark/>
          </w:tcPr>
          <w:p w14:paraId="27BFFEF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0BA4B9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97D600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9DB0AA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13353F8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7CD3E09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75C991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669C7B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31FB8D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1.8</w:t>
            </w:r>
          </w:p>
        </w:tc>
        <w:tc>
          <w:tcPr>
            <w:tcW w:w="596" w:type="dxa"/>
            <w:tcBorders>
              <w:top w:val="nil"/>
              <w:left w:val="nil"/>
              <w:bottom w:val="nil"/>
              <w:right w:val="nil"/>
            </w:tcBorders>
            <w:shd w:val="clear" w:color="000000" w:fill="D9D9D9"/>
            <w:noWrap/>
            <w:vAlign w:val="bottom"/>
            <w:hideMark/>
          </w:tcPr>
          <w:p w14:paraId="7301A44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21092C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r>
      <w:tr w:rsidR="00306F5D" w:rsidRPr="00306F5D" w14:paraId="712023FC"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C62A446"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MNG</w:t>
            </w:r>
          </w:p>
        </w:tc>
        <w:tc>
          <w:tcPr>
            <w:tcW w:w="1477" w:type="dxa"/>
            <w:tcBorders>
              <w:top w:val="nil"/>
              <w:left w:val="nil"/>
              <w:bottom w:val="nil"/>
              <w:right w:val="nil"/>
            </w:tcBorders>
            <w:shd w:val="clear" w:color="auto" w:fill="D9D9D9" w:themeFill="background1" w:themeFillShade="D9"/>
            <w:noWrap/>
            <w:vAlign w:val="bottom"/>
            <w:hideMark/>
          </w:tcPr>
          <w:p w14:paraId="3F44D816"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Mongolia</w:t>
            </w:r>
          </w:p>
        </w:tc>
        <w:tc>
          <w:tcPr>
            <w:tcW w:w="1308" w:type="dxa"/>
            <w:tcBorders>
              <w:top w:val="nil"/>
              <w:left w:val="nil"/>
              <w:bottom w:val="nil"/>
              <w:right w:val="nil"/>
            </w:tcBorders>
            <w:shd w:val="clear" w:color="auto" w:fill="D9D9D9" w:themeFill="background1" w:themeFillShade="D9"/>
            <w:noWrap/>
            <w:vAlign w:val="bottom"/>
            <w:hideMark/>
          </w:tcPr>
          <w:p w14:paraId="4F22A8D8"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 Asia</w:t>
            </w:r>
          </w:p>
        </w:tc>
        <w:tc>
          <w:tcPr>
            <w:tcW w:w="594" w:type="dxa"/>
            <w:tcBorders>
              <w:top w:val="nil"/>
              <w:left w:val="nil"/>
              <w:bottom w:val="nil"/>
              <w:right w:val="nil"/>
            </w:tcBorders>
            <w:shd w:val="clear" w:color="000000" w:fill="F2F2F2"/>
            <w:noWrap/>
            <w:vAlign w:val="bottom"/>
            <w:hideMark/>
          </w:tcPr>
          <w:p w14:paraId="7FB453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43E2880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489C69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149387D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ACEEA7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6F04D8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7FC269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0F60B3B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595" w:type="dxa"/>
            <w:tcBorders>
              <w:top w:val="nil"/>
              <w:left w:val="nil"/>
              <w:bottom w:val="nil"/>
              <w:right w:val="nil"/>
            </w:tcBorders>
            <w:shd w:val="clear" w:color="000000" w:fill="F2F2F2"/>
            <w:noWrap/>
            <w:vAlign w:val="bottom"/>
            <w:hideMark/>
          </w:tcPr>
          <w:p w14:paraId="0BDC277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17E1BBF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9F5E3F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7937CC7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1.5</w:t>
            </w:r>
          </w:p>
        </w:tc>
        <w:tc>
          <w:tcPr>
            <w:tcW w:w="616" w:type="dxa"/>
            <w:tcBorders>
              <w:top w:val="nil"/>
              <w:left w:val="nil"/>
              <w:bottom w:val="nil"/>
              <w:right w:val="nil"/>
            </w:tcBorders>
            <w:shd w:val="clear" w:color="000000" w:fill="D9D9D9"/>
            <w:noWrap/>
            <w:vAlign w:val="bottom"/>
            <w:hideMark/>
          </w:tcPr>
          <w:p w14:paraId="6CAB67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06B98EB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7A4F6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E98D9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38EDACC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c>
          <w:tcPr>
            <w:tcW w:w="596" w:type="dxa"/>
            <w:tcBorders>
              <w:top w:val="nil"/>
              <w:left w:val="nil"/>
              <w:bottom w:val="nil"/>
              <w:right w:val="nil"/>
            </w:tcBorders>
            <w:shd w:val="clear" w:color="000000" w:fill="D9D9D9"/>
            <w:noWrap/>
            <w:vAlign w:val="bottom"/>
            <w:hideMark/>
          </w:tcPr>
          <w:p w14:paraId="1109E09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42F94D8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3.5</w:t>
            </w:r>
          </w:p>
        </w:tc>
      </w:tr>
      <w:tr w:rsidR="00306F5D" w:rsidRPr="00306F5D" w14:paraId="70D2D089"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7911629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TWN</w:t>
            </w:r>
          </w:p>
        </w:tc>
        <w:tc>
          <w:tcPr>
            <w:tcW w:w="1477" w:type="dxa"/>
            <w:tcBorders>
              <w:top w:val="nil"/>
              <w:left w:val="nil"/>
              <w:bottom w:val="nil"/>
              <w:right w:val="nil"/>
            </w:tcBorders>
            <w:shd w:val="clear" w:color="auto" w:fill="D9D9D9" w:themeFill="background1" w:themeFillShade="D9"/>
            <w:noWrap/>
            <w:vAlign w:val="bottom"/>
            <w:hideMark/>
          </w:tcPr>
          <w:p w14:paraId="2B01532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Taiwan</w:t>
            </w:r>
          </w:p>
        </w:tc>
        <w:tc>
          <w:tcPr>
            <w:tcW w:w="1308" w:type="dxa"/>
            <w:tcBorders>
              <w:top w:val="nil"/>
              <w:left w:val="nil"/>
              <w:bottom w:val="nil"/>
              <w:right w:val="nil"/>
            </w:tcBorders>
            <w:shd w:val="clear" w:color="auto" w:fill="D9D9D9" w:themeFill="background1" w:themeFillShade="D9"/>
            <w:noWrap/>
            <w:vAlign w:val="bottom"/>
            <w:hideMark/>
          </w:tcPr>
          <w:p w14:paraId="6CDF5CC6"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 Asia</w:t>
            </w:r>
          </w:p>
        </w:tc>
        <w:tc>
          <w:tcPr>
            <w:tcW w:w="594" w:type="dxa"/>
            <w:tcBorders>
              <w:top w:val="nil"/>
              <w:left w:val="nil"/>
              <w:bottom w:val="nil"/>
              <w:right w:val="nil"/>
            </w:tcBorders>
            <w:shd w:val="clear" w:color="000000" w:fill="F2F2F2"/>
            <w:noWrap/>
            <w:vAlign w:val="bottom"/>
            <w:hideMark/>
          </w:tcPr>
          <w:p w14:paraId="4FF709D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53409AB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07C987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6F16D8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704010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5FA9394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A07EFD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1D885BF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133D561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331BB89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9867B8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73F07F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5820B77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7A2A2C6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EF79BF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3C27B73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5AAB7F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1.8</w:t>
            </w:r>
          </w:p>
        </w:tc>
        <w:tc>
          <w:tcPr>
            <w:tcW w:w="596" w:type="dxa"/>
            <w:tcBorders>
              <w:top w:val="nil"/>
              <w:left w:val="nil"/>
              <w:bottom w:val="nil"/>
              <w:right w:val="nil"/>
            </w:tcBorders>
            <w:shd w:val="clear" w:color="000000" w:fill="D9D9D9"/>
            <w:noWrap/>
            <w:vAlign w:val="bottom"/>
            <w:hideMark/>
          </w:tcPr>
          <w:p w14:paraId="00458F3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0794C1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18C7540A" w14:textId="77777777" w:rsidTr="002F18DD">
        <w:trPr>
          <w:trHeight w:val="255"/>
        </w:trPr>
        <w:tc>
          <w:tcPr>
            <w:tcW w:w="567" w:type="dxa"/>
            <w:tcBorders>
              <w:top w:val="single" w:sz="4" w:space="0" w:color="A6A6A6"/>
              <w:left w:val="nil"/>
              <w:bottom w:val="nil"/>
              <w:right w:val="nil"/>
            </w:tcBorders>
            <w:shd w:val="clear" w:color="auto" w:fill="D9D9D9" w:themeFill="background1" w:themeFillShade="D9"/>
            <w:noWrap/>
            <w:vAlign w:val="bottom"/>
            <w:hideMark/>
          </w:tcPr>
          <w:p w14:paraId="6296FF76"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BRN</w:t>
            </w:r>
          </w:p>
        </w:tc>
        <w:tc>
          <w:tcPr>
            <w:tcW w:w="1477" w:type="dxa"/>
            <w:tcBorders>
              <w:top w:val="single" w:sz="4" w:space="0" w:color="A6A6A6"/>
              <w:left w:val="nil"/>
              <w:bottom w:val="nil"/>
              <w:right w:val="nil"/>
            </w:tcBorders>
            <w:shd w:val="clear" w:color="auto" w:fill="D9D9D9" w:themeFill="background1" w:themeFillShade="D9"/>
            <w:noWrap/>
            <w:vAlign w:val="bottom"/>
            <w:hideMark/>
          </w:tcPr>
          <w:p w14:paraId="55D32B8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D11CE7">
              <w:rPr>
                <w:rFonts w:asciiTheme="majorHAnsi" w:eastAsia="Times New Roman" w:hAnsiTheme="majorHAnsi" w:cstheme="majorHAnsi"/>
                <w:color w:val="000000"/>
                <w:sz w:val="18"/>
                <w:szCs w:val="20"/>
                <w:lang w:eastAsia="en-GB"/>
              </w:rPr>
              <w:t>Brunei Darussalam</w:t>
            </w:r>
          </w:p>
        </w:tc>
        <w:tc>
          <w:tcPr>
            <w:tcW w:w="1308" w:type="dxa"/>
            <w:tcBorders>
              <w:top w:val="single" w:sz="4" w:space="0" w:color="A6A6A6"/>
              <w:left w:val="nil"/>
              <w:bottom w:val="nil"/>
              <w:right w:val="nil"/>
            </w:tcBorders>
            <w:shd w:val="clear" w:color="auto" w:fill="D9D9D9" w:themeFill="background1" w:themeFillShade="D9"/>
            <w:noWrap/>
            <w:vAlign w:val="bottom"/>
            <w:hideMark/>
          </w:tcPr>
          <w:p w14:paraId="213AD0B0"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Southeast Asia</w:t>
            </w:r>
          </w:p>
        </w:tc>
        <w:tc>
          <w:tcPr>
            <w:tcW w:w="594" w:type="dxa"/>
            <w:tcBorders>
              <w:top w:val="single" w:sz="4" w:space="0" w:color="A6A6A6"/>
              <w:left w:val="nil"/>
              <w:bottom w:val="nil"/>
              <w:right w:val="nil"/>
            </w:tcBorders>
            <w:shd w:val="clear" w:color="000000" w:fill="F2F2F2"/>
            <w:noWrap/>
            <w:vAlign w:val="bottom"/>
            <w:hideMark/>
          </w:tcPr>
          <w:p w14:paraId="6864AB3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single" w:sz="4" w:space="0" w:color="A6A6A6"/>
              <w:left w:val="nil"/>
              <w:bottom w:val="nil"/>
              <w:right w:val="nil"/>
            </w:tcBorders>
            <w:shd w:val="clear" w:color="000000" w:fill="F2F2F2"/>
            <w:noWrap/>
            <w:vAlign w:val="bottom"/>
            <w:hideMark/>
          </w:tcPr>
          <w:p w14:paraId="7908DDB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single" w:sz="4" w:space="0" w:color="A6A6A6"/>
              <w:left w:val="nil"/>
              <w:bottom w:val="nil"/>
              <w:right w:val="nil"/>
            </w:tcBorders>
            <w:shd w:val="clear" w:color="000000" w:fill="F2F2F2"/>
            <w:noWrap/>
            <w:vAlign w:val="bottom"/>
            <w:hideMark/>
          </w:tcPr>
          <w:p w14:paraId="642F21B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D9D9D9"/>
            <w:noWrap/>
            <w:vAlign w:val="bottom"/>
            <w:hideMark/>
          </w:tcPr>
          <w:p w14:paraId="7F2DD1D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D9D9D9"/>
            <w:noWrap/>
            <w:vAlign w:val="bottom"/>
            <w:hideMark/>
          </w:tcPr>
          <w:p w14:paraId="1BD7BC7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single" w:sz="4" w:space="0" w:color="A6A6A6"/>
              <w:left w:val="nil"/>
              <w:bottom w:val="nil"/>
              <w:right w:val="nil"/>
            </w:tcBorders>
            <w:shd w:val="clear" w:color="000000" w:fill="D9D9D9"/>
            <w:noWrap/>
            <w:vAlign w:val="bottom"/>
            <w:hideMark/>
          </w:tcPr>
          <w:p w14:paraId="3E66AE4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04397DD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single" w:sz="4" w:space="0" w:color="A6A6A6"/>
              <w:left w:val="nil"/>
              <w:bottom w:val="nil"/>
              <w:right w:val="nil"/>
            </w:tcBorders>
            <w:shd w:val="clear" w:color="000000" w:fill="F2F2F2"/>
            <w:noWrap/>
            <w:vAlign w:val="bottom"/>
            <w:hideMark/>
          </w:tcPr>
          <w:p w14:paraId="2C9E627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single" w:sz="4" w:space="0" w:color="A6A6A6"/>
              <w:left w:val="nil"/>
              <w:bottom w:val="nil"/>
              <w:right w:val="nil"/>
            </w:tcBorders>
            <w:shd w:val="clear" w:color="000000" w:fill="F2F2F2"/>
            <w:noWrap/>
            <w:vAlign w:val="bottom"/>
            <w:hideMark/>
          </w:tcPr>
          <w:p w14:paraId="533497F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single" w:sz="4" w:space="0" w:color="A6A6A6"/>
              <w:left w:val="nil"/>
              <w:bottom w:val="nil"/>
              <w:right w:val="nil"/>
            </w:tcBorders>
            <w:shd w:val="clear" w:color="000000" w:fill="D9D9D9"/>
            <w:noWrap/>
            <w:vAlign w:val="bottom"/>
            <w:hideMark/>
          </w:tcPr>
          <w:p w14:paraId="23B6E10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39E3C4E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single" w:sz="4" w:space="0" w:color="A6A6A6"/>
              <w:left w:val="nil"/>
              <w:bottom w:val="nil"/>
              <w:right w:val="nil"/>
            </w:tcBorders>
            <w:shd w:val="clear" w:color="000000" w:fill="F2F2F2"/>
            <w:noWrap/>
            <w:vAlign w:val="bottom"/>
            <w:hideMark/>
          </w:tcPr>
          <w:p w14:paraId="72049E7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single" w:sz="4" w:space="0" w:color="A6A6A6"/>
              <w:left w:val="nil"/>
              <w:bottom w:val="nil"/>
              <w:right w:val="nil"/>
            </w:tcBorders>
            <w:shd w:val="clear" w:color="000000" w:fill="D9D9D9"/>
            <w:noWrap/>
            <w:vAlign w:val="bottom"/>
            <w:hideMark/>
          </w:tcPr>
          <w:p w14:paraId="364013F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single" w:sz="4" w:space="0" w:color="A6A6A6"/>
              <w:left w:val="nil"/>
              <w:bottom w:val="nil"/>
              <w:right w:val="nil"/>
            </w:tcBorders>
            <w:shd w:val="clear" w:color="000000" w:fill="F2F2F2"/>
            <w:noWrap/>
            <w:vAlign w:val="bottom"/>
            <w:hideMark/>
          </w:tcPr>
          <w:p w14:paraId="534A072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5A012DA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single" w:sz="4" w:space="0" w:color="A6A6A6"/>
              <w:left w:val="nil"/>
              <w:bottom w:val="nil"/>
              <w:right w:val="nil"/>
            </w:tcBorders>
            <w:shd w:val="clear" w:color="000000" w:fill="F2F2F2"/>
            <w:noWrap/>
            <w:vAlign w:val="bottom"/>
            <w:hideMark/>
          </w:tcPr>
          <w:p w14:paraId="7A4101E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single" w:sz="4" w:space="0" w:color="A6A6A6"/>
              <w:left w:val="nil"/>
              <w:bottom w:val="nil"/>
              <w:right w:val="nil"/>
            </w:tcBorders>
            <w:shd w:val="clear" w:color="000000" w:fill="D9D9D9"/>
            <w:noWrap/>
            <w:vAlign w:val="bottom"/>
            <w:hideMark/>
          </w:tcPr>
          <w:p w14:paraId="2AF321D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single" w:sz="4" w:space="0" w:color="A6A6A6"/>
              <w:left w:val="nil"/>
              <w:bottom w:val="nil"/>
              <w:right w:val="nil"/>
            </w:tcBorders>
            <w:shd w:val="clear" w:color="000000" w:fill="D9D9D9"/>
            <w:noWrap/>
            <w:vAlign w:val="bottom"/>
            <w:hideMark/>
          </w:tcPr>
          <w:p w14:paraId="4C66C31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single" w:sz="4" w:space="0" w:color="A6A6A6"/>
              <w:left w:val="nil"/>
              <w:bottom w:val="nil"/>
              <w:right w:val="nil"/>
            </w:tcBorders>
            <w:shd w:val="clear" w:color="000000" w:fill="F2F2F2"/>
            <w:noWrap/>
            <w:vAlign w:val="bottom"/>
            <w:hideMark/>
          </w:tcPr>
          <w:p w14:paraId="1D5674B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3818D6C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31EFBDC7"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KHM</w:t>
            </w:r>
          </w:p>
        </w:tc>
        <w:tc>
          <w:tcPr>
            <w:tcW w:w="1477" w:type="dxa"/>
            <w:tcBorders>
              <w:top w:val="nil"/>
              <w:left w:val="nil"/>
              <w:bottom w:val="nil"/>
              <w:right w:val="nil"/>
            </w:tcBorders>
            <w:shd w:val="clear" w:color="auto" w:fill="D9D9D9" w:themeFill="background1" w:themeFillShade="D9"/>
            <w:noWrap/>
            <w:vAlign w:val="bottom"/>
            <w:hideMark/>
          </w:tcPr>
          <w:p w14:paraId="55505355"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Cambodia</w:t>
            </w:r>
          </w:p>
        </w:tc>
        <w:tc>
          <w:tcPr>
            <w:tcW w:w="1308" w:type="dxa"/>
            <w:tcBorders>
              <w:top w:val="nil"/>
              <w:left w:val="nil"/>
              <w:bottom w:val="nil"/>
              <w:right w:val="nil"/>
            </w:tcBorders>
            <w:shd w:val="clear" w:color="auto" w:fill="D9D9D9" w:themeFill="background1" w:themeFillShade="D9"/>
            <w:noWrap/>
            <w:vAlign w:val="bottom"/>
            <w:hideMark/>
          </w:tcPr>
          <w:p w14:paraId="0599CE22"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Southeast Asia</w:t>
            </w:r>
          </w:p>
        </w:tc>
        <w:tc>
          <w:tcPr>
            <w:tcW w:w="594" w:type="dxa"/>
            <w:tcBorders>
              <w:top w:val="nil"/>
              <w:left w:val="nil"/>
              <w:bottom w:val="nil"/>
              <w:right w:val="nil"/>
            </w:tcBorders>
            <w:shd w:val="clear" w:color="000000" w:fill="F2F2F2"/>
            <w:noWrap/>
            <w:vAlign w:val="bottom"/>
            <w:hideMark/>
          </w:tcPr>
          <w:p w14:paraId="7885913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371FF06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5F564C9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0CC577B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0E8EF4D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D9D9D9"/>
            <w:noWrap/>
            <w:vAlign w:val="bottom"/>
            <w:hideMark/>
          </w:tcPr>
          <w:p w14:paraId="1D54710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B8173A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403EEAD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48C523A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4DF4E7A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767B76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70F4AE8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75D9753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3273CEE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FD42AE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97E133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64B318A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2.3</w:t>
            </w:r>
          </w:p>
        </w:tc>
        <w:tc>
          <w:tcPr>
            <w:tcW w:w="596" w:type="dxa"/>
            <w:tcBorders>
              <w:top w:val="nil"/>
              <w:left w:val="nil"/>
              <w:bottom w:val="nil"/>
              <w:right w:val="nil"/>
            </w:tcBorders>
            <w:shd w:val="clear" w:color="000000" w:fill="D9D9D9"/>
            <w:noWrap/>
            <w:vAlign w:val="bottom"/>
            <w:hideMark/>
          </w:tcPr>
          <w:p w14:paraId="45C51D4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nil"/>
              <w:left w:val="nil"/>
              <w:bottom w:val="nil"/>
              <w:right w:val="nil"/>
            </w:tcBorders>
            <w:shd w:val="clear" w:color="000000" w:fill="F2F2F2"/>
            <w:noWrap/>
            <w:vAlign w:val="bottom"/>
            <w:hideMark/>
          </w:tcPr>
          <w:p w14:paraId="35FFF9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0E3BD0DA"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BF56897"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IDN</w:t>
            </w:r>
          </w:p>
        </w:tc>
        <w:tc>
          <w:tcPr>
            <w:tcW w:w="1477" w:type="dxa"/>
            <w:tcBorders>
              <w:top w:val="nil"/>
              <w:left w:val="nil"/>
              <w:bottom w:val="nil"/>
              <w:right w:val="nil"/>
            </w:tcBorders>
            <w:shd w:val="clear" w:color="auto" w:fill="D9D9D9" w:themeFill="background1" w:themeFillShade="D9"/>
            <w:noWrap/>
            <w:vAlign w:val="bottom"/>
            <w:hideMark/>
          </w:tcPr>
          <w:p w14:paraId="00BA34D6"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Indonesia</w:t>
            </w:r>
          </w:p>
        </w:tc>
        <w:tc>
          <w:tcPr>
            <w:tcW w:w="1308" w:type="dxa"/>
            <w:tcBorders>
              <w:top w:val="nil"/>
              <w:left w:val="nil"/>
              <w:bottom w:val="nil"/>
              <w:right w:val="nil"/>
            </w:tcBorders>
            <w:shd w:val="clear" w:color="auto" w:fill="D9D9D9" w:themeFill="background1" w:themeFillShade="D9"/>
            <w:noWrap/>
            <w:vAlign w:val="bottom"/>
            <w:hideMark/>
          </w:tcPr>
          <w:p w14:paraId="0289B044"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Southeast Asia</w:t>
            </w:r>
          </w:p>
        </w:tc>
        <w:tc>
          <w:tcPr>
            <w:tcW w:w="594" w:type="dxa"/>
            <w:tcBorders>
              <w:top w:val="nil"/>
              <w:left w:val="nil"/>
              <w:bottom w:val="nil"/>
              <w:right w:val="nil"/>
            </w:tcBorders>
            <w:shd w:val="clear" w:color="000000" w:fill="F2F2F2"/>
            <w:noWrap/>
            <w:vAlign w:val="bottom"/>
            <w:hideMark/>
          </w:tcPr>
          <w:p w14:paraId="773BCED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4C7BAF1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3FF7E1F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23A387F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53A39EB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470BBA3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7F4195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5A7BEE8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5F7A6A1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7643CA6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1B9463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5BC7494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0753037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16B8711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CD7C4D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3CA84AF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1F51E40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nil"/>
              <w:left w:val="nil"/>
              <w:bottom w:val="nil"/>
              <w:right w:val="nil"/>
            </w:tcBorders>
            <w:shd w:val="clear" w:color="000000" w:fill="D9D9D9"/>
            <w:noWrap/>
            <w:vAlign w:val="bottom"/>
            <w:hideMark/>
          </w:tcPr>
          <w:p w14:paraId="23A53CF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15202BC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16DA46E7"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7C7FC16"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LAO</w:t>
            </w:r>
          </w:p>
        </w:tc>
        <w:tc>
          <w:tcPr>
            <w:tcW w:w="1477" w:type="dxa"/>
            <w:tcBorders>
              <w:top w:val="nil"/>
              <w:left w:val="nil"/>
              <w:bottom w:val="nil"/>
              <w:right w:val="nil"/>
            </w:tcBorders>
            <w:shd w:val="clear" w:color="auto" w:fill="D9D9D9" w:themeFill="background1" w:themeFillShade="D9"/>
            <w:noWrap/>
            <w:vAlign w:val="bottom"/>
            <w:hideMark/>
          </w:tcPr>
          <w:p w14:paraId="3E1E970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Lao PDR</w:t>
            </w:r>
          </w:p>
        </w:tc>
        <w:tc>
          <w:tcPr>
            <w:tcW w:w="1308" w:type="dxa"/>
            <w:tcBorders>
              <w:top w:val="nil"/>
              <w:left w:val="nil"/>
              <w:bottom w:val="nil"/>
              <w:right w:val="nil"/>
            </w:tcBorders>
            <w:shd w:val="clear" w:color="auto" w:fill="D9D9D9" w:themeFill="background1" w:themeFillShade="D9"/>
            <w:noWrap/>
            <w:vAlign w:val="bottom"/>
            <w:hideMark/>
          </w:tcPr>
          <w:p w14:paraId="3693F85A"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Southeast Asia</w:t>
            </w:r>
          </w:p>
        </w:tc>
        <w:tc>
          <w:tcPr>
            <w:tcW w:w="594" w:type="dxa"/>
            <w:tcBorders>
              <w:top w:val="nil"/>
              <w:left w:val="nil"/>
              <w:bottom w:val="nil"/>
              <w:right w:val="nil"/>
            </w:tcBorders>
            <w:shd w:val="clear" w:color="000000" w:fill="F2F2F2"/>
            <w:noWrap/>
            <w:vAlign w:val="bottom"/>
            <w:hideMark/>
          </w:tcPr>
          <w:p w14:paraId="65AB594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98BF42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0923027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1F2372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DF69E9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6930164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4D447F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0ED986D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4A1734F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77586E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697051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3AAB682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5CC6578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401805C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4A328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324F8B8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30A80ED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2.2</w:t>
            </w:r>
          </w:p>
        </w:tc>
        <w:tc>
          <w:tcPr>
            <w:tcW w:w="596" w:type="dxa"/>
            <w:tcBorders>
              <w:top w:val="nil"/>
              <w:left w:val="nil"/>
              <w:bottom w:val="nil"/>
              <w:right w:val="nil"/>
            </w:tcBorders>
            <w:shd w:val="clear" w:color="000000" w:fill="D9D9D9"/>
            <w:noWrap/>
            <w:vAlign w:val="bottom"/>
            <w:hideMark/>
          </w:tcPr>
          <w:p w14:paraId="3A4CFC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nil"/>
              <w:left w:val="nil"/>
              <w:bottom w:val="nil"/>
              <w:right w:val="nil"/>
            </w:tcBorders>
            <w:shd w:val="clear" w:color="000000" w:fill="F2F2F2"/>
            <w:noWrap/>
            <w:vAlign w:val="bottom"/>
            <w:hideMark/>
          </w:tcPr>
          <w:p w14:paraId="367DE58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3D5596FD"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4EDED8D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MYS</w:t>
            </w:r>
          </w:p>
        </w:tc>
        <w:tc>
          <w:tcPr>
            <w:tcW w:w="1477" w:type="dxa"/>
            <w:tcBorders>
              <w:top w:val="nil"/>
              <w:left w:val="nil"/>
              <w:bottom w:val="nil"/>
              <w:right w:val="nil"/>
            </w:tcBorders>
            <w:shd w:val="clear" w:color="auto" w:fill="D9D9D9" w:themeFill="background1" w:themeFillShade="D9"/>
            <w:noWrap/>
            <w:vAlign w:val="bottom"/>
            <w:hideMark/>
          </w:tcPr>
          <w:p w14:paraId="5632AB6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Malaysia</w:t>
            </w:r>
          </w:p>
        </w:tc>
        <w:tc>
          <w:tcPr>
            <w:tcW w:w="1308" w:type="dxa"/>
            <w:tcBorders>
              <w:top w:val="nil"/>
              <w:left w:val="nil"/>
              <w:bottom w:val="nil"/>
              <w:right w:val="nil"/>
            </w:tcBorders>
            <w:shd w:val="clear" w:color="auto" w:fill="D9D9D9" w:themeFill="background1" w:themeFillShade="D9"/>
            <w:noWrap/>
            <w:vAlign w:val="bottom"/>
            <w:hideMark/>
          </w:tcPr>
          <w:p w14:paraId="70E606FF"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Southeast Asia</w:t>
            </w:r>
          </w:p>
        </w:tc>
        <w:tc>
          <w:tcPr>
            <w:tcW w:w="594" w:type="dxa"/>
            <w:tcBorders>
              <w:top w:val="nil"/>
              <w:left w:val="nil"/>
              <w:bottom w:val="nil"/>
              <w:right w:val="nil"/>
            </w:tcBorders>
            <w:shd w:val="clear" w:color="000000" w:fill="F2F2F2"/>
            <w:noWrap/>
            <w:vAlign w:val="bottom"/>
            <w:hideMark/>
          </w:tcPr>
          <w:p w14:paraId="43A7658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07EE3C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59982D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3E1DFDA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F97B58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1A1C8E3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48852A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0CD6E05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2A69ABD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32F169F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7279DD1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823074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02DB25D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2C480E1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3513F6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3EFB3CD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75A1B2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nil"/>
              <w:left w:val="nil"/>
              <w:bottom w:val="nil"/>
              <w:right w:val="nil"/>
            </w:tcBorders>
            <w:shd w:val="clear" w:color="000000" w:fill="D9D9D9"/>
            <w:noWrap/>
            <w:vAlign w:val="bottom"/>
            <w:hideMark/>
          </w:tcPr>
          <w:p w14:paraId="66D0D4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74856A8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7348DDA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178E33D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PHL</w:t>
            </w:r>
          </w:p>
        </w:tc>
        <w:tc>
          <w:tcPr>
            <w:tcW w:w="1477" w:type="dxa"/>
            <w:tcBorders>
              <w:top w:val="nil"/>
              <w:left w:val="nil"/>
              <w:bottom w:val="nil"/>
              <w:right w:val="nil"/>
            </w:tcBorders>
            <w:shd w:val="clear" w:color="auto" w:fill="D9D9D9" w:themeFill="background1" w:themeFillShade="D9"/>
            <w:noWrap/>
            <w:vAlign w:val="bottom"/>
            <w:hideMark/>
          </w:tcPr>
          <w:p w14:paraId="45668C7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Philippines</w:t>
            </w:r>
          </w:p>
        </w:tc>
        <w:tc>
          <w:tcPr>
            <w:tcW w:w="1308" w:type="dxa"/>
            <w:tcBorders>
              <w:top w:val="nil"/>
              <w:left w:val="nil"/>
              <w:bottom w:val="nil"/>
              <w:right w:val="nil"/>
            </w:tcBorders>
            <w:shd w:val="clear" w:color="auto" w:fill="D9D9D9" w:themeFill="background1" w:themeFillShade="D9"/>
            <w:noWrap/>
            <w:vAlign w:val="bottom"/>
            <w:hideMark/>
          </w:tcPr>
          <w:p w14:paraId="0A27FCF7"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Southeast Asia</w:t>
            </w:r>
          </w:p>
        </w:tc>
        <w:tc>
          <w:tcPr>
            <w:tcW w:w="594" w:type="dxa"/>
            <w:tcBorders>
              <w:top w:val="nil"/>
              <w:left w:val="nil"/>
              <w:bottom w:val="nil"/>
              <w:right w:val="nil"/>
            </w:tcBorders>
            <w:shd w:val="clear" w:color="000000" w:fill="F2F2F2"/>
            <w:noWrap/>
            <w:vAlign w:val="bottom"/>
            <w:hideMark/>
          </w:tcPr>
          <w:p w14:paraId="3B203EA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5F0FC1D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A8B372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9CFD7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45822E8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2E4007A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97248E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606327A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56F4D6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09D4277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AFAB55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F0C359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4270609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6C360AA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0443A7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483698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07538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nil"/>
              <w:left w:val="nil"/>
              <w:bottom w:val="nil"/>
              <w:right w:val="nil"/>
            </w:tcBorders>
            <w:shd w:val="clear" w:color="000000" w:fill="D9D9D9"/>
            <w:noWrap/>
            <w:vAlign w:val="bottom"/>
            <w:hideMark/>
          </w:tcPr>
          <w:p w14:paraId="6BFF2D9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37848E0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40C5C383"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4D6D5F2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SGP</w:t>
            </w:r>
          </w:p>
        </w:tc>
        <w:tc>
          <w:tcPr>
            <w:tcW w:w="1477" w:type="dxa"/>
            <w:tcBorders>
              <w:top w:val="nil"/>
              <w:left w:val="nil"/>
              <w:bottom w:val="nil"/>
              <w:right w:val="nil"/>
            </w:tcBorders>
            <w:shd w:val="clear" w:color="auto" w:fill="D9D9D9" w:themeFill="background1" w:themeFillShade="D9"/>
            <w:noWrap/>
            <w:vAlign w:val="bottom"/>
            <w:hideMark/>
          </w:tcPr>
          <w:p w14:paraId="77E97B6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Singapore</w:t>
            </w:r>
          </w:p>
        </w:tc>
        <w:tc>
          <w:tcPr>
            <w:tcW w:w="1308" w:type="dxa"/>
            <w:tcBorders>
              <w:top w:val="nil"/>
              <w:left w:val="nil"/>
              <w:bottom w:val="nil"/>
              <w:right w:val="nil"/>
            </w:tcBorders>
            <w:shd w:val="clear" w:color="auto" w:fill="D9D9D9" w:themeFill="background1" w:themeFillShade="D9"/>
            <w:noWrap/>
            <w:vAlign w:val="bottom"/>
            <w:hideMark/>
          </w:tcPr>
          <w:p w14:paraId="532FAC0E"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Southeast Asia</w:t>
            </w:r>
          </w:p>
        </w:tc>
        <w:tc>
          <w:tcPr>
            <w:tcW w:w="594" w:type="dxa"/>
            <w:tcBorders>
              <w:top w:val="nil"/>
              <w:left w:val="nil"/>
              <w:bottom w:val="nil"/>
              <w:right w:val="nil"/>
            </w:tcBorders>
            <w:shd w:val="clear" w:color="000000" w:fill="F2F2F2"/>
            <w:noWrap/>
            <w:vAlign w:val="bottom"/>
            <w:hideMark/>
          </w:tcPr>
          <w:p w14:paraId="66E8715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E5047A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8D8DA7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24194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08F604D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6125794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5ABC28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5952DEC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5B387BF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20F965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ABCF80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5E8502C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2FC7A5D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193303E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528742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BFBE1F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5918A19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1.7</w:t>
            </w:r>
          </w:p>
        </w:tc>
        <w:tc>
          <w:tcPr>
            <w:tcW w:w="596" w:type="dxa"/>
            <w:tcBorders>
              <w:top w:val="nil"/>
              <w:left w:val="nil"/>
              <w:bottom w:val="nil"/>
              <w:right w:val="nil"/>
            </w:tcBorders>
            <w:shd w:val="clear" w:color="000000" w:fill="D9D9D9"/>
            <w:noWrap/>
            <w:vAlign w:val="bottom"/>
            <w:hideMark/>
          </w:tcPr>
          <w:p w14:paraId="20FCD88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1F0C953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r>
      <w:tr w:rsidR="00306F5D" w:rsidRPr="00306F5D" w14:paraId="6CDF0105"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7DEA529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THA</w:t>
            </w:r>
          </w:p>
        </w:tc>
        <w:tc>
          <w:tcPr>
            <w:tcW w:w="1477" w:type="dxa"/>
            <w:tcBorders>
              <w:top w:val="nil"/>
              <w:left w:val="nil"/>
              <w:bottom w:val="nil"/>
              <w:right w:val="nil"/>
            </w:tcBorders>
            <w:shd w:val="clear" w:color="auto" w:fill="D9D9D9" w:themeFill="background1" w:themeFillShade="D9"/>
            <w:noWrap/>
            <w:vAlign w:val="bottom"/>
            <w:hideMark/>
          </w:tcPr>
          <w:p w14:paraId="216ED76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Thailand</w:t>
            </w:r>
          </w:p>
        </w:tc>
        <w:tc>
          <w:tcPr>
            <w:tcW w:w="1308" w:type="dxa"/>
            <w:tcBorders>
              <w:top w:val="nil"/>
              <w:left w:val="nil"/>
              <w:bottom w:val="nil"/>
              <w:right w:val="nil"/>
            </w:tcBorders>
            <w:shd w:val="clear" w:color="auto" w:fill="D9D9D9" w:themeFill="background1" w:themeFillShade="D9"/>
            <w:noWrap/>
            <w:vAlign w:val="bottom"/>
            <w:hideMark/>
          </w:tcPr>
          <w:p w14:paraId="34494F06"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Southeast Asia</w:t>
            </w:r>
          </w:p>
        </w:tc>
        <w:tc>
          <w:tcPr>
            <w:tcW w:w="594" w:type="dxa"/>
            <w:tcBorders>
              <w:top w:val="nil"/>
              <w:left w:val="nil"/>
              <w:bottom w:val="nil"/>
              <w:right w:val="nil"/>
            </w:tcBorders>
            <w:shd w:val="clear" w:color="000000" w:fill="F2F2F2"/>
            <w:noWrap/>
            <w:vAlign w:val="bottom"/>
            <w:hideMark/>
          </w:tcPr>
          <w:p w14:paraId="7B69682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15CD8B3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096392B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C00D52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56FEA62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0239876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40C54B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181A78E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4A9C011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5DE3AA4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208191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0BB87E0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3FC6814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3D5A188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46C209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32A9B5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14954C3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2.1</w:t>
            </w:r>
          </w:p>
        </w:tc>
        <w:tc>
          <w:tcPr>
            <w:tcW w:w="596" w:type="dxa"/>
            <w:tcBorders>
              <w:top w:val="nil"/>
              <w:left w:val="nil"/>
              <w:bottom w:val="nil"/>
              <w:right w:val="nil"/>
            </w:tcBorders>
            <w:shd w:val="clear" w:color="000000" w:fill="D9D9D9"/>
            <w:noWrap/>
            <w:vAlign w:val="bottom"/>
            <w:hideMark/>
          </w:tcPr>
          <w:p w14:paraId="3E98BE8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495" w:type="dxa"/>
            <w:tcBorders>
              <w:top w:val="nil"/>
              <w:left w:val="nil"/>
              <w:bottom w:val="nil"/>
              <w:right w:val="nil"/>
            </w:tcBorders>
            <w:shd w:val="clear" w:color="000000" w:fill="F2F2F2"/>
            <w:noWrap/>
            <w:vAlign w:val="bottom"/>
            <w:hideMark/>
          </w:tcPr>
          <w:p w14:paraId="04D14F6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369642FC"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42371347"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VNM</w:t>
            </w:r>
          </w:p>
        </w:tc>
        <w:tc>
          <w:tcPr>
            <w:tcW w:w="1477" w:type="dxa"/>
            <w:tcBorders>
              <w:top w:val="nil"/>
              <w:left w:val="nil"/>
              <w:bottom w:val="nil"/>
              <w:right w:val="nil"/>
            </w:tcBorders>
            <w:shd w:val="clear" w:color="auto" w:fill="D9D9D9" w:themeFill="background1" w:themeFillShade="D9"/>
            <w:noWrap/>
            <w:vAlign w:val="bottom"/>
            <w:hideMark/>
          </w:tcPr>
          <w:p w14:paraId="55EB6B6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Viet Nam</w:t>
            </w:r>
          </w:p>
        </w:tc>
        <w:tc>
          <w:tcPr>
            <w:tcW w:w="1308" w:type="dxa"/>
            <w:tcBorders>
              <w:top w:val="nil"/>
              <w:left w:val="nil"/>
              <w:bottom w:val="nil"/>
              <w:right w:val="nil"/>
            </w:tcBorders>
            <w:shd w:val="clear" w:color="auto" w:fill="D9D9D9" w:themeFill="background1" w:themeFillShade="D9"/>
            <w:noWrap/>
            <w:vAlign w:val="bottom"/>
            <w:hideMark/>
          </w:tcPr>
          <w:p w14:paraId="438320E2"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Southeast Asia</w:t>
            </w:r>
          </w:p>
        </w:tc>
        <w:tc>
          <w:tcPr>
            <w:tcW w:w="594" w:type="dxa"/>
            <w:tcBorders>
              <w:top w:val="nil"/>
              <w:left w:val="nil"/>
              <w:bottom w:val="nil"/>
              <w:right w:val="nil"/>
            </w:tcBorders>
            <w:shd w:val="clear" w:color="000000" w:fill="F2F2F2"/>
            <w:noWrap/>
            <w:vAlign w:val="bottom"/>
            <w:hideMark/>
          </w:tcPr>
          <w:p w14:paraId="1891643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1CBEF50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4CA5C2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23E9C9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70909F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30D037C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EF8884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5F904A4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3D7F75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5DCFFBB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EF8D36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7AD3FA0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312BBAE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75AF14F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8C39BF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343764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E1E2F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nil"/>
              <w:left w:val="nil"/>
              <w:bottom w:val="nil"/>
              <w:right w:val="nil"/>
            </w:tcBorders>
            <w:shd w:val="clear" w:color="000000" w:fill="D9D9D9"/>
            <w:noWrap/>
            <w:vAlign w:val="bottom"/>
            <w:hideMark/>
          </w:tcPr>
          <w:p w14:paraId="570F59E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02F971F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0F71D8E4" w14:textId="77777777" w:rsidTr="002F18DD">
        <w:trPr>
          <w:trHeight w:val="255"/>
        </w:trPr>
        <w:tc>
          <w:tcPr>
            <w:tcW w:w="567" w:type="dxa"/>
            <w:tcBorders>
              <w:top w:val="single" w:sz="4" w:space="0" w:color="A6A6A6"/>
              <w:left w:val="nil"/>
              <w:bottom w:val="nil"/>
              <w:right w:val="nil"/>
            </w:tcBorders>
            <w:shd w:val="clear" w:color="auto" w:fill="D9D9D9" w:themeFill="background1" w:themeFillShade="D9"/>
            <w:noWrap/>
            <w:vAlign w:val="bottom"/>
            <w:hideMark/>
          </w:tcPr>
          <w:p w14:paraId="3D949C1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BGD</w:t>
            </w:r>
          </w:p>
        </w:tc>
        <w:tc>
          <w:tcPr>
            <w:tcW w:w="1477" w:type="dxa"/>
            <w:tcBorders>
              <w:top w:val="single" w:sz="4" w:space="0" w:color="A6A6A6"/>
              <w:left w:val="nil"/>
              <w:bottom w:val="nil"/>
              <w:right w:val="nil"/>
            </w:tcBorders>
            <w:shd w:val="clear" w:color="auto" w:fill="D9D9D9" w:themeFill="background1" w:themeFillShade="D9"/>
            <w:noWrap/>
            <w:vAlign w:val="bottom"/>
            <w:hideMark/>
          </w:tcPr>
          <w:p w14:paraId="0935B17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Bangladesh</w:t>
            </w:r>
          </w:p>
        </w:tc>
        <w:tc>
          <w:tcPr>
            <w:tcW w:w="1308" w:type="dxa"/>
            <w:tcBorders>
              <w:top w:val="single" w:sz="4" w:space="0" w:color="A6A6A6"/>
              <w:left w:val="nil"/>
              <w:bottom w:val="nil"/>
              <w:right w:val="nil"/>
            </w:tcBorders>
            <w:shd w:val="clear" w:color="auto" w:fill="D9D9D9" w:themeFill="background1" w:themeFillShade="D9"/>
            <w:noWrap/>
            <w:vAlign w:val="bottom"/>
            <w:hideMark/>
          </w:tcPr>
          <w:p w14:paraId="6BE70803"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Asia</w:t>
            </w:r>
          </w:p>
        </w:tc>
        <w:tc>
          <w:tcPr>
            <w:tcW w:w="594" w:type="dxa"/>
            <w:tcBorders>
              <w:top w:val="single" w:sz="4" w:space="0" w:color="A6A6A6"/>
              <w:left w:val="nil"/>
              <w:bottom w:val="nil"/>
              <w:right w:val="nil"/>
            </w:tcBorders>
            <w:shd w:val="clear" w:color="000000" w:fill="F2F2F2"/>
            <w:noWrap/>
            <w:vAlign w:val="bottom"/>
            <w:hideMark/>
          </w:tcPr>
          <w:p w14:paraId="192B41B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4" w:type="dxa"/>
            <w:tcBorders>
              <w:top w:val="single" w:sz="4" w:space="0" w:color="A6A6A6"/>
              <w:left w:val="nil"/>
              <w:bottom w:val="nil"/>
              <w:right w:val="nil"/>
            </w:tcBorders>
            <w:shd w:val="clear" w:color="000000" w:fill="F2F2F2"/>
            <w:noWrap/>
            <w:vAlign w:val="bottom"/>
            <w:hideMark/>
          </w:tcPr>
          <w:p w14:paraId="2B85EA2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single" w:sz="4" w:space="0" w:color="A6A6A6"/>
              <w:left w:val="nil"/>
              <w:bottom w:val="nil"/>
              <w:right w:val="nil"/>
            </w:tcBorders>
            <w:shd w:val="clear" w:color="000000" w:fill="F2F2F2"/>
            <w:noWrap/>
            <w:vAlign w:val="bottom"/>
            <w:hideMark/>
          </w:tcPr>
          <w:p w14:paraId="4B754CC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D9D9D9"/>
            <w:noWrap/>
            <w:vAlign w:val="bottom"/>
            <w:hideMark/>
          </w:tcPr>
          <w:p w14:paraId="6E0F9AB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D9D9D9"/>
            <w:noWrap/>
            <w:vAlign w:val="bottom"/>
            <w:hideMark/>
          </w:tcPr>
          <w:p w14:paraId="67AEC38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single" w:sz="4" w:space="0" w:color="A6A6A6"/>
              <w:left w:val="nil"/>
              <w:bottom w:val="nil"/>
              <w:right w:val="nil"/>
            </w:tcBorders>
            <w:shd w:val="clear" w:color="000000" w:fill="D9D9D9"/>
            <w:noWrap/>
            <w:vAlign w:val="bottom"/>
            <w:hideMark/>
          </w:tcPr>
          <w:p w14:paraId="368F1D1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2B5B73B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single" w:sz="4" w:space="0" w:color="A6A6A6"/>
              <w:left w:val="nil"/>
              <w:bottom w:val="nil"/>
              <w:right w:val="nil"/>
            </w:tcBorders>
            <w:shd w:val="clear" w:color="000000" w:fill="F2F2F2"/>
            <w:noWrap/>
            <w:vAlign w:val="bottom"/>
            <w:hideMark/>
          </w:tcPr>
          <w:p w14:paraId="6E72F91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F2F2F2"/>
            <w:noWrap/>
            <w:vAlign w:val="bottom"/>
            <w:hideMark/>
          </w:tcPr>
          <w:p w14:paraId="4BCAB76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single" w:sz="4" w:space="0" w:color="A6A6A6"/>
              <w:left w:val="nil"/>
              <w:bottom w:val="nil"/>
              <w:right w:val="nil"/>
            </w:tcBorders>
            <w:shd w:val="clear" w:color="000000" w:fill="D9D9D9"/>
            <w:noWrap/>
            <w:vAlign w:val="bottom"/>
            <w:hideMark/>
          </w:tcPr>
          <w:p w14:paraId="3AE9DDC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38EDF7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single" w:sz="4" w:space="0" w:color="A6A6A6"/>
              <w:left w:val="nil"/>
              <w:bottom w:val="nil"/>
              <w:right w:val="nil"/>
            </w:tcBorders>
            <w:shd w:val="clear" w:color="000000" w:fill="F2F2F2"/>
            <w:noWrap/>
            <w:vAlign w:val="bottom"/>
            <w:hideMark/>
          </w:tcPr>
          <w:p w14:paraId="1C3B070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single" w:sz="4" w:space="0" w:color="A6A6A6"/>
              <w:left w:val="nil"/>
              <w:bottom w:val="nil"/>
              <w:right w:val="nil"/>
            </w:tcBorders>
            <w:shd w:val="clear" w:color="000000" w:fill="D9D9D9"/>
            <w:noWrap/>
            <w:vAlign w:val="bottom"/>
            <w:hideMark/>
          </w:tcPr>
          <w:p w14:paraId="1F88F12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single" w:sz="4" w:space="0" w:color="A6A6A6"/>
              <w:left w:val="nil"/>
              <w:bottom w:val="nil"/>
              <w:right w:val="nil"/>
            </w:tcBorders>
            <w:shd w:val="clear" w:color="000000" w:fill="F2F2F2"/>
            <w:noWrap/>
            <w:vAlign w:val="bottom"/>
            <w:hideMark/>
          </w:tcPr>
          <w:p w14:paraId="63994B8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0AF431E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single" w:sz="4" w:space="0" w:color="A6A6A6"/>
              <w:left w:val="nil"/>
              <w:bottom w:val="nil"/>
              <w:right w:val="nil"/>
            </w:tcBorders>
            <w:shd w:val="clear" w:color="000000" w:fill="F2F2F2"/>
            <w:noWrap/>
            <w:vAlign w:val="bottom"/>
            <w:hideMark/>
          </w:tcPr>
          <w:p w14:paraId="552AF79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single" w:sz="4" w:space="0" w:color="A6A6A6"/>
              <w:left w:val="nil"/>
              <w:bottom w:val="nil"/>
              <w:right w:val="nil"/>
            </w:tcBorders>
            <w:shd w:val="clear" w:color="000000" w:fill="D9D9D9"/>
            <w:noWrap/>
            <w:vAlign w:val="bottom"/>
            <w:hideMark/>
          </w:tcPr>
          <w:p w14:paraId="6C68DD5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single" w:sz="4" w:space="0" w:color="A6A6A6"/>
              <w:left w:val="nil"/>
              <w:bottom w:val="nil"/>
              <w:right w:val="nil"/>
            </w:tcBorders>
            <w:shd w:val="clear" w:color="000000" w:fill="D9D9D9"/>
            <w:noWrap/>
            <w:vAlign w:val="bottom"/>
            <w:hideMark/>
          </w:tcPr>
          <w:p w14:paraId="0E00B7D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single" w:sz="4" w:space="0" w:color="A6A6A6"/>
              <w:left w:val="nil"/>
              <w:bottom w:val="nil"/>
              <w:right w:val="nil"/>
            </w:tcBorders>
            <w:shd w:val="clear" w:color="000000" w:fill="F2F2F2"/>
            <w:noWrap/>
            <w:vAlign w:val="bottom"/>
            <w:hideMark/>
          </w:tcPr>
          <w:p w14:paraId="4C98729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2C6FCB4D"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1D9A4CD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IND</w:t>
            </w:r>
          </w:p>
        </w:tc>
        <w:tc>
          <w:tcPr>
            <w:tcW w:w="1477" w:type="dxa"/>
            <w:tcBorders>
              <w:top w:val="nil"/>
              <w:left w:val="nil"/>
              <w:bottom w:val="nil"/>
              <w:right w:val="nil"/>
            </w:tcBorders>
            <w:shd w:val="clear" w:color="auto" w:fill="D9D9D9" w:themeFill="background1" w:themeFillShade="D9"/>
            <w:noWrap/>
            <w:vAlign w:val="bottom"/>
            <w:hideMark/>
          </w:tcPr>
          <w:p w14:paraId="4383904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India</w:t>
            </w:r>
          </w:p>
        </w:tc>
        <w:tc>
          <w:tcPr>
            <w:tcW w:w="1308" w:type="dxa"/>
            <w:tcBorders>
              <w:top w:val="nil"/>
              <w:left w:val="nil"/>
              <w:bottom w:val="nil"/>
              <w:right w:val="nil"/>
            </w:tcBorders>
            <w:shd w:val="clear" w:color="auto" w:fill="D9D9D9" w:themeFill="background1" w:themeFillShade="D9"/>
            <w:noWrap/>
            <w:vAlign w:val="bottom"/>
            <w:hideMark/>
          </w:tcPr>
          <w:p w14:paraId="2943C7E5"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Asia</w:t>
            </w:r>
          </w:p>
        </w:tc>
        <w:tc>
          <w:tcPr>
            <w:tcW w:w="594" w:type="dxa"/>
            <w:tcBorders>
              <w:top w:val="nil"/>
              <w:left w:val="nil"/>
              <w:bottom w:val="nil"/>
              <w:right w:val="nil"/>
            </w:tcBorders>
            <w:shd w:val="clear" w:color="000000" w:fill="F2F2F2"/>
            <w:noWrap/>
            <w:vAlign w:val="bottom"/>
            <w:hideMark/>
          </w:tcPr>
          <w:p w14:paraId="2858619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4" w:type="dxa"/>
            <w:tcBorders>
              <w:top w:val="nil"/>
              <w:left w:val="nil"/>
              <w:bottom w:val="nil"/>
              <w:right w:val="nil"/>
            </w:tcBorders>
            <w:shd w:val="clear" w:color="000000" w:fill="F2F2F2"/>
            <w:noWrap/>
            <w:vAlign w:val="bottom"/>
            <w:hideMark/>
          </w:tcPr>
          <w:p w14:paraId="61A425E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14E350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054426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B84379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3A54A0D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BAA8E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39333C4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7D9B880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52BDEBB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B0821B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2036F8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38DB8C4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59A0622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8E1F8A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100E4A3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F41BE2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nil"/>
              <w:left w:val="nil"/>
              <w:bottom w:val="nil"/>
              <w:right w:val="nil"/>
            </w:tcBorders>
            <w:shd w:val="clear" w:color="000000" w:fill="D9D9D9"/>
            <w:noWrap/>
            <w:vAlign w:val="bottom"/>
            <w:hideMark/>
          </w:tcPr>
          <w:p w14:paraId="6829A5E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20CE7B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0FB050B7"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57D7176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NPL</w:t>
            </w:r>
          </w:p>
        </w:tc>
        <w:tc>
          <w:tcPr>
            <w:tcW w:w="1477" w:type="dxa"/>
            <w:tcBorders>
              <w:top w:val="nil"/>
              <w:left w:val="nil"/>
              <w:bottom w:val="nil"/>
              <w:right w:val="nil"/>
            </w:tcBorders>
            <w:shd w:val="clear" w:color="auto" w:fill="D9D9D9" w:themeFill="background1" w:themeFillShade="D9"/>
            <w:noWrap/>
            <w:vAlign w:val="bottom"/>
            <w:hideMark/>
          </w:tcPr>
          <w:p w14:paraId="71AA6AE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Nepal</w:t>
            </w:r>
          </w:p>
        </w:tc>
        <w:tc>
          <w:tcPr>
            <w:tcW w:w="1308" w:type="dxa"/>
            <w:tcBorders>
              <w:top w:val="nil"/>
              <w:left w:val="nil"/>
              <w:bottom w:val="nil"/>
              <w:right w:val="nil"/>
            </w:tcBorders>
            <w:shd w:val="clear" w:color="auto" w:fill="D9D9D9" w:themeFill="background1" w:themeFillShade="D9"/>
            <w:noWrap/>
            <w:vAlign w:val="bottom"/>
            <w:hideMark/>
          </w:tcPr>
          <w:p w14:paraId="31D392CF"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Asia</w:t>
            </w:r>
          </w:p>
        </w:tc>
        <w:tc>
          <w:tcPr>
            <w:tcW w:w="594" w:type="dxa"/>
            <w:tcBorders>
              <w:top w:val="nil"/>
              <w:left w:val="nil"/>
              <w:bottom w:val="nil"/>
              <w:right w:val="nil"/>
            </w:tcBorders>
            <w:shd w:val="clear" w:color="000000" w:fill="F2F2F2"/>
            <w:noWrap/>
            <w:vAlign w:val="bottom"/>
            <w:hideMark/>
          </w:tcPr>
          <w:p w14:paraId="1CB3CAE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4" w:type="dxa"/>
            <w:tcBorders>
              <w:top w:val="nil"/>
              <w:left w:val="nil"/>
              <w:bottom w:val="nil"/>
              <w:right w:val="nil"/>
            </w:tcBorders>
            <w:shd w:val="clear" w:color="000000" w:fill="F2F2F2"/>
            <w:noWrap/>
            <w:vAlign w:val="bottom"/>
            <w:hideMark/>
          </w:tcPr>
          <w:p w14:paraId="387C6A4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8069FA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5128A74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FA6638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D9D9D9"/>
            <w:noWrap/>
            <w:vAlign w:val="bottom"/>
            <w:hideMark/>
          </w:tcPr>
          <w:p w14:paraId="4D44FAD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A592C2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79FED62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nil"/>
              <w:left w:val="nil"/>
              <w:bottom w:val="nil"/>
              <w:right w:val="nil"/>
            </w:tcBorders>
            <w:shd w:val="clear" w:color="000000" w:fill="F2F2F2"/>
            <w:noWrap/>
            <w:vAlign w:val="bottom"/>
            <w:hideMark/>
          </w:tcPr>
          <w:p w14:paraId="4069E8F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3A1BF78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DF379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082D82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16AADF9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345100D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299450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CF9844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3B5502E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2.0</w:t>
            </w:r>
          </w:p>
        </w:tc>
        <w:tc>
          <w:tcPr>
            <w:tcW w:w="596" w:type="dxa"/>
            <w:tcBorders>
              <w:top w:val="nil"/>
              <w:left w:val="nil"/>
              <w:bottom w:val="nil"/>
              <w:right w:val="nil"/>
            </w:tcBorders>
            <w:shd w:val="clear" w:color="000000" w:fill="D9D9D9"/>
            <w:noWrap/>
            <w:vAlign w:val="bottom"/>
            <w:hideMark/>
          </w:tcPr>
          <w:p w14:paraId="475DCAE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743E28C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356B09B5"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7A1522E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PAK</w:t>
            </w:r>
          </w:p>
        </w:tc>
        <w:tc>
          <w:tcPr>
            <w:tcW w:w="1477" w:type="dxa"/>
            <w:tcBorders>
              <w:top w:val="nil"/>
              <w:left w:val="nil"/>
              <w:bottom w:val="nil"/>
              <w:right w:val="nil"/>
            </w:tcBorders>
            <w:shd w:val="clear" w:color="auto" w:fill="D9D9D9" w:themeFill="background1" w:themeFillShade="D9"/>
            <w:noWrap/>
            <w:vAlign w:val="bottom"/>
            <w:hideMark/>
          </w:tcPr>
          <w:p w14:paraId="17E9722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Pakistan</w:t>
            </w:r>
          </w:p>
        </w:tc>
        <w:tc>
          <w:tcPr>
            <w:tcW w:w="1308" w:type="dxa"/>
            <w:tcBorders>
              <w:top w:val="nil"/>
              <w:left w:val="nil"/>
              <w:bottom w:val="nil"/>
              <w:right w:val="nil"/>
            </w:tcBorders>
            <w:shd w:val="clear" w:color="auto" w:fill="D9D9D9" w:themeFill="background1" w:themeFillShade="D9"/>
            <w:noWrap/>
            <w:vAlign w:val="bottom"/>
            <w:hideMark/>
          </w:tcPr>
          <w:p w14:paraId="71CE1C42"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Asia</w:t>
            </w:r>
          </w:p>
        </w:tc>
        <w:tc>
          <w:tcPr>
            <w:tcW w:w="594" w:type="dxa"/>
            <w:tcBorders>
              <w:top w:val="nil"/>
              <w:left w:val="nil"/>
              <w:bottom w:val="nil"/>
              <w:right w:val="nil"/>
            </w:tcBorders>
            <w:shd w:val="clear" w:color="000000" w:fill="F2F2F2"/>
            <w:noWrap/>
            <w:vAlign w:val="bottom"/>
            <w:hideMark/>
          </w:tcPr>
          <w:p w14:paraId="0B1F10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41B9A6A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0A3B8CD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2997001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0EACF4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6B1F236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49EC26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799486B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595" w:type="dxa"/>
            <w:tcBorders>
              <w:top w:val="nil"/>
              <w:left w:val="nil"/>
              <w:bottom w:val="nil"/>
              <w:right w:val="nil"/>
            </w:tcBorders>
            <w:shd w:val="clear" w:color="000000" w:fill="F2F2F2"/>
            <w:noWrap/>
            <w:vAlign w:val="bottom"/>
            <w:hideMark/>
          </w:tcPr>
          <w:p w14:paraId="5200F52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09C95E3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D2F37C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77C573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282AA5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070CEBA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5B84BC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5A3F749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F68D5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nil"/>
              <w:left w:val="nil"/>
              <w:bottom w:val="nil"/>
              <w:right w:val="nil"/>
            </w:tcBorders>
            <w:shd w:val="clear" w:color="000000" w:fill="D9D9D9"/>
            <w:noWrap/>
            <w:vAlign w:val="bottom"/>
            <w:hideMark/>
          </w:tcPr>
          <w:p w14:paraId="03D7E5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0C8DC27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12F15E54"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660257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LKA</w:t>
            </w:r>
          </w:p>
        </w:tc>
        <w:tc>
          <w:tcPr>
            <w:tcW w:w="1477" w:type="dxa"/>
            <w:tcBorders>
              <w:top w:val="nil"/>
              <w:left w:val="nil"/>
              <w:bottom w:val="nil"/>
              <w:right w:val="nil"/>
            </w:tcBorders>
            <w:shd w:val="clear" w:color="auto" w:fill="D9D9D9" w:themeFill="background1" w:themeFillShade="D9"/>
            <w:noWrap/>
            <w:vAlign w:val="bottom"/>
            <w:hideMark/>
          </w:tcPr>
          <w:p w14:paraId="118B2A38"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Sri Lanka</w:t>
            </w:r>
          </w:p>
        </w:tc>
        <w:tc>
          <w:tcPr>
            <w:tcW w:w="1308" w:type="dxa"/>
            <w:tcBorders>
              <w:top w:val="nil"/>
              <w:left w:val="nil"/>
              <w:bottom w:val="nil"/>
              <w:right w:val="nil"/>
            </w:tcBorders>
            <w:shd w:val="clear" w:color="auto" w:fill="D9D9D9" w:themeFill="background1" w:themeFillShade="D9"/>
            <w:noWrap/>
            <w:vAlign w:val="bottom"/>
            <w:hideMark/>
          </w:tcPr>
          <w:p w14:paraId="22DF58D9"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Asia</w:t>
            </w:r>
          </w:p>
        </w:tc>
        <w:tc>
          <w:tcPr>
            <w:tcW w:w="594" w:type="dxa"/>
            <w:tcBorders>
              <w:top w:val="nil"/>
              <w:left w:val="nil"/>
              <w:bottom w:val="nil"/>
              <w:right w:val="nil"/>
            </w:tcBorders>
            <w:shd w:val="clear" w:color="000000" w:fill="F2F2F2"/>
            <w:noWrap/>
            <w:vAlign w:val="bottom"/>
            <w:hideMark/>
          </w:tcPr>
          <w:p w14:paraId="6D6040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209CBC2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37EBFA1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2E5315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5DA2EEA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D9D9D9"/>
            <w:noWrap/>
            <w:vAlign w:val="bottom"/>
            <w:hideMark/>
          </w:tcPr>
          <w:p w14:paraId="4EA9ABD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E31718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29DC300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7F2ACE3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2836CA4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8FA268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0FA61AF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72650F2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2A0254E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68116B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11502AD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B87555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2.0</w:t>
            </w:r>
          </w:p>
        </w:tc>
        <w:tc>
          <w:tcPr>
            <w:tcW w:w="596" w:type="dxa"/>
            <w:tcBorders>
              <w:top w:val="nil"/>
              <w:left w:val="nil"/>
              <w:bottom w:val="nil"/>
              <w:right w:val="nil"/>
            </w:tcBorders>
            <w:shd w:val="clear" w:color="000000" w:fill="D9D9D9"/>
            <w:noWrap/>
            <w:vAlign w:val="bottom"/>
            <w:hideMark/>
          </w:tcPr>
          <w:p w14:paraId="21E1B40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6AC4976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08CFD851" w14:textId="77777777" w:rsidTr="002F18DD">
        <w:trPr>
          <w:trHeight w:val="255"/>
        </w:trPr>
        <w:tc>
          <w:tcPr>
            <w:tcW w:w="567" w:type="dxa"/>
            <w:tcBorders>
              <w:top w:val="single" w:sz="4" w:space="0" w:color="A6A6A6"/>
              <w:left w:val="nil"/>
              <w:bottom w:val="nil"/>
              <w:right w:val="nil"/>
            </w:tcBorders>
            <w:shd w:val="clear" w:color="auto" w:fill="D9D9D9" w:themeFill="background1" w:themeFillShade="D9"/>
            <w:noWrap/>
            <w:vAlign w:val="bottom"/>
            <w:hideMark/>
          </w:tcPr>
          <w:p w14:paraId="50BC856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CAN</w:t>
            </w:r>
          </w:p>
        </w:tc>
        <w:tc>
          <w:tcPr>
            <w:tcW w:w="1477" w:type="dxa"/>
            <w:tcBorders>
              <w:top w:val="single" w:sz="4" w:space="0" w:color="A6A6A6"/>
              <w:left w:val="nil"/>
              <w:bottom w:val="nil"/>
              <w:right w:val="nil"/>
            </w:tcBorders>
            <w:shd w:val="clear" w:color="auto" w:fill="D9D9D9" w:themeFill="background1" w:themeFillShade="D9"/>
            <w:noWrap/>
            <w:vAlign w:val="bottom"/>
            <w:hideMark/>
          </w:tcPr>
          <w:p w14:paraId="6B574FF5"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Canada</w:t>
            </w:r>
          </w:p>
        </w:tc>
        <w:tc>
          <w:tcPr>
            <w:tcW w:w="1308" w:type="dxa"/>
            <w:tcBorders>
              <w:top w:val="single" w:sz="4" w:space="0" w:color="A6A6A6"/>
              <w:left w:val="nil"/>
              <w:bottom w:val="nil"/>
              <w:right w:val="nil"/>
            </w:tcBorders>
            <w:shd w:val="clear" w:color="auto" w:fill="D9D9D9" w:themeFill="background1" w:themeFillShade="D9"/>
            <w:noWrap/>
            <w:vAlign w:val="bottom"/>
            <w:hideMark/>
          </w:tcPr>
          <w:p w14:paraId="0FA34E09"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North America</w:t>
            </w:r>
          </w:p>
        </w:tc>
        <w:tc>
          <w:tcPr>
            <w:tcW w:w="594" w:type="dxa"/>
            <w:tcBorders>
              <w:top w:val="single" w:sz="4" w:space="0" w:color="A6A6A6"/>
              <w:left w:val="nil"/>
              <w:bottom w:val="nil"/>
              <w:right w:val="nil"/>
            </w:tcBorders>
            <w:shd w:val="clear" w:color="000000" w:fill="F2F2F2"/>
            <w:noWrap/>
            <w:vAlign w:val="bottom"/>
            <w:hideMark/>
          </w:tcPr>
          <w:p w14:paraId="06F575A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single" w:sz="4" w:space="0" w:color="A6A6A6"/>
              <w:left w:val="nil"/>
              <w:bottom w:val="nil"/>
              <w:right w:val="nil"/>
            </w:tcBorders>
            <w:shd w:val="clear" w:color="000000" w:fill="F2F2F2"/>
            <w:noWrap/>
            <w:vAlign w:val="bottom"/>
            <w:hideMark/>
          </w:tcPr>
          <w:p w14:paraId="11AE6A7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single" w:sz="4" w:space="0" w:color="A6A6A6"/>
              <w:left w:val="nil"/>
              <w:bottom w:val="nil"/>
              <w:right w:val="nil"/>
            </w:tcBorders>
            <w:shd w:val="clear" w:color="000000" w:fill="F2F2F2"/>
            <w:noWrap/>
            <w:vAlign w:val="bottom"/>
            <w:hideMark/>
          </w:tcPr>
          <w:p w14:paraId="6B3754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D9D9D9"/>
            <w:noWrap/>
            <w:vAlign w:val="bottom"/>
            <w:hideMark/>
          </w:tcPr>
          <w:p w14:paraId="44A9546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single" w:sz="4" w:space="0" w:color="A6A6A6"/>
              <w:left w:val="nil"/>
              <w:bottom w:val="nil"/>
              <w:right w:val="nil"/>
            </w:tcBorders>
            <w:shd w:val="clear" w:color="000000" w:fill="D9D9D9"/>
            <w:noWrap/>
            <w:vAlign w:val="bottom"/>
            <w:hideMark/>
          </w:tcPr>
          <w:p w14:paraId="2F18C69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D9D9D9"/>
            <w:noWrap/>
            <w:vAlign w:val="bottom"/>
            <w:hideMark/>
          </w:tcPr>
          <w:p w14:paraId="6488804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63AD03D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F2F2F2"/>
            <w:noWrap/>
            <w:vAlign w:val="bottom"/>
            <w:hideMark/>
          </w:tcPr>
          <w:p w14:paraId="7F7870B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595" w:type="dxa"/>
            <w:tcBorders>
              <w:top w:val="single" w:sz="4" w:space="0" w:color="A6A6A6"/>
              <w:left w:val="nil"/>
              <w:bottom w:val="nil"/>
              <w:right w:val="nil"/>
            </w:tcBorders>
            <w:shd w:val="clear" w:color="000000" w:fill="F2F2F2"/>
            <w:noWrap/>
            <w:vAlign w:val="bottom"/>
            <w:hideMark/>
          </w:tcPr>
          <w:p w14:paraId="4A883B9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single" w:sz="4" w:space="0" w:color="A6A6A6"/>
              <w:left w:val="nil"/>
              <w:bottom w:val="nil"/>
              <w:right w:val="nil"/>
            </w:tcBorders>
            <w:shd w:val="clear" w:color="000000" w:fill="D9D9D9"/>
            <w:noWrap/>
            <w:vAlign w:val="bottom"/>
            <w:hideMark/>
          </w:tcPr>
          <w:p w14:paraId="67633BD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64FA959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single" w:sz="4" w:space="0" w:color="A6A6A6"/>
              <w:left w:val="nil"/>
              <w:bottom w:val="nil"/>
              <w:right w:val="nil"/>
            </w:tcBorders>
            <w:shd w:val="clear" w:color="000000" w:fill="F2F2F2"/>
            <w:noWrap/>
            <w:vAlign w:val="bottom"/>
            <w:hideMark/>
          </w:tcPr>
          <w:p w14:paraId="7C49CBC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616" w:type="dxa"/>
            <w:tcBorders>
              <w:top w:val="single" w:sz="4" w:space="0" w:color="A6A6A6"/>
              <w:left w:val="nil"/>
              <w:bottom w:val="nil"/>
              <w:right w:val="nil"/>
            </w:tcBorders>
            <w:shd w:val="clear" w:color="000000" w:fill="D9D9D9"/>
            <w:noWrap/>
            <w:vAlign w:val="bottom"/>
            <w:hideMark/>
          </w:tcPr>
          <w:p w14:paraId="361C3A4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F2F2F2"/>
            <w:noWrap/>
            <w:vAlign w:val="bottom"/>
            <w:hideMark/>
          </w:tcPr>
          <w:p w14:paraId="73F5C36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3657784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single" w:sz="4" w:space="0" w:color="A6A6A6"/>
              <w:left w:val="nil"/>
              <w:bottom w:val="nil"/>
              <w:right w:val="nil"/>
            </w:tcBorders>
            <w:shd w:val="clear" w:color="000000" w:fill="F2F2F2"/>
            <w:noWrap/>
            <w:vAlign w:val="bottom"/>
            <w:hideMark/>
          </w:tcPr>
          <w:p w14:paraId="54AD241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single" w:sz="4" w:space="0" w:color="A6A6A6"/>
              <w:left w:val="nil"/>
              <w:bottom w:val="nil"/>
              <w:right w:val="nil"/>
            </w:tcBorders>
            <w:shd w:val="clear" w:color="000000" w:fill="D9D9D9"/>
            <w:noWrap/>
            <w:vAlign w:val="bottom"/>
            <w:hideMark/>
          </w:tcPr>
          <w:p w14:paraId="114D5A7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c>
          <w:tcPr>
            <w:tcW w:w="596" w:type="dxa"/>
            <w:tcBorders>
              <w:top w:val="single" w:sz="4" w:space="0" w:color="A6A6A6"/>
              <w:left w:val="nil"/>
              <w:bottom w:val="nil"/>
              <w:right w:val="nil"/>
            </w:tcBorders>
            <w:shd w:val="clear" w:color="000000" w:fill="D9D9D9"/>
            <w:noWrap/>
            <w:vAlign w:val="bottom"/>
            <w:hideMark/>
          </w:tcPr>
          <w:p w14:paraId="5F94939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single" w:sz="4" w:space="0" w:color="A6A6A6"/>
              <w:left w:val="nil"/>
              <w:bottom w:val="nil"/>
              <w:right w:val="nil"/>
            </w:tcBorders>
            <w:shd w:val="clear" w:color="000000" w:fill="F2F2F2"/>
            <w:noWrap/>
            <w:vAlign w:val="bottom"/>
            <w:hideMark/>
          </w:tcPr>
          <w:p w14:paraId="61EE2A0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r>
      <w:tr w:rsidR="00306F5D" w:rsidRPr="00306F5D" w14:paraId="1A30DB64"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8AA599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USA</w:t>
            </w:r>
          </w:p>
        </w:tc>
        <w:tc>
          <w:tcPr>
            <w:tcW w:w="1477" w:type="dxa"/>
            <w:tcBorders>
              <w:top w:val="nil"/>
              <w:left w:val="nil"/>
              <w:bottom w:val="nil"/>
              <w:right w:val="nil"/>
            </w:tcBorders>
            <w:shd w:val="clear" w:color="auto" w:fill="D9D9D9" w:themeFill="background1" w:themeFillShade="D9"/>
            <w:noWrap/>
            <w:vAlign w:val="bottom"/>
            <w:hideMark/>
          </w:tcPr>
          <w:p w14:paraId="2A3CD319"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United States</w:t>
            </w:r>
          </w:p>
        </w:tc>
        <w:tc>
          <w:tcPr>
            <w:tcW w:w="1308" w:type="dxa"/>
            <w:tcBorders>
              <w:top w:val="nil"/>
              <w:left w:val="nil"/>
              <w:bottom w:val="nil"/>
              <w:right w:val="nil"/>
            </w:tcBorders>
            <w:shd w:val="clear" w:color="auto" w:fill="D9D9D9" w:themeFill="background1" w:themeFillShade="D9"/>
            <w:noWrap/>
            <w:vAlign w:val="bottom"/>
            <w:hideMark/>
          </w:tcPr>
          <w:p w14:paraId="7A7B319B"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North America</w:t>
            </w:r>
          </w:p>
        </w:tc>
        <w:tc>
          <w:tcPr>
            <w:tcW w:w="594" w:type="dxa"/>
            <w:tcBorders>
              <w:top w:val="nil"/>
              <w:left w:val="nil"/>
              <w:bottom w:val="nil"/>
              <w:right w:val="nil"/>
            </w:tcBorders>
            <w:shd w:val="clear" w:color="000000" w:fill="F2F2F2"/>
            <w:noWrap/>
            <w:vAlign w:val="bottom"/>
            <w:hideMark/>
          </w:tcPr>
          <w:p w14:paraId="632B0B1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0555F82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E1CE45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5712CC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21CFD79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3D8D802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87A7E5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0E4E64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7076C91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180DE42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67F59F3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54EA5AB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616" w:type="dxa"/>
            <w:tcBorders>
              <w:top w:val="nil"/>
              <w:left w:val="nil"/>
              <w:bottom w:val="nil"/>
              <w:right w:val="nil"/>
            </w:tcBorders>
            <w:shd w:val="clear" w:color="000000" w:fill="D9D9D9"/>
            <w:noWrap/>
            <w:vAlign w:val="bottom"/>
            <w:hideMark/>
          </w:tcPr>
          <w:p w14:paraId="3DA73F3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5430791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2A35BD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3006850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529E2B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c>
          <w:tcPr>
            <w:tcW w:w="596" w:type="dxa"/>
            <w:tcBorders>
              <w:top w:val="nil"/>
              <w:left w:val="nil"/>
              <w:bottom w:val="nil"/>
              <w:right w:val="nil"/>
            </w:tcBorders>
            <w:shd w:val="clear" w:color="000000" w:fill="D9D9D9"/>
            <w:noWrap/>
            <w:vAlign w:val="bottom"/>
            <w:hideMark/>
          </w:tcPr>
          <w:p w14:paraId="32EB4E6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082BFA6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r>
      <w:tr w:rsidR="00306F5D" w:rsidRPr="00306F5D" w14:paraId="794A0236"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5F5D4CB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MEX</w:t>
            </w:r>
          </w:p>
        </w:tc>
        <w:tc>
          <w:tcPr>
            <w:tcW w:w="1477" w:type="dxa"/>
            <w:tcBorders>
              <w:top w:val="nil"/>
              <w:left w:val="nil"/>
              <w:bottom w:val="nil"/>
              <w:right w:val="nil"/>
            </w:tcBorders>
            <w:shd w:val="clear" w:color="auto" w:fill="D9D9D9" w:themeFill="background1" w:themeFillShade="D9"/>
            <w:noWrap/>
            <w:vAlign w:val="bottom"/>
            <w:hideMark/>
          </w:tcPr>
          <w:p w14:paraId="1955DE75"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Mexico</w:t>
            </w:r>
          </w:p>
        </w:tc>
        <w:tc>
          <w:tcPr>
            <w:tcW w:w="1308" w:type="dxa"/>
            <w:tcBorders>
              <w:top w:val="nil"/>
              <w:left w:val="nil"/>
              <w:bottom w:val="nil"/>
              <w:right w:val="nil"/>
            </w:tcBorders>
            <w:shd w:val="clear" w:color="auto" w:fill="D9D9D9" w:themeFill="background1" w:themeFillShade="D9"/>
            <w:noWrap/>
            <w:vAlign w:val="bottom"/>
            <w:hideMark/>
          </w:tcPr>
          <w:p w14:paraId="0E43E248"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North America</w:t>
            </w:r>
          </w:p>
        </w:tc>
        <w:tc>
          <w:tcPr>
            <w:tcW w:w="594" w:type="dxa"/>
            <w:tcBorders>
              <w:top w:val="nil"/>
              <w:left w:val="nil"/>
              <w:bottom w:val="nil"/>
              <w:right w:val="nil"/>
            </w:tcBorders>
            <w:shd w:val="clear" w:color="000000" w:fill="F2F2F2"/>
            <w:noWrap/>
            <w:vAlign w:val="bottom"/>
            <w:hideMark/>
          </w:tcPr>
          <w:p w14:paraId="5D4CAB5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155F18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391EFE5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50F271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615B8A0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FCA0A8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5029F6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60AB164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1E8186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6A134E8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1B938B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39C16E8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616" w:type="dxa"/>
            <w:tcBorders>
              <w:top w:val="nil"/>
              <w:left w:val="nil"/>
              <w:bottom w:val="nil"/>
              <w:right w:val="nil"/>
            </w:tcBorders>
            <w:shd w:val="clear" w:color="000000" w:fill="D9D9D9"/>
            <w:noWrap/>
            <w:vAlign w:val="bottom"/>
            <w:hideMark/>
          </w:tcPr>
          <w:p w14:paraId="4CB993F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066E960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B7DFA2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AF1CCA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9452ED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c>
          <w:tcPr>
            <w:tcW w:w="596" w:type="dxa"/>
            <w:tcBorders>
              <w:top w:val="nil"/>
              <w:left w:val="nil"/>
              <w:bottom w:val="nil"/>
              <w:right w:val="nil"/>
            </w:tcBorders>
            <w:shd w:val="clear" w:color="000000" w:fill="D9D9D9"/>
            <w:noWrap/>
            <w:vAlign w:val="bottom"/>
            <w:hideMark/>
          </w:tcPr>
          <w:p w14:paraId="6E2381F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633EBF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r>
      <w:tr w:rsidR="00306F5D" w:rsidRPr="00306F5D" w14:paraId="7682AEC9" w14:textId="77777777" w:rsidTr="002F18DD">
        <w:trPr>
          <w:trHeight w:val="255"/>
        </w:trPr>
        <w:tc>
          <w:tcPr>
            <w:tcW w:w="567" w:type="dxa"/>
            <w:tcBorders>
              <w:top w:val="single" w:sz="4" w:space="0" w:color="A6A6A6"/>
              <w:left w:val="nil"/>
              <w:bottom w:val="nil"/>
              <w:right w:val="nil"/>
            </w:tcBorders>
            <w:shd w:val="clear" w:color="auto" w:fill="D9D9D9" w:themeFill="background1" w:themeFillShade="D9"/>
            <w:noWrap/>
            <w:vAlign w:val="bottom"/>
            <w:hideMark/>
          </w:tcPr>
          <w:p w14:paraId="2743CE7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ARG</w:t>
            </w:r>
          </w:p>
        </w:tc>
        <w:tc>
          <w:tcPr>
            <w:tcW w:w="1477" w:type="dxa"/>
            <w:tcBorders>
              <w:top w:val="single" w:sz="4" w:space="0" w:color="A6A6A6"/>
              <w:left w:val="nil"/>
              <w:bottom w:val="nil"/>
              <w:right w:val="nil"/>
            </w:tcBorders>
            <w:shd w:val="clear" w:color="auto" w:fill="D9D9D9" w:themeFill="background1" w:themeFillShade="D9"/>
            <w:noWrap/>
            <w:vAlign w:val="bottom"/>
            <w:hideMark/>
          </w:tcPr>
          <w:p w14:paraId="6F53DCE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Argentina</w:t>
            </w:r>
          </w:p>
        </w:tc>
        <w:tc>
          <w:tcPr>
            <w:tcW w:w="1308" w:type="dxa"/>
            <w:tcBorders>
              <w:top w:val="single" w:sz="4" w:space="0" w:color="A6A6A6"/>
              <w:left w:val="nil"/>
              <w:bottom w:val="nil"/>
              <w:right w:val="nil"/>
            </w:tcBorders>
            <w:shd w:val="clear" w:color="auto" w:fill="D9D9D9" w:themeFill="background1" w:themeFillShade="D9"/>
            <w:noWrap/>
            <w:vAlign w:val="bottom"/>
            <w:hideMark/>
          </w:tcPr>
          <w:p w14:paraId="7F4F776A"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America</w:t>
            </w:r>
          </w:p>
        </w:tc>
        <w:tc>
          <w:tcPr>
            <w:tcW w:w="594" w:type="dxa"/>
            <w:tcBorders>
              <w:top w:val="single" w:sz="4" w:space="0" w:color="A6A6A6"/>
              <w:left w:val="nil"/>
              <w:bottom w:val="nil"/>
              <w:right w:val="nil"/>
            </w:tcBorders>
            <w:shd w:val="clear" w:color="000000" w:fill="F2F2F2"/>
            <w:noWrap/>
            <w:vAlign w:val="bottom"/>
            <w:hideMark/>
          </w:tcPr>
          <w:p w14:paraId="26A51F8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single" w:sz="4" w:space="0" w:color="A6A6A6"/>
              <w:left w:val="nil"/>
              <w:bottom w:val="nil"/>
              <w:right w:val="nil"/>
            </w:tcBorders>
            <w:shd w:val="clear" w:color="000000" w:fill="F2F2F2"/>
            <w:noWrap/>
            <w:vAlign w:val="bottom"/>
            <w:hideMark/>
          </w:tcPr>
          <w:p w14:paraId="27B69DC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single" w:sz="4" w:space="0" w:color="A6A6A6"/>
              <w:left w:val="nil"/>
              <w:bottom w:val="nil"/>
              <w:right w:val="nil"/>
            </w:tcBorders>
            <w:shd w:val="clear" w:color="000000" w:fill="F2F2F2"/>
            <w:noWrap/>
            <w:vAlign w:val="bottom"/>
            <w:hideMark/>
          </w:tcPr>
          <w:p w14:paraId="23CF0C0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D9D9D9"/>
            <w:noWrap/>
            <w:vAlign w:val="bottom"/>
            <w:hideMark/>
          </w:tcPr>
          <w:p w14:paraId="590CEEE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D9D9D9"/>
            <w:noWrap/>
            <w:vAlign w:val="bottom"/>
            <w:hideMark/>
          </w:tcPr>
          <w:p w14:paraId="60364B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1DF53B9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63FD15A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F2F2F2"/>
            <w:noWrap/>
            <w:vAlign w:val="bottom"/>
            <w:hideMark/>
          </w:tcPr>
          <w:p w14:paraId="7F33BD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595" w:type="dxa"/>
            <w:tcBorders>
              <w:top w:val="single" w:sz="4" w:space="0" w:color="A6A6A6"/>
              <w:left w:val="nil"/>
              <w:bottom w:val="nil"/>
              <w:right w:val="nil"/>
            </w:tcBorders>
            <w:shd w:val="clear" w:color="000000" w:fill="F2F2F2"/>
            <w:noWrap/>
            <w:vAlign w:val="bottom"/>
            <w:hideMark/>
          </w:tcPr>
          <w:p w14:paraId="7EFF3BF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single" w:sz="4" w:space="0" w:color="A6A6A6"/>
              <w:left w:val="nil"/>
              <w:bottom w:val="nil"/>
              <w:right w:val="nil"/>
            </w:tcBorders>
            <w:shd w:val="clear" w:color="000000" w:fill="D9D9D9"/>
            <w:noWrap/>
            <w:vAlign w:val="bottom"/>
            <w:hideMark/>
          </w:tcPr>
          <w:p w14:paraId="20ABF7C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004C613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single" w:sz="4" w:space="0" w:color="A6A6A6"/>
              <w:left w:val="nil"/>
              <w:bottom w:val="nil"/>
              <w:right w:val="nil"/>
            </w:tcBorders>
            <w:shd w:val="clear" w:color="000000" w:fill="F2F2F2"/>
            <w:noWrap/>
            <w:vAlign w:val="bottom"/>
            <w:hideMark/>
          </w:tcPr>
          <w:p w14:paraId="0D39192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single" w:sz="4" w:space="0" w:color="A6A6A6"/>
              <w:left w:val="nil"/>
              <w:bottom w:val="nil"/>
              <w:right w:val="nil"/>
            </w:tcBorders>
            <w:shd w:val="clear" w:color="000000" w:fill="D9D9D9"/>
            <w:noWrap/>
            <w:vAlign w:val="bottom"/>
            <w:hideMark/>
          </w:tcPr>
          <w:p w14:paraId="62868EC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single" w:sz="4" w:space="0" w:color="A6A6A6"/>
              <w:left w:val="nil"/>
              <w:bottom w:val="nil"/>
              <w:right w:val="nil"/>
            </w:tcBorders>
            <w:shd w:val="clear" w:color="000000" w:fill="F2F2F2"/>
            <w:noWrap/>
            <w:vAlign w:val="bottom"/>
            <w:hideMark/>
          </w:tcPr>
          <w:p w14:paraId="5F2198C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26EE989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single" w:sz="4" w:space="0" w:color="A6A6A6"/>
              <w:left w:val="nil"/>
              <w:bottom w:val="nil"/>
              <w:right w:val="nil"/>
            </w:tcBorders>
            <w:shd w:val="clear" w:color="000000" w:fill="F2F2F2"/>
            <w:noWrap/>
            <w:vAlign w:val="bottom"/>
            <w:hideMark/>
          </w:tcPr>
          <w:p w14:paraId="2A61406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single" w:sz="4" w:space="0" w:color="A6A6A6"/>
              <w:left w:val="nil"/>
              <w:bottom w:val="nil"/>
              <w:right w:val="nil"/>
            </w:tcBorders>
            <w:shd w:val="clear" w:color="000000" w:fill="D9D9D9"/>
            <w:noWrap/>
            <w:vAlign w:val="bottom"/>
            <w:hideMark/>
          </w:tcPr>
          <w:p w14:paraId="6FEFD3C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c>
          <w:tcPr>
            <w:tcW w:w="596" w:type="dxa"/>
            <w:tcBorders>
              <w:top w:val="single" w:sz="4" w:space="0" w:color="A6A6A6"/>
              <w:left w:val="nil"/>
              <w:bottom w:val="nil"/>
              <w:right w:val="nil"/>
            </w:tcBorders>
            <w:shd w:val="clear" w:color="000000" w:fill="D9D9D9"/>
            <w:noWrap/>
            <w:vAlign w:val="bottom"/>
            <w:hideMark/>
          </w:tcPr>
          <w:p w14:paraId="5E9C73E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single" w:sz="4" w:space="0" w:color="A6A6A6"/>
              <w:left w:val="nil"/>
              <w:bottom w:val="nil"/>
              <w:right w:val="nil"/>
            </w:tcBorders>
            <w:shd w:val="clear" w:color="000000" w:fill="F2F2F2"/>
            <w:noWrap/>
            <w:vAlign w:val="bottom"/>
            <w:hideMark/>
          </w:tcPr>
          <w:p w14:paraId="3316388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61403FE9"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E7853E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lastRenderedPageBreak/>
              <w:t>BOL</w:t>
            </w:r>
          </w:p>
        </w:tc>
        <w:tc>
          <w:tcPr>
            <w:tcW w:w="1477" w:type="dxa"/>
            <w:tcBorders>
              <w:top w:val="nil"/>
              <w:left w:val="nil"/>
              <w:bottom w:val="nil"/>
              <w:right w:val="nil"/>
            </w:tcBorders>
            <w:shd w:val="clear" w:color="auto" w:fill="D9D9D9" w:themeFill="background1" w:themeFillShade="D9"/>
            <w:noWrap/>
            <w:vAlign w:val="bottom"/>
            <w:hideMark/>
          </w:tcPr>
          <w:p w14:paraId="39367FC8"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Bolivia</w:t>
            </w:r>
          </w:p>
        </w:tc>
        <w:tc>
          <w:tcPr>
            <w:tcW w:w="1308" w:type="dxa"/>
            <w:tcBorders>
              <w:top w:val="nil"/>
              <w:left w:val="nil"/>
              <w:bottom w:val="nil"/>
              <w:right w:val="nil"/>
            </w:tcBorders>
            <w:shd w:val="clear" w:color="auto" w:fill="D9D9D9" w:themeFill="background1" w:themeFillShade="D9"/>
            <w:noWrap/>
            <w:vAlign w:val="bottom"/>
            <w:hideMark/>
          </w:tcPr>
          <w:p w14:paraId="7AD0F977"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America</w:t>
            </w:r>
          </w:p>
        </w:tc>
        <w:tc>
          <w:tcPr>
            <w:tcW w:w="594" w:type="dxa"/>
            <w:tcBorders>
              <w:top w:val="nil"/>
              <w:left w:val="nil"/>
              <w:bottom w:val="nil"/>
              <w:right w:val="nil"/>
            </w:tcBorders>
            <w:shd w:val="clear" w:color="000000" w:fill="F2F2F2"/>
            <w:noWrap/>
            <w:vAlign w:val="bottom"/>
            <w:hideMark/>
          </w:tcPr>
          <w:p w14:paraId="3DFF33F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0278FCD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689B9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1CA5D4D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0E2C0D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360C498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06C8E1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2F93D2F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5511E41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2A68185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767A1D6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5C74F9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0A46074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3B925FC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9710A1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09DFCE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7FC529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c>
          <w:tcPr>
            <w:tcW w:w="596" w:type="dxa"/>
            <w:tcBorders>
              <w:top w:val="nil"/>
              <w:left w:val="nil"/>
              <w:bottom w:val="nil"/>
              <w:right w:val="nil"/>
            </w:tcBorders>
            <w:shd w:val="clear" w:color="000000" w:fill="D9D9D9"/>
            <w:noWrap/>
            <w:vAlign w:val="bottom"/>
            <w:hideMark/>
          </w:tcPr>
          <w:p w14:paraId="35F8F31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2A92EAA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2342A5D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78E0BF88"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BRA</w:t>
            </w:r>
          </w:p>
        </w:tc>
        <w:tc>
          <w:tcPr>
            <w:tcW w:w="1477" w:type="dxa"/>
            <w:tcBorders>
              <w:top w:val="nil"/>
              <w:left w:val="nil"/>
              <w:bottom w:val="nil"/>
              <w:right w:val="nil"/>
            </w:tcBorders>
            <w:shd w:val="clear" w:color="auto" w:fill="D9D9D9" w:themeFill="background1" w:themeFillShade="D9"/>
            <w:noWrap/>
            <w:vAlign w:val="bottom"/>
            <w:hideMark/>
          </w:tcPr>
          <w:p w14:paraId="6120C83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Brazil</w:t>
            </w:r>
          </w:p>
        </w:tc>
        <w:tc>
          <w:tcPr>
            <w:tcW w:w="1308" w:type="dxa"/>
            <w:tcBorders>
              <w:top w:val="nil"/>
              <w:left w:val="nil"/>
              <w:bottom w:val="nil"/>
              <w:right w:val="nil"/>
            </w:tcBorders>
            <w:shd w:val="clear" w:color="auto" w:fill="D9D9D9" w:themeFill="background1" w:themeFillShade="D9"/>
            <w:noWrap/>
            <w:vAlign w:val="bottom"/>
            <w:hideMark/>
          </w:tcPr>
          <w:p w14:paraId="41AD6036"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America</w:t>
            </w:r>
          </w:p>
        </w:tc>
        <w:tc>
          <w:tcPr>
            <w:tcW w:w="594" w:type="dxa"/>
            <w:tcBorders>
              <w:top w:val="nil"/>
              <w:left w:val="nil"/>
              <w:bottom w:val="nil"/>
              <w:right w:val="nil"/>
            </w:tcBorders>
            <w:shd w:val="clear" w:color="000000" w:fill="F2F2F2"/>
            <w:noWrap/>
            <w:vAlign w:val="bottom"/>
            <w:hideMark/>
          </w:tcPr>
          <w:p w14:paraId="3350D1F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3E94664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5E2447F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30E9EC4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91B45C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46519EA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440CDC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0522317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0BD07F9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58BBAA2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327AB1D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2806717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1A3C61B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197E524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E270D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5B34A8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E282C3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c>
          <w:tcPr>
            <w:tcW w:w="596" w:type="dxa"/>
            <w:tcBorders>
              <w:top w:val="nil"/>
              <w:left w:val="nil"/>
              <w:bottom w:val="nil"/>
              <w:right w:val="nil"/>
            </w:tcBorders>
            <w:shd w:val="clear" w:color="000000" w:fill="D9D9D9"/>
            <w:noWrap/>
            <w:vAlign w:val="bottom"/>
            <w:hideMark/>
          </w:tcPr>
          <w:p w14:paraId="363623C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56089B8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1764E93C"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4EE1EEB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CHL</w:t>
            </w:r>
          </w:p>
        </w:tc>
        <w:tc>
          <w:tcPr>
            <w:tcW w:w="1477" w:type="dxa"/>
            <w:tcBorders>
              <w:top w:val="nil"/>
              <w:left w:val="nil"/>
              <w:bottom w:val="nil"/>
              <w:right w:val="nil"/>
            </w:tcBorders>
            <w:shd w:val="clear" w:color="auto" w:fill="D9D9D9" w:themeFill="background1" w:themeFillShade="D9"/>
            <w:noWrap/>
            <w:vAlign w:val="bottom"/>
            <w:hideMark/>
          </w:tcPr>
          <w:p w14:paraId="4C90D899"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Chile</w:t>
            </w:r>
          </w:p>
        </w:tc>
        <w:tc>
          <w:tcPr>
            <w:tcW w:w="1308" w:type="dxa"/>
            <w:tcBorders>
              <w:top w:val="nil"/>
              <w:left w:val="nil"/>
              <w:bottom w:val="nil"/>
              <w:right w:val="nil"/>
            </w:tcBorders>
            <w:shd w:val="clear" w:color="auto" w:fill="D9D9D9" w:themeFill="background1" w:themeFillShade="D9"/>
            <w:noWrap/>
            <w:vAlign w:val="bottom"/>
            <w:hideMark/>
          </w:tcPr>
          <w:p w14:paraId="6BD23CCC"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America</w:t>
            </w:r>
          </w:p>
        </w:tc>
        <w:tc>
          <w:tcPr>
            <w:tcW w:w="594" w:type="dxa"/>
            <w:tcBorders>
              <w:top w:val="nil"/>
              <w:left w:val="nil"/>
              <w:bottom w:val="nil"/>
              <w:right w:val="nil"/>
            </w:tcBorders>
            <w:shd w:val="clear" w:color="000000" w:fill="F2F2F2"/>
            <w:noWrap/>
            <w:vAlign w:val="bottom"/>
            <w:hideMark/>
          </w:tcPr>
          <w:p w14:paraId="7B73486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10AE9A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56CC19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084A61B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893905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4015DBF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1A42B3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321B5F7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5F2AE4D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0B9A39A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36A2162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0337C9C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0E43BBD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57891E7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26193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346601B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85C37C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6" w:type="dxa"/>
            <w:tcBorders>
              <w:top w:val="nil"/>
              <w:left w:val="nil"/>
              <w:bottom w:val="nil"/>
              <w:right w:val="nil"/>
            </w:tcBorders>
            <w:shd w:val="clear" w:color="000000" w:fill="D9D9D9"/>
            <w:noWrap/>
            <w:vAlign w:val="bottom"/>
            <w:hideMark/>
          </w:tcPr>
          <w:p w14:paraId="14D56C0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495" w:type="dxa"/>
            <w:tcBorders>
              <w:top w:val="nil"/>
              <w:left w:val="nil"/>
              <w:bottom w:val="nil"/>
              <w:right w:val="nil"/>
            </w:tcBorders>
            <w:shd w:val="clear" w:color="000000" w:fill="F2F2F2"/>
            <w:noWrap/>
            <w:vAlign w:val="bottom"/>
            <w:hideMark/>
          </w:tcPr>
          <w:p w14:paraId="5A9EC12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7BB9876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1554642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COL</w:t>
            </w:r>
          </w:p>
        </w:tc>
        <w:tc>
          <w:tcPr>
            <w:tcW w:w="1477" w:type="dxa"/>
            <w:tcBorders>
              <w:top w:val="nil"/>
              <w:left w:val="nil"/>
              <w:bottom w:val="nil"/>
              <w:right w:val="nil"/>
            </w:tcBorders>
            <w:shd w:val="clear" w:color="auto" w:fill="D9D9D9" w:themeFill="background1" w:themeFillShade="D9"/>
            <w:noWrap/>
            <w:vAlign w:val="bottom"/>
            <w:hideMark/>
          </w:tcPr>
          <w:p w14:paraId="6192552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Colombia</w:t>
            </w:r>
          </w:p>
        </w:tc>
        <w:tc>
          <w:tcPr>
            <w:tcW w:w="1308" w:type="dxa"/>
            <w:tcBorders>
              <w:top w:val="nil"/>
              <w:left w:val="nil"/>
              <w:bottom w:val="nil"/>
              <w:right w:val="nil"/>
            </w:tcBorders>
            <w:shd w:val="clear" w:color="auto" w:fill="D9D9D9" w:themeFill="background1" w:themeFillShade="D9"/>
            <w:noWrap/>
            <w:vAlign w:val="bottom"/>
            <w:hideMark/>
          </w:tcPr>
          <w:p w14:paraId="45DA7D9B"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America</w:t>
            </w:r>
          </w:p>
        </w:tc>
        <w:tc>
          <w:tcPr>
            <w:tcW w:w="594" w:type="dxa"/>
            <w:tcBorders>
              <w:top w:val="nil"/>
              <w:left w:val="nil"/>
              <w:bottom w:val="nil"/>
              <w:right w:val="nil"/>
            </w:tcBorders>
            <w:shd w:val="clear" w:color="000000" w:fill="F2F2F2"/>
            <w:noWrap/>
            <w:vAlign w:val="bottom"/>
            <w:hideMark/>
          </w:tcPr>
          <w:p w14:paraId="6A11907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3EE08B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745958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538531A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37CED1E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458270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4DEC8C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41CA71A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0E78212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319D12E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71EA650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831CFB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39F9D51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40702BF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A52A7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4000EDB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EAD3FC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c>
          <w:tcPr>
            <w:tcW w:w="596" w:type="dxa"/>
            <w:tcBorders>
              <w:top w:val="nil"/>
              <w:left w:val="nil"/>
              <w:bottom w:val="nil"/>
              <w:right w:val="nil"/>
            </w:tcBorders>
            <w:shd w:val="clear" w:color="000000" w:fill="D9D9D9"/>
            <w:noWrap/>
            <w:vAlign w:val="bottom"/>
            <w:hideMark/>
          </w:tcPr>
          <w:p w14:paraId="57759B0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495" w:type="dxa"/>
            <w:tcBorders>
              <w:top w:val="nil"/>
              <w:left w:val="nil"/>
              <w:bottom w:val="nil"/>
              <w:right w:val="nil"/>
            </w:tcBorders>
            <w:shd w:val="clear" w:color="000000" w:fill="F2F2F2"/>
            <w:noWrap/>
            <w:vAlign w:val="bottom"/>
            <w:hideMark/>
          </w:tcPr>
          <w:p w14:paraId="55C82ED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r>
      <w:tr w:rsidR="00306F5D" w:rsidRPr="00306F5D" w14:paraId="69A29C15"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178D6FF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ECU</w:t>
            </w:r>
          </w:p>
        </w:tc>
        <w:tc>
          <w:tcPr>
            <w:tcW w:w="1477" w:type="dxa"/>
            <w:tcBorders>
              <w:top w:val="nil"/>
              <w:left w:val="nil"/>
              <w:bottom w:val="nil"/>
              <w:right w:val="nil"/>
            </w:tcBorders>
            <w:shd w:val="clear" w:color="auto" w:fill="D9D9D9" w:themeFill="background1" w:themeFillShade="D9"/>
            <w:noWrap/>
            <w:vAlign w:val="bottom"/>
            <w:hideMark/>
          </w:tcPr>
          <w:p w14:paraId="280C1019"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Ecuador</w:t>
            </w:r>
          </w:p>
        </w:tc>
        <w:tc>
          <w:tcPr>
            <w:tcW w:w="1308" w:type="dxa"/>
            <w:tcBorders>
              <w:top w:val="nil"/>
              <w:left w:val="nil"/>
              <w:bottom w:val="nil"/>
              <w:right w:val="nil"/>
            </w:tcBorders>
            <w:shd w:val="clear" w:color="auto" w:fill="D9D9D9" w:themeFill="background1" w:themeFillShade="D9"/>
            <w:noWrap/>
            <w:vAlign w:val="bottom"/>
            <w:hideMark/>
          </w:tcPr>
          <w:p w14:paraId="71D2549D"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America</w:t>
            </w:r>
          </w:p>
        </w:tc>
        <w:tc>
          <w:tcPr>
            <w:tcW w:w="594" w:type="dxa"/>
            <w:tcBorders>
              <w:top w:val="nil"/>
              <w:left w:val="nil"/>
              <w:bottom w:val="nil"/>
              <w:right w:val="nil"/>
            </w:tcBorders>
            <w:shd w:val="clear" w:color="000000" w:fill="F2F2F2"/>
            <w:noWrap/>
            <w:vAlign w:val="bottom"/>
            <w:hideMark/>
          </w:tcPr>
          <w:p w14:paraId="2D04FA7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330911E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DFFA12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52D5584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5DA7E41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CE754A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1A83B6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4DFBADF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4B4EBF5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271047A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369A79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5F25090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2AD833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434CD18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50F1E5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00C5BA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55240FE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2.4</w:t>
            </w:r>
          </w:p>
        </w:tc>
        <w:tc>
          <w:tcPr>
            <w:tcW w:w="596" w:type="dxa"/>
            <w:tcBorders>
              <w:top w:val="nil"/>
              <w:left w:val="nil"/>
              <w:bottom w:val="nil"/>
              <w:right w:val="nil"/>
            </w:tcBorders>
            <w:shd w:val="clear" w:color="000000" w:fill="D9D9D9"/>
            <w:noWrap/>
            <w:vAlign w:val="bottom"/>
            <w:hideMark/>
          </w:tcPr>
          <w:p w14:paraId="6383A1C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495" w:type="dxa"/>
            <w:tcBorders>
              <w:top w:val="nil"/>
              <w:left w:val="nil"/>
              <w:bottom w:val="nil"/>
              <w:right w:val="nil"/>
            </w:tcBorders>
            <w:shd w:val="clear" w:color="000000" w:fill="F2F2F2"/>
            <w:noWrap/>
            <w:vAlign w:val="bottom"/>
            <w:hideMark/>
          </w:tcPr>
          <w:p w14:paraId="4BE34A3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r>
      <w:tr w:rsidR="00306F5D" w:rsidRPr="00306F5D" w14:paraId="3E605D0A"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1E4AC0C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PRY</w:t>
            </w:r>
          </w:p>
        </w:tc>
        <w:tc>
          <w:tcPr>
            <w:tcW w:w="1477" w:type="dxa"/>
            <w:tcBorders>
              <w:top w:val="nil"/>
              <w:left w:val="nil"/>
              <w:bottom w:val="nil"/>
              <w:right w:val="nil"/>
            </w:tcBorders>
            <w:shd w:val="clear" w:color="auto" w:fill="D9D9D9" w:themeFill="background1" w:themeFillShade="D9"/>
            <w:noWrap/>
            <w:vAlign w:val="bottom"/>
            <w:hideMark/>
          </w:tcPr>
          <w:p w14:paraId="34D1478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Paraguay</w:t>
            </w:r>
          </w:p>
        </w:tc>
        <w:tc>
          <w:tcPr>
            <w:tcW w:w="1308" w:type="dxa"/>
            <w:tcBorders>
              <w:top w:val="nil"/>
              <w:left w:val="nil"/>
              <w:bottom w:val="nil"/>
              <w:right w:val="nil"/>
            </w:tcBorders>
            <w:shd w:val="clear" w:color="auto" w:fill="D9D9D9" w:themeFill="background1" w:themeFillShade="D9"/>
            <w:noWrap/>
            <w:vAlign w:val="bottom"/>
            <w:hideMark/>
          </w:tcPr>
          <w:p w14:paraId="5BB23F0A"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America</w:t>
            </w:r>
          </w:p>
        </w:tc>
        <w:tc>
          <w:tcPr>
            <w:tcW w:w="594" w:type="dxa"/>
            <w:tcBorders>
              <w:top w:val="nil"/>
              <w:left w:val="nil"/>
              <w:bottom w:val="nil"/>
              <w:right w:val="nil"/>
            </w:tcBorders>
            <w:shd w:val="clear" w:color="000000" w:fill="F2F2F2"/>
            <w:noWrap/>
            <w:vAlign w:val="bottom"/>
            <w:hideMark/>
          </w:tcPr>
          <w:p w14:paraId="60294E8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2BB6807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36B0C8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0CCC72D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A5E1C6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2774C97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66225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3E3D44C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4F8539C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4507325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022BDF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0FDDC94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4A80676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3B0B27B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5FE8C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157D3D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165948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c>
          <w:tcPr>
            <w:tcW w:w="596" w:type="dxa"/>
            <w:tcBorders>
              <w:top w:val="nil"/>
              <w:left w:val="nil"/>
              <w:bottom w:val="nil"/>
              <w:right w:val="nil"/>
            </w:tcBorders>
            <w:shd w:val="clear" w:color="000000" w:fill="D9D9D9"/>
            <w:noWrap/>
            <w:vAlign w:val="bottom"/>
            <w:hideMark/>
          </w:tcPr>
          <w:p w14:paraId="50FEC65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495" w:type="dxa"/>
            <w:tcBorders>
              <w:top w:val="nil"/>
              <w:left w:val="nil"/>
              <w:bottom w:val="nil"/>
              <w:right w:val="nil"/>
            </w:tcBorders>
            <w:shd w:val="clear" w:color="000000" w:fill="F2F2F2"/>
            <w:noWrap/>
            <w:vAlign w:val="bottom"/>
            <w:hideMark/>
          </w:tcPr>
          <w:p w14:paraId="590C0D2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79FAE14D"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11DE2F5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PER</w:t>
            </w:r>
          </w:p>
        </w:tc>
        <w:tc>
          <w:tcPr>
            <w:tcW w:w="1477" w:type="dxa"/>
            <w:tcBorders>
              <w:top w:val="nil"/>
              <w:left w:val="nil"/>
              <w:bottom w:val="nil"/>
              <w:right w:val="nil"/>
            </w:tcBorders>
            <w:shd w:val="clear" w:color="auto" w:fill="D9D9D9" w:themeFill="background1" w:themeFillShade="D9"/>
            <w:noWrap/>
            <w:vAlign w:val="bottom"/>
            <w:hideMark/>
          </w:tcPr>
          <w:p w14:paraId="13CBB76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Peru</w:t>
            </w:r>
          </w:p>
        </w:tc>
        <w:tc>
          <w:tcPr>
            <w:tcW w:w="1308" w:type="dxa"/>
            <w:tcBorders>
              <w:top w:val="nil"/>
              <w:left w:val="nil"/>
              <w:bottom w:val="nil"/>
              <w:right w:val="nil"/>
            </w:tcBorders>
            <w:shd w:val="clear" w:color="auto" w:fill="D9D9D9" w:themeFill="background1" w:themeFillShade="D9"/>
            <w:noWrap/>
            <w:vAlign w:val="bottom"/>
            <w:hideMark/>
          </w:tcPr>
          <w:p w14:paraId="09471813"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America</w:t>
            </w:r>
          </w:p>
        </w:tc>
        <w:tc>
          <w:tcPr>
            <w:tcW w:w="594" w:type="dxa"/>
            <w:tcBorders>
              <w:top w:val="nil"/>
              <w:left w:val="nil"/>
              <w:bottom w:val="nil"/>
              <w:right w:val="nil"/>
            </w:tcBorders>
            <w:shd w:val="clear" w:color="000000" w:fill="F2F2F2"/>
            <w:noWrap/>
            <w:vAlign w:val="bottom"/>
            <w:hideMark/>
          </w:tcPr>
          <w:p w14:paraId="077352D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E3DD5F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5545AEE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D54D0C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69DA46D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75DCC3A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14BC3A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429E993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595" w:type="dxa"/>
            <w:tcBorders>
              <w:top w:val="nil"/>
              <w:left w:val="nil"/>
              <w:bottom w:val="nil"/>
              <w:right w:val="nil"/>
            </w:tcBorders>
            <w:shd w:val="clear" w:color="000000" w:fill="F2F2F2"/>
            <w:noWrap/>
            <w:vAlign w:val="bottom"/>
            <w:hideMark/>
          </w:tcPr>
          <w:p w14:paraId="5967C25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7C987A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0A503E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5592613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6BA9828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610270A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5A7B1D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D5D9D4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B66A9E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6" w:type="dxa"/>
            <w:tcBorders>
              <w:top w:val="nil"/>
              <w:left w:val="nil"/>
              <w:bottom w:val="nil"/>
              <w:right w:val="nil"/>
            </w:tcBorders>
            <w:shd w:val="clear" w:color="000000" w:fill="D9D9D9"/>
            <w:noWrap/>
            <w:vAlign w:val="bottom"/>
            <w:hideMark/>
          </w:tcPr>
          <w:p w14:paraId="7C90839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495" w:type="dxa"/>
            <w:tcBorders>
              <w:top w:val="nil"/>
              <w:left w:val="nil"/>
              <w:bottom w:val="nil"/>
              <w:right w:val="nil"/>
            </w:tcBorders>
            <w:shd w:val="clear" w:color="000000" w:fill="F2F2F2"/>
            <w:noWrap/>
            <w:vAlign w:val="bottom"/>
            <w:hideMark/>
          </w:tcPr>
          <w:p w14:paraId="4F152A0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619E40FA"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8A24A19"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URY</w:t>
            </w:r>
          </w:p>
        </w:tc>
        <w:tc>
          <w:tcPr>
            <w:tcW w:w="1477" w:type="dxa"/>
            <w:tcBorders>
              <w:top w:val="nil"/>
              <w:left w:val="nil"/>
              <w:bottom w:val="nil"/>
              <w:right w:val="nil"/>
            </w:tcBorders>
            <w:shd w:val="clear" w:color="auto" w:fill="D9D9D9" w:themeFill="background1" w:themeFillShade="D9"/>
            <w:noWrap/>
            <w:vAlign w:val="bottom"/>
            <w:hideMark/>
          </w:tcPr>
          <w:p w14:paraId="7501761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Uruguay</w:t>
            </w:r>
          </w:p>
        </w:tc>
        <w:tc>
          <w:tcPr>
            <w:tcW w:w="1308" w:type="dxa"/>
            <w:tcBorders>
              <w:top w:val="nil"/>
              <w:left w:val="nil"/>
              <w:bottom w:val="nil"/>
              <w:right w:val="nil"/>
            </w:tcBorders>
            <w:shd w:val="clear" w:color="auto" w:fill="D9D9D9" w:themeFill="background1" w:themeFillShade="D9"/>
            <w:noWrap/>
            <w:vAlign w:val="bottom"/>
            <w:hideMark/>
          </w:tcPr>
          <w:p w14:paraId="541D89AF"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America</w:t>
            </w:r>
          </w:p>
        </w:tc>
        <w:tc>
          <w:tcPr>
            <w:tcW w:w="594" w:type="dxa"/>
            <w:tcBorders>
              <w:top w:val="nil"/>
              <w:left w:val="nil"/>
              <w:bottom w:val="nil"/>
              <w:right w:val="nil"/>
            </w:tcBorders>
            <w:shd w:val="clear" w:color="000000" w:fill="F2F2F2"/>
            <w:noWrap/>
            <w:vAlign w:val="bottom"/>
            <w:hideMark/>
          </w:tcPr>
          <w:p w14:paraId="0C37D35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54B2B4F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6D5998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2B6FF7E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01856E2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76DF617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2AC401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5523C0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595" w:type="dxa"/>
            <w:tcBorders>
              <w:top w:val="nil"/>
              <w:left w:val="nil"/>
              <w:bottom w:val="nil"/>
              <w:right w:val="nil"/>
            </w:tcBorders>
            <w:shd w:val="clear" w:color="000000" w:fill="F2F2F2"/>
            <w:noWrap/>
            <w:vAlign w:val="bottom"/>
            <w:hideMark/>
          </w:tcPr>
          <w:p w14:paraId="57ADD0D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42329D0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ABF013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7C9E757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660E4CC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4DA508D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F51456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BE0285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6178FDC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c>
          <w:tcPr>
            <w:tcW w:w="596" w:type="dxa"/>
            <w:tcBorders>
              <w:top w:val="nil"/>
              <w:left w:val="nil"/>
              <w:bottom w:val="nil"/>
              <w:right w:val="nil"/>
            </w:tcBorders>
            <w:shd w:val="clear" w:color="000000" w:fill="D9D9D9"/>
            <w:noWrap/>
            <w:vAlign w:val="bottom"/>
            <w:hideMark/>
          </w:tcPr>
          <w:p w14:paraId="79ACA98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495" w:type="dxa"/>
            <w:tcBorders>
              <w:top w:val="nil"/>
              <w:left w:val="nil"/>
              <w:bottom w:val="nil"/>
              <w:right w:val="nil"/>
            </w:tcBorders>
            <w:shd w:val="clear" w:color="000000" w:fill="F2F2F2"/>
            <w:noWrap/>
            <w:vAlign w:val="bottom"/>
            <w:hideMark/>
          </w:tcPr>
          <w:p w14:paraId="6FEFE7D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10F69106"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F2FAC3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VEN</w:t>
            </w:r>
          </w:p>
        </w:tc>
        <w:tc>
          <w:tcPr>
            <w:tcW w:w="1477" w:type="dxa"/>
            <w:tcBorders>
              <w:top w:val="nil"/>
              <w:left w:val="nil"/>
              <w:bottom w:val="nil"/>
              <w:right w:val="nil"/>
            </w:tcBorders>
            <w:shd w:val="clear" w:color="auto" w:fill="D9D9D9" w:themeFill="background1" w:themeFillShade="D9"/>
            <w:noWrap/>
            <w:vAlign w:val="bottom"/>
            <w:hideMark/>
          </w:tcPr>
          <w:p w14:paraId="32EF457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Venezuela</w:t>
            </w:r>
          </w:p>
        </w:tc>
        <w:tc>
          <w:tcPr>
            <w:tcW w:w="1308" w:type="dxa"/>
            <w:tcBorders>
              <w:top w:val="nil"/>
              <w:left w:val="nil"/>
              <w:bottom w:val="nil"/>
              <w:right w:val="nil"/>
            </w:tcBorders>
            <w:shd w:val="clear" w:color="auto" w:fill="D9D9D9" w:themeFill="background1" w:themeFillShade="D9"/>
            <w:noWrap/>
            <w:vAlign w:val="bottom"/>
            <w:hideMark/>
          </w:tcPr>
          <w:p w14:paraId="20491E55"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America</w:t>
            </w:r>
          </w:p>
        </w:tc>
        <w:tc>
          <w:tcPr>
            <w:tcW w:w="594" w:type="dxa"/>
            <w:tcBorders>
              <w:top w:val="nil"/>
              <w:left w:val="nil"/>
              <w:bottom w:val="nil"/>
              <w:right w:val="nil"/>
            </w:tcBorders>
            <w:shd w:val="clear" w:color="000000" w:fill="F2F2F2"/>
            <w:noWrap/>
            <w:vAlign w:val="bottom"/>
            <w:hideMark/>
          </w:tcPr>
          <w:p w14:paraId="301D618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232FF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297F2B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0EA2B1B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28985B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40DB801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FCDDE8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57DFAC2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3ADC215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29F80A4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BAE3EE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56B0BF5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55AA7EF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08D5D9A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F0C4C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5D9699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60B3AFD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6" w:type="dxa"/>
            <w:tcBorders>
              <w:top w:val="nil"/>
              <w:left w:val="nil"/>
              <w:bottom w:val="nil"/>
              <w:right w:val="nil"/>
            </w:tcBorders>
            <w:shd w:val="clear" w:color="000000" w:fill="D9D9D9"/>
            <w:noWrap/>
            <w:vAlign w:val="bottom"/>
            <w:hideMark/>
          </w:tcPr>
          <w:p w14:paraId="686DFF4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495" w:type="dxa"/>
            <w:tcBorders>
              <w:top w:val="nil"/>
              <w:left w:val="nil"/>
              <w:bottom w:val="nil"/>
              <w:right w:val="nil"/>
            </w:tcBorders>
            <w:shd w:val="clear" w:color="000000" w:fill="F2F2F2"/>
            <w:noWrap/>
            <w:vAlign w:val="bottom"/>
            <w:hideMark/>
          </w:tcPr>
          <w:p w14:paraId="5EE84D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1F4867D8" w14:textId="77777777" w:rsidTr="002F18DD">
        <w:trPr>
          <w:trHeight w:val="255"/>
        </w:trPr>
        <w:tc>
          <w:tcPr>
            <w:tcW w:w="567" w:type="dxa"/>
            <w:tcBorders>
              <w:top w:val="single" w:sz="4" w:space="0" w:color="A6A6A6"/>
              <w:left w:val="nil"/>
              <w:bottom w:val="nil"/>
              <w:right w:val="nil"/>
            </w:tcBorders>
            <w:shd w:val="clear" w:color="auto" w:fill="D9D9D9" w:themeFill="background1" w:themeFillShade="D9"/>
            <w:noWrap/>
            <w:vAlign w:val="bottom"/>
            <w:hideMark/>
          </w:tcPr>
          <w:p w14:paraId="5E2658D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CRI</w:t>
            </w:r>
          </w:p>
        </w:tc>
        <w:tc>
          <w:tcPr>
            <w:tcW w:w="1477" w:type="dxa"/>
            <w:tcBorders>
              <w:top w:val="single" w:sz="4" w:space="0" w:color="A6A6A6"/>
              <w:left w:val="nil"/>
              <w:bottom w:val="nil"/>
              <w:right w:val="nil"/>
            </w:tcBorders>
            <w:shd w:val="clear" w:color="auto" w:fill="D9D9D9" w:themeFill="background1" w:themeFillShade="D9"/>
            <w:noWrap/>
            <w:vAlign w:val="bottom"/>
            <w:hideMark/>
          </w:tcPr>
          <w:p w14:paraId="002BED48"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Costa Rica</w:t>
            </w:r>
          </w:p>
        </w:tc>
        <w:tc>
          <w:tcPr>
            <w:tcW w:w="1308" w:type="dxa"/>
            <w:tcBorders>
              <w:top w:val="single" w:sz="4" w:space="0" w:color="A6A6A6"/>
              <w:left w:val="nil"/>
              <w:bottom w:val="nil"/>
              <w:right w:val="nil"/>
            </w:tcBorders>
            <w:shd w:val="clear" w:color="auto" w:fill="D9D9D9" w:themeFill="background1" w:themeFillShade="D9"/>
            <w:noWrap/>
            <w:vAlign w:val="bottom"/>
            <w:hideMark/>
          </w:tcPr>
          <w:p w14:paraId="303A9236"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Central America</w:t>
            </w:r>
          </w:p>
        </w:tc>
        <w:tc>
          <w:tcPr>
            <w:tcW w:w="594" w:type="dxa"/>
            <w:tcBorders>
              <w:top w:val="single" w:sz="4" w:space="0" w:color="A6A6A6"/>
              <w:left w:val="nil"/>
              <w:bottom w:val="nil"/>
              <w:right w:val="nil"/>
            </w:tcBorders>
            <w:shd w:val="clear" w:color="000000" w:fill="F2F2F2"/>
            <w:noWrap/>
            <w:vAlign w:val="bottom"/>
            <w:hideMark/>
          </w:tcPr>
          <w:p w14:paraId="5207FE2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single" w:sz="4" w:space="0" w:color="A6A6A6"/>
              <w:left w:val="nil"/>
              <w:bottom w:val="nil"/>
              <w:right w:val="nil"/>
            </w:tcBorders>
            <w:shd w:val="clear" w:color="000000" w:fill="F2F2F2"/>
            <w:noWrap/>
            <w:vAlign w:val="bottom"/>
            <w:hideMark/>
          </w:tcPr>
          <w:p w14:paraId="17AE12E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single" w:sz="4" w:space="0" w:color="A6A6A6"/>
              <w:left w:val="nil"/>
              <w:bottom w:val="nil"/>
              <w:right w:val="nil"/>
            </w:tcBorders>
            <w:shd w:val="clear" w:color="000000" w:fill="F2F2F2"/>
            <w:noWrap/>
            <w:vAlign w:val="bottom"/>
            <w:hideMark/>
          </w:tcPr>
          <w:p w14:paraId="0C1827F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D9D9D9"/>
            <w:noWrap/>
            <w:vAlign w:val="bottom"/>
            <w:hideMark/>
          </w:tcPr>
          <w:p w14:paraId="15C23F3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D9D9D9"/>
            <w:noWrap/>
            <w:vAlign w:val="bottom"/>
            <w:hideMark/>
          </w:tcPr>
          <w:p w14:paraId="57FF1C6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single" w:sz="4" w:space="0" w:color="A6A6A6"/>
              <w:left w:val="nil"/>
              <w:bottom w:val="nil"/>
              <w:right w:val="nil"/>
            </w:tcBorders>
            <w:shd w:val="clear" w:color="000000" w:fill="D9D9D9"/>
            <w:noWrap/>
            <w:vAlign w:val="bottom"/>
            <w:hideMark/>
          </w:tcPr>
          <w:p w14:paraId="70F29BC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264FDA4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single" w:sz="4" w:space="0" w:color="A6A6A6"/>
              <w:left w:val="nil"/>
              <w:bottom w:val="nil"/>
              <w:right w:val="nil"/>
            </w:tcBorders>
            <w:shd w:val="clear" w:color="000000" w:fill="F2F2F2"/>
            <w:noWrap/>
            <w:vAlign w:val="bottom"/>
            <w:hideMark/>
          </w:tcPr>
          <w:p w14:paraId="607557F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F2F2F2"/>
            <w:noWrap/>
            <w:vAlign w:val="bottom"/>
            <w:hideMark/>
          </w:tcPr>
          <w:p w14:paraId="10BC82D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single" w:sz="4" w:space="0" w:color="A6A6A6"/>
              <w:left w:val="nil"/>
              <w:bottom w:val="nil"/>
              <w:right w:val="nil"/>
            </w:tcBorders>
            <w:shd w:val="clear" w:color="000000" w:fill="D9D9D9"/>
            <w:noWrap/>
            <w:vAlign w:val="bottom"/>
            <w:hideMark/>
          </w:tcPr>
          <w:p w14:paraId="2AF418F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716FAC8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single" w:sz="4" w:space="0" w:color="A6A6A6"/>
              <w:left w:val="nil"/>
              <w:bottom w:val="nil"/>
              <w:right w:val="nil"/>
            </w:tcBorders>
            <w:shd w:val="clear" w:color="000000" w:fill="F2F2F2"/>
            <w:noWrap/>
            <w:vAlign w:val="bottom"/>
            <w:hideMark/>
          </w:tcPr>
          <w:p w14:paraId="643A923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single" w:sz="4" w:space="0" w:color="A6A6A6"/>
              <w:left w:val="nil"/>
              <w:bottom w:val="nil"/>
              <w:right w:val="nil"/>
            </w:tcBorders>
            <w:shd w:val="clear" w:color="000000" w:fill="D9D9D9"/>
            <w:noWrap/>
            <w:vAlign w:val="bottom"/>
            <w:hideMark/>
          </w:tcPr>
          <w:p w14:paraId="3608BD8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single" w:sz="4" w:space="0" w:color="A6A6A6"/>
              <w:left w:val="nil"/>
              <w:bottom w:val="nil"/>
              <w:right w:val="nil"/>
            </w:tcBorders>
            <w:shd w:val="clear" w:color="000000" w:fill="F2F2F2"/>
            <w:noWrap/>
            <w:vAlign w:val="bottom"/>
            <w:hideMark/>
          </w:tcPr>
          <w:p w14:paraId="085B7A3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386CAD8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single" w:sz="4" w:space="0" w:color="A6A6A6"/>
              <w:left w:val="nil"/>
              <w:bottom w:val="nil"/>
              <w:right w:val="nil"/>
            </w:tcBorders>
            <w:shd w:val="clear" w:color="000000" w:fill="F2F2F2"/>
            <w:noWrap/>
            <w:vAlign w:val="bottom"/>
            <w:hideMark/>
          </w:tcPr>
          <w:p w14:paraId="3C4AFA0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single" w:sz="4" w:space="0" w:color="A6A6A6"/>
              <w:left w:val="nil"/>
              <w:bottom w:val="nil"/>
              <w:right w:val="nil"/>
            </w:tcBorders>
            <w:shd w:val="clear" w:color="000000" w:fill="D9D9D9"/>
            <w:noWrap/>
            <w:vAlign w:val="bottom"/>
            <w:hideMark/>
          </w:tcPr>
          <w:p w14:paraId="236799E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2.1</w:t>
            </w:r>
          </w:p>
        </w:tc>
        <w:tc>
          <w:tcPr>
            <w:tcW w:w="596" w:type="dxa"/>
            <w:tcBorders>
              <w:top w:val="single" w:sz="4" w:space="0" w:color="A6A6A6"/>
              <w:left w:val="nil"/>
              <w:bottom w:val="nil"/>
              <w:right w:val="nil"/>
            </w:tcBorders>
            <w:shd w:val="clear" w:color="000000" w:fill="D9D9D9"/>
            <w:noWrap/>
            <w:vAlign w:val="bottom"/>
            <w:hideMark/>
          </w:tcPr>
          <w:p w14:paraId="5888940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single" w:sz="4" w:space="0" w:color="A6A6A6"/>
              <w:left w:val="nil"/>
              <w:bottom w:val="nil"/>
              <w:right w:val="nil"/>
            </w:tcBorders>
            <w:shd w:val="clear" w:color="000000" w:fill="F2F2F2"/>
            <w:noWrap/>
            <w:vAlign w:val="bottom"/>
            <w:hideMark/>
          </w:tcPr>
          <w:p w14:paraId="0AA2B6B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5AB071F7"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37C4896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GTM</w:t>
            </w:r>
          </w:p>
        </w:tc>
        <w:tc>
          <w:tcPr>
            <w:tcW w:w="1477" w:type="dxa"/>
            <w:tcBorders>
              <w:top w:val="nil"/>
              <w:left w:val="nil"/>
              <w:bottom w:val="nil"/>
              <w:right w:val="nil"/>
            </w:tcBorders>
            <w:shd w:val="clear" w:color="auto" w:fill="D9D9D9" w:themeFill="background1" w:themeFillShade="D9"/>
            <w:noWrap/>
            <w:vAlign w:val="bottom"/>
            <w:hideMark/>
          </w:tcPr>
          <w:p w14:paraId="09D74C1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Guatemala</w:t>
            </w:r>
          </w:p>
        </w:tc>
        <w:tc>
          <w:tcPr>
            <w:tcW w:w="1308" w:type="dxa"/>
            <w:tcBorders>
              <w:top w:val="nil"/>
              <w:left w:val="nil"/>
              <w:bottom w:val="nil"/>
              <w:right w:val="nil"/>
            </w:tcBorders>
            <w:shd w:val="clear" w:color="auto" w:fill="D9D9D9" w:themeFill="background1" w:themeFillShade="D9"/>
            <w:noWrap/>
            <w:vAlign w:val="bottom"/>
            <w:hideMark/>
          </w:tcPr>
          <w:p w14:paraId="238FFABC"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Central America</w:t>
            </w:r>
          </w:p>
        </w:tc>
        <w:tc>
          <w:tcPr>
            <w:tcW w:w="594" w:type="dxa"/>
            <w:tcBorders>
              <w:top w:val="nil"/>
              <w:left w:val="nil"/>
              <w:bottom w:val="nil"/>
              <w:right w:val="nil"/>
            </w:tcBorders>
            <w:shd w:val="clear" w:color="000000" w:fill="F2F2F2"/>
            <w:noWrap/>
            <w:vAlign w:val="bottom"/>
            <w:hideMark/>
          </w:tcPr>
          <w:p w14:paraId="6592BDF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498F558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AD0BB8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54B6758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6C73C7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54688B0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9AB9DD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57D2D6F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4E8E5CE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468E340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86FAA6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EE9A09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73C292E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0A8A7D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E08682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3907BB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8E78D9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2.0</w:t>
            </w:r>
          </w:p>
        </w:tc>
        <w:tc>
          <w:tcPr>
            <w:tcW w:w="596" w:type="dxa"/>
            <w:tcBorders>
              <w:top w:val="nil"/>
              <w:left w:val="nil"/>
              <w:bottom w:val="nil"/>
              <w:right w:val="nil"/>
            </w:tcBorders>
            <w:shd w:val="clear" w:color="000000" w:fill="D9D9D9"/>
            <w:noWrap/>
            <w:vAlign w:val="bottom"/>
            <w:hideMark/>
          </w:tcPr>
          <w:p w14:paraId="662F15A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375F363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1374436F"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3E10E639"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HND</w:t>
            </w:r>
          </w:p>
        </w:tc>
        <w:tc>
          <w:tcPr>
            <w:tcW w:w="1477" w:type="dxa"/>
            <w:tcBorders>
              <w:top w:val="nil"/>
              <w:left w:val="nil"/>
              <w:bottom w:val="nil"/>
              <w:right w:val="nil"/>
            </w:tcBorders>
            <w:shd w:val="clear" w:color="auto" w:fill="D9D9D9" w:themeFill="background1" w:themeFillShade="D9"/>
            <w:noWrap/>
            <w:vAlign w:val="bottom"/>
            <w:hideMark/>
          </w:tcPr>
          <w:p w14:paraId="295CFC37"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Honduras</w:t>
            </w:r>
          </w:p>
        </w:tc>
        <w:tc>
          <w:tcPr>
            <w:tcW w:w="1308" w:type="dxa"/>
            <w:tcBorders>
              <w:top w:val="nil"/>
              <w:left w:val="nil"/>
              <w:bottom w:val="nil"/>
              <w:right w:val="nil"/>
            </w:tcBorders>
            <w:shd w:val="clear" w:color="auto" w:fill="D9D9D9" w:themeFill="background1" w:themeFillShade="D9"/>
            <w:noWrap/>
            <w:vAlign w:val="bottom"/>
            <w:hideMark/>
          </w:tcPr>
          <w:p w14:paraId="6F4485D8"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Central America</w:t>
            </w:r>
          </w:p>
        </w:tc>
        <w:tc>
          <w:tcPr>
            <w:tcW w:w="594" w:type="dxa"/>
            <w:tcBorders>
              <w:top w:val="nil"/>
              <w:left w:val="nil"/>
              <w:bottom w:val="nil"/>
              <w:right w:val="nil"/>
            </w:tcBorders>
            <w:shd w:val="clear" w:color="000000" w:fill="F2F2F2"/>
            <w:noWrap/>
            <w:vAlign w:val="bottom"/>
            <w:hideMark/>
          </w:tcPr>
          <w:p w14:paraId="32CFB4B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553C2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595EED5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29C3DB5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59C1EC3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7F9118B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C6DC03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19736CD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7C229DB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57093EC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8B98B3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211DB42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0B956F2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7ED6C27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FF0885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19AB0B0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51D2154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2.2</w:t>
            </w:r>
          </w:p>
        </w:tc>
        <w:tc>
          <w:tcPr>
            <w:tcW w:w="596" w:type="dxa"/>
            <w:tcBorders>
              <w:top w:val="nil"/>
              <w:left w:val="nil"/>
              <w:bottom w:val="nil"/>
              <w:right w:val="nil"/>
            </w:tcBorders>
            <w:shd w:val="clear" w:color="000000" w:fill="D9D9D9"/>
            <w:noWrap/>
            <w:vAlign w:val="bottom"/>
            <w:hideMark/>
          </w:tcPr>
          <w:p w14:paraId="0388396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nil"/>
              <w:left w:val="nil"/>
              <w:bottom w:val="nil"/>
              <w:right w:val="nil"/>
            </w:tcBorders>
            <w:shd w:val="clear" w:color="000000" w:fill="F2F2F2"/>
            <w:noWrap/>
            <w:vAlign w:val="bottom"/>
            <w:hideMark/>
          </w:tcPr>
          <w:p w14:paraId="1C0F567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62CEE523"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E4BC20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NIC</w:t>
            </w:r>
          </w:p>
        </w:tc>
        <w:tc>
          <w:tcPr>
            <w:tcW w:w="1477" w:type="dxa"/>
            <w:tcBorders>
              <w:top w:val="nil"/>
              <w:left w:val="nil"/>
              <w:bottom w:val="nil"/>
              <w:right w:val="nil"/>
            </w:tcBorders>
            <w:shd w:val="clear" w:color="auto" w:fill="D9D9D9" w:themeFill="background1" w:themeFillShade="D9"/>
            <w:noWrap/>
            <w:vAlign w:val="bottom"/>
            <w:hideMark/>
          </w:tcPr>
          <w:p w14:paraId="6B5E818B"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Nicaragua</w:t>
            </w:r>
          </w:p>
        </w:tc>
        <w:tc>
          <w:tcPr>
            <w:tcW w:w="1308" w:type="dxa"/>
            <w:tcBorders>
              <w:top w:val="nil"/>
              <w:left w:val="nil"/>
              <w:bottom w:val="nil"/>
              <w:right w:val="nil"/>
            </w:tcBorders>
            <w:shd w:val="clear" w:color="auto" w:fill="D9D9D9" w:themeFill="background1" w:themeFillShade="D9"/>
            <w:noWrap/>
            <w:vAlign w:val="bottom"/>
            <w:hideMark/>
          </w:tcPr>
          <w:p w14:paraId="239CA1F7"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Central America</w:t>
            </w:r>
          </w:p>
        </w:tc>
        <w:tc>
          <w:tcPr>
            <w:tcW w:w="594" w:type="dxa"/>
            <w:tcBorders>
              <w:top w:val="nil"/>
              <w:left w:val="nil"/>
              <w:bottom w:val="nil"/>
              <w:right w:val="nil"/>
            </w:tcBorders>
            <w:shd w:val="clear" w:color="000000" w:fill="F2F2F2"/>
            <w:noWrap/>
            <w:vAlign w:val="bottom"/>
            <w:hideMark/>
          </w:tcPr>
          <w:p w14:paraId="4AFE4CE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18DA3C4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07462B6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29FC0B8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4553E0B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3DE1753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D59E46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4C9BB96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0D238B0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2799DF7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51DBF9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714C50B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17C120D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6714F5D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A29673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1168B45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8DA686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c>
          <w:tcPr>
            <w:tcW w:w="596" w:type="dxa"/>
            <w:tcBorders>
              <w:top w:val="nil"/>
              <w:left w:val="nil"/>
              <w:bottom w:val="nil"/>
              <w:right w:val="nil"/>
            </w:tcBorders>
            <w:shd w:val="clear" w:color="000000" w:fill="D9D9D9"/>
            <w:noWrap/>
            <w:vAlign w:val="bottom"/>
            <w:hideMark/>
          </w:tcPr>
          <w:p w14:paraId="6DE3531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495" w:type="dxa"/>
            <w:tcBorders>
              <w:top w:val="nil"/>
              <w:left w:val="nil"/>
              <w:bottom w:val="nil"/>
              <w:right w:val="nil"/>
            </w:tcBorders>
            <w:shd w:val="clear" w:color="000000" w:fill="F2F2F2"/>
            <w:noWrap/>
            <w:vAlign w:val="bottom"/>
            <w:hideMark/>
          </w:tcPr>
          <w:p w14:paraId="44F76AF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2511E20C"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36394908"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PAN</w:t>
            </w:r>
          </w:p>
        </w:tc>
        <w:tc>
          <w:tcPr>
            <w:tcW w:w="1477" w:type="dxa"/>
            <w:tcBorders>
              <w:top w:val="nil"/>
              <w:left w:val="nil"/>
              <w:bottom w:val="nil"/>
              <w:right w:val="nil"/>
            </w:tcBorders>
            <w:shd w:val="clear" w:color="auto" w:fill="D9D9D9" w:themeFill="background1" w:themeFillShade="D9"/>
            <w:noWrap/>
            <w:vAlign w:val="bottom"/>
            <w:hideMark/>
          </w:tcPr>
          <w:p w14:paraId="4EB37F2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Panama</w:t>
            </w:r>
          </w:p>
        </w:tc>
        <w:tc>
          <w:tcPr>
            <w:tcW w:w="1308" w:type="dxa"/>
            <w:tcBorders>
              <w:top w:val="nil"/>
              <w:left w:val="nil"/>
              <w:bottom w:val="nil"/>
              <w:right w:val="nil"/>
            </w:tcBorders>
            <w:shd w:val="clear" w:color="auto" w:fill="D9D9D9" w:themeFill="background1" w:themeFillShade="D9"/>
            <w:noWrap/>
            <w:vAlign w:val="bottom"/>
            <w:hideMark/>
          </w:tcPr>
          <w:p w14:paraId="57223E21"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Central America</w:t>
            </w:r>
          </w:p>
        </w:tc>
        <w:tc>
          <w:tcPr>
            <w:tcW w:w="594" w:type="dxa"/>
            <w:tcBorders>
              <w:top w:val="nil"/>
              <w:left w:val="nil"/>
              <w:bottom w:val="nil"/>
              <w:right w:val="nil"/>
            </w:tcBorders>
            <w:shd w:val="clear" w:color="000000" w:fill="F2F2F2"/>
            <w:noWrap/>
            <w:vAlign w:val="bottom"/>
            <w:hideMark/>
          </w:tcPr>
          <w:p w14:paraId="57B669F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0C0B9A0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3421811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046356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1E84D9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77F58E2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25AF7B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16DCD11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304F058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6293C42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9D95AF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0283C28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13CA4DC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5316562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AF43A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66ECE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3E5CBF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2.5</w:t>
            </w:r>
          </w:p>
        </w:tc>
        <w:tc>
          <w:tcPr>
            <w:tcW w:w="596" w:type="dxa"/>
            <w:tcBorders>
              <w:top w:val="nil"/>
              <w:left w:val="nil"/>
              <w:bottom w:val="nil"/>
              <w:right w:val="nil"/>
            </w:tcBorders>
            <w:shd w:val="clear" w:color="000000" w:fill="D9D9D9"/>
            <w:noWrap/>
            <w:vAlign w:val="bottom"/>
            <w:hideMark/>
          </w:tcPr>
          <w:p w14:paraId="21CF44C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495" w:type="dxa"/>
            <w:tcBorders>
              <w:top w:val="nil"/>
              <w:left w:val="nil"/>
              <w:bottom w:val="nil"/>
              <w:right w:val="nil"/>
            </w:tcBorders>
            <w:shd w:val="clear" w:color="000000" w:fill="F2F2F2"/>
            <w:noWrap/>
            <w:vAlign w:val="bottom"/>
            <w:hideMark/>
          </w:tcPr>
          <w:p w14:paraId="278E9C6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5A241351"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3A19B1A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SLV</w:t>
            </w:r>
          </w:p>
        </w:tc>
        <w:tc>
          <w:tcPr>
            <w:tcW w:w="1477" w:type="dxa"/>
            <w:tcBorders>
              <w:top w:val="nil"/>
              <w:left w:val="nil"/>
              <w:bottom w:val="nil"/>
              <w:right w:val="nil"/>
            </w:tcBorders>
            <w:shd w:val="clear" w:color="auto" w:fill="D9D9D9" w:themeFill="background1" w:themeFillShade="D9"/>
            <w:noWrap/>
            <w:vAlign w:val="bottom"/>
            <w:hideMark/>
          </w:tcPr>
          <w:p w14:paraId="06C18F4B"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El Salvador</w:t>
            </w:r>
          </w:p>
        </w:tc>
        <w:tc>
          <w:tcPr>
            <w:tcW w:w="1308" w:type="dxa"/>
            <w:tcBorders>
              <w:top w:val="nil"/>
              <w:left w:val="nil"/>
              <w:bottom w:val="nil"/>
              <w:right w:val="nil"/>
            </w:tcBorders>
            <w:shd w:val="clear" w:color="auto" w:fill="D9D9D9" w:themeFill="background1" w:themeFillShade="D9"/>
            <w:noWrap/>
            <w:vAlign w:val="bottom"/>
            <w:hideMark/>
          </w:tcPr>
          <w:p w14:paraId="4AA2DD21"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Central America</w:t>
            </w:r>
          </w:p>
        </w:tc>
        <w:tc>
          <w:tcPr>
            <w:tcW w:w="594" w:type="dxa"/>
            <w:tcBorders>
              <w:top w:val="nil"/>
              <w:left w:val="nil"/>
              <w:bottom w:val="nil"/>
              <w:right w:val="nil"/>
            </w:tcBorders>
            <w:shd w:val="clear" w:color="000000" w:fill="F2F2F2"/>
            <w:noWrap/>
            <w:vAlign w:val="bottom"/>
            <w:hideMark/>
          </w:tcPr>
          <w:p w14:paraId="650A0D4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4DAB87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883A45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D459F4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2FBA38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3ABC87D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DB5412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5D91C93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3CE11E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236072D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623252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D54609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3909850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3D40212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0457C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4C48EC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63A69F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nil"/>
              <w:left w:val="nil"/>
              <w:bottom w:val="nil"/>
              <w:right w:val="nil"/>
            </w:tcBorders>
            <w:shd w:val="clear" w:color="000000" w:fill="D9D9D9"/>
            <w:noWrap/>
            <w:vAlign w:val="bottom"/>
            <w:hideMark/>
          </w:tcPr>
          <w:p w14:paraId="0A4742A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6AD3CB1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0C529558" w14:textId="77777777" w:rsidTr="002F18DD">
        <w:trPr>
          <w:trHeight w:val="255"/>
        </w:trPr>
        <w:tc>
          <w:tcPr>
            <w:tcW w:w="567" w:type="dxa"/>
            <w:tcBorders>
              <w:top w:val="single" w:sz="4" w:space="0" w:color="A6A6A6"/>
              <w:left w:val="nil"/>
              <w:bottom w:val="nil"/>
              <w:right w:val="nil"/>
            </w:tcBorders>
            <w:shd w:val="clear" w:color="auto" w:fill="D9D9D9" w:themeFill="background1" w:themeFillShade="D9"/>
            <w:noWrap/>
            <w:vAlign w:val="bottom"/>
            <w:hideMark/>
          </w:tcPr>
          <w:p w14:paraId="3505E6F7"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DOM</w:t>
            </w:r>
          </w:p>
        </w:tc>
        <w:tc>
          <w:tcPr>
            <w:tcW w:w="1477" w:type="dxa"/>
            <w:tcBorders>
              <w:top w:val="single" w:sz="4" w:space="0" w:color="A6A6A6"/>
              <w:left w:val="nil"/>
              <w:bottom w:val="nil"/>
              <w:right w:val="nil"/>
            </w:tcBorders>
            <w:shd w:val="clear" w:color="auto" w:fill="D9D9D9" w:themeFill="background1" w:themeFillShade="D9"/>
            <w:noWrap/>
            <w:vAlign w:val="bottom"/>
            <w:hideMark/>
          </w:tcPr>
          <w:p w14:paraId="3E7A51B8" w14:textId="2C38A38F" w:rsidR="00306F5D" w:rsidRPr="00306F5D" w:rsidRDefault="00D11CE7" w:rsidP="00306F5D">
            <w:pPr>
              <w:spacing w:after="0" w:line="240" w:lineRule="auto"/>
              <w:rPr>
                <w:rFonts w:asciiTheme="majorHAnsi" w:eastAsia="Times New Roman" w:hAnsiTheme="majorHAnsi" w:cstheme="majorHAnsi"/>
                <w:color w:val="000000"/>
                <w:sz w:val="20"/>
                <w:szCs w:val="20"/>
                <w:lang w:eastAsia="en-GB"/>
              </w:rPr>
            </w:pPr>
            <w:r>
              <w:rPr>
                <w:rFonts w:asciiTheme="majorHAnsi" w:eastAsia="Times New Roman" w:hAnsiTheme="majorHAnsi" w:cstheme="majorHAnsi"/>
                <w:color w:val="000000"/>
                <w:sz w:val="18"/>
                <w:szCs w:val="20"/>
                <w:lang w:eastAsia="en-GB"/>
              </w:rPr>
              <w:t xml:space="preserve">Dominican </w:t>
            </w:r>
            <w:proofErr w:type="spellStart"/>
            <w:r>
              <w:rPr>
                <w:rFonts w:asciiTheme="majorHAnsi" w:eastAsia="Times New Roman" w:hAnsiTheme="majorHAnsi" w:cstheme="majorHAnsi"/>
                <w:color w:val="000000"/>
                <w:sz w:val="18"/>
                <w:szCs w:val="20"/>
                <w:lang w:eastAsia="en-GB"/>
              </w:rPr>
              <w:t>Repub</w:t>
            </w:r>
            <w:proofErr w:type="spellEnd"/>
            <w:r>
              <w:rPr>
                <w:rFonts w:asciiTheme="majorHAnsi" w:eastAsia="Times New Roman" w:hAnsiTheme="majorHAnsi" w:cstheme="majorHAnsi"/>
                <w:color w:val="000000"/>
                <w:sz w:val="18"/>
                <w:szCs w:val="20"/>
                <w:lang w:eastAsia="en-GB"/>
              </w:rPr>
              <w:t>’</w:t>
            </w:r>
          </w:p>
        </w:tc>
        <w:tc>
          <w:tcPr>
            <w:tcW w:w="1308" w:type="dxa"/>
            <w:tcBorders>
              <w:top w:val="single" w:sz="4" w:space="0" w:color="A6A6A6"/>
              <w:left w:val="nil"/>
              <w:bottom w:val="nil"/>
              <w:right w:val="nil"/>
            </w:tcBorders>
            <w:shd w:val="clear" w:color="auto" w:fill="D9D9D9" w:themeFill="background1" w:themeFillShade="D9"/>
            <w:noWrap/>
            <w:vAlign w:val="bottom"/>
            <w:hideMark/>
          </w:tcPr>
          <w:p w14:paraId="759DDE53"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Caribbean</w:t>
            </w:r>
          </w:p>
        </w:tc>
        <w:tc>
          <w:tcPr>
            <w:tcW w:w="594" w:type="dxa"/>
            <w:tcBorders>
              <w:top w:val="single" w:sz="4" w:space="0" w:color="A6A6A6"/>
              <w:left w:val="nil"/>
              <w:bottom w:val="nil"/>
              <w:right w:val="nil"/>
            </w:tcBorders>
            <w:shd w:val="clear" w:color="000000" w:fill="F2F2F2"/>
            <w:noWrap/>
            <w:vAlign w:val="bottom"/>
            <w:hideMark/>
          </w:tcPr>
          <w:p w14:paraId="4467183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single" w:sz="4" w:space="0" w:color="A6A6A6"/>
              <w:left w:val="nil"/>
              <w:bottom w:val="nil"/>
              <w:right w:val="nil"/>
            </w:tcBorders>
            <w:shd w:val="clear" w:color="000000" w:fill="F2F2F2"/>
            <w:noWrap/>
            <w:vAlign w:val="bottom"/>
            <w:hideMark/>
          </w:tcPr>
          <w:p w14:paraId="42194F7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single" w:sz="4" w:space="0" w:color="A6A6A6"/>
              <w:left w:val="nil"/>
              <w:bottom w:val="nil"/>
              <w:right w:val="nil"/>
            </w:tcBorders>
            <w:shd w:val="clear" w:color="000000" w:fill="F2F2F2"/>
            <w:noWrap/>
            <w:vAlign w:val="bottom"/>
            <w:hideMark/>
          </w:tcPr>
          <w:p w14:paraId="600BA09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D9D9D9"/>
            <w:noWrap/>
            <w:vAlign w:val="bottom"/>
            <w:hideMark/>
          </w:tcPr>
          <w:p w14:paraId="391C987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D9D9D9"/>
            <w:noWrap/>
            <w:vAlign w:val="bottom"/>
            <w:hideMark/>
          </w:tcPr>
          <w:p w14:paraId="1911343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single" w:sz="4" w:space="0" w:color="A6A6A6"/>
              <w:left w:val="nil"/>
              <w:bottom w:val="nil"/>
              <w:right w:val="nil"/>
            </w:tcBorders>
            <w:shd w:val="clear" w:color="000000" w:fill="D9D9D9"/>
            <w:noWrap/>
            <w:vAlign w:val="bottom"/>
            <w:hideMark/>
          </w:tcPr>
          <w:p w14:paraId="440D03E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425BEAF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F2F2F2"/>
            <w:noWrap/>
            <w:vAlign w:val="bottom"/>
            <w:hideMark/>
          </w:tcPr>
          <w:p w14:paraId="5B52FAF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F2F2F2"/>
            <w:noWrap/>
            <w:vAlign w:val="bottom"/>
            <w:hideMark/>
          </w:tcPr>
          <w:p w14:paraId="19720C9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single" w:sz="4" w:space="0" w:color="A6A6A6"/>
              <w:left w:val="nil"/>
              <w:bottom w:val="nil"/>
              <w:right w:val="nil"/>
            </w:tcBorders>
            <w:shd w:val="clear" w:color="000000" w:fill="D9D9D9"/>
            <w:noWrap/>
            <w:vAlign w:val="bottom"/>
            <w:hideMark/>
          </w:tcPr>
          <w:p w14:paraId="475A3EF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6C2F885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single" w:sz="4" w:space="0" w:color="A6A6A6"/>
              <w:left w:val="nil"/>
              <w:bottom w:val="nil"/>
              <w:right w:val="nil"/>
            </w:tcBorders>
            <w:shd w:val="clear" w:color="000000" w:fill="F2F2F2"/>
            <w:noWrap/>
            <w:vAlign w:val="bottom"/>
            <w:hideMark/>
          </w:tcPr>
          <w:p w14:paraId="768D506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single" w:sz="4" w:space="0" w:color="A6A6A6"/>
              <w:left w:val="nil"/>
              <w:bottom w:val="nil"/>
              <w:right w:val="nil"/>
            </w:tcBorders>
            <w:shd w:val="clear" w:color="000000" w:fill="D9D9D9"/>
            <w:noWrap/>
            <w:vAlign w:val="bottom"/>
            <w:hideMark/>
          </w:tcPr>
          <w:p w14:paraId="2653976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single" w:sz="4" w:space="0" w:color="A6A6A6"/>
              <w:left w:val="nil"/>
              <w:bottom w:val="nil"/>
              <w:right w:val="nil"/>
            </w:tcBorders>
            <w:shd w:val="clear" w:color="000000" w:fill="F2F2F2"/>
            <w:noWrap/>
            <w:vAlign w:val="bottom"/>
            <w:hideMark/>
          </w:tcPr>
          <w:p w14:paraId="6FE4259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1E83875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single" w:sz="4" w:space="0" w:color="A6A6A6"/>
              <w:left w:val="nil"/>
              <w:bottom w:val="nil"/>
              <w:right w:val="nil"/>
            </w:tcBorders>
            <w:shd w:val="clear" w:color="000000" w:fill="F2F2F2"/>
            <w:noWrap/>
            <w:vAlign w:val="bottom"/>
            <w:hideMark/>
          </w:tcPr>
          <w:p w14:paraId="36EB30B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single" w:sz="4" w:space="0" w:color="A6A6A6"/>
              <w:left w:val="nil"/>
              <w:bottom w:val="nil"/>
              <w:right w:val="nil"/>
            </w:tcBorders>
            <w:shd w:val="clear" w:color="000000" w:fill="D9D9D9"/>
            <w:noWrap/>
            <w:vAlign w:val="bottom"/>
            <w:hideMark/>
          </w:tcPr>
          <w:p w14:paraId="77B9248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single" w:sz="4" w:space="0" w:color="A6A6A6"/>
              <w:left w:val="nil"/>
              <w:bottom w:val="nil"/>
              <w:right w:val="nil"/>
            </w:tcBorders>
            <w:shd w:val="clear" w:color="000000" w:fill="D9D9D9"/>
            <w:noWrap/>
            <w:vAlign w:val="bottom"/>
            <w:hideMark/>
          </w:tcPr>
          <w:p w14:paraId="14BB9B3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single" w:sz="4" w:space="0" w:color="A6A6A6"/>
              <w:left w:val="nil"/>
              <w:bottom w:val="nil"/>
              <w:right w:val="nil"/>
            </w:tcBorders>
            <w:shd w:val="clear" w:color="000000" w:fill="F2F2F2"/>
            <w:noWrap/>
            <w:vAlign w:val="bottom"/>
            <w:hideMark/>
          </w:tcPr>
          <w:p w14:paraId="7C3EB27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40E4BC7F"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5738175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JAM</w:t>
            </w:r>
          </w:p>
        </w:tc>
        <w:tc>
          <w:tcPr>
            <w:tcW w:w="1477" w:type="dxa"/>
            <w:tcBorders>
              <w:top w:val="nil"/>
              <w:left w:val="nil"/>
              <w:bottom w:val="nil"/>
              <w:right w:val="nil"/>
            </w:tcBorders>
            <w:shd w:val="clear" w:color="auto" w:fill="D9D9D9" w:themeFill="background1" w:themeFillShade="D9"/>
            <w:noWrap/>
            <w:vAlign w:val="bottom"/>
            <w:hideMark/>
          </w:tcPr>
          <w:p w14:paraId="1DE3BA8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Jamaica</w:t>
            </w:r>
          </w:p>
        </w:tc>
        <w:tc>
          <w:tcPr>
            <w:tcW w:w="1308" w:type="dxa"/>
            <w:tcBorders>
              <w:top w:val="nil"/>
              <w:left w:val="nil"/>
              <w:bottom w:val="nil"/>
              <w:right w:val="nil"/>
            </w:tcBorders>
            <w:shd w:val="clear" w:color="auto" w:fill="D9D9D9" w:themeFill="background1" w:themeFillShade="D9"/>
            <w:noWrap/>
            <w:vAlign w:val="bottom"/>
            <w:hideMark/>
          </w:tcPr>
          <w:p w14:paraId="447670D4"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Caribbean</w:t>
            </w:r>
          </w:p>
        </w:tc>
        <w:tc>
          <w:tcPr>
            <w:tcW w:w="594" w:type="dxa"/>
            <w:tcBorders>
              <w:top w:val="nil"/>
              <w:left w:val="nil"/>
              <w:bottom w:val="nil"/>
              <w:right w:val="nil"/>
            </w:tcBorders>
            <w:shd w:val="clear" w:color="000000" w:fill="F2F2F2"/>
            <w:noWrap/>
            <w:vAlign w:val="bottom"/>
            <w:hideMark/>
          </w:tcPr>
          <w:p w14:paraId="0ED354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5C6DCEC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BA1A6F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038F3E4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955F1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611CD50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A25E2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0A5D415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36A0B12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4DB8D30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6846D5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16271A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18ADDF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616877B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FC617C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D8AF4C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6DD34D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nil"/>
              <w:left w:val="nil"/>
              <w:bottom w:val="nil"/>
              <w:right w:val="nil"/>
            </w:tcBorders>
            <w:shd w:val="clear" w:color="000000" w:fill="D9D9D9"/>
            <w:noWrap/>
            <w:vAlign w:val="bottom"/>
            <w:hideMark/>
          </w:tcPr>
          <w:p w14:paraId="6F41A92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4503E13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78F63973"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2203E16"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PRI</w:t>
            </w:r>
          </w:p>
        </w:tc>
        <w:tc>
          <w:tcPr>
            <w:tcW w:w="1477" w:type="dxa"/>
            <w:tcBorders>
              <w:top w:val="nil"/>
              <w:left w:val="nil"/>
              <w:bottom w:val="nil"/>
              <w:right w:val="nil"/>
            </w:tcBorders>
            <w:shd w:val="clear" w:color="auto" w:fill="D9D9D9" w:themeFill="background1" w:themeFillShade="D9"/>
            <w:noWrap/>
            <w:vAlign w:val="bottom"/>
            <w:hideMark/>
          </w:tcPr>
          <w:p w14:paraId="49FAA5B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Puerto Rico</w:t>
            </w:r>
          </w:p>
        </w:tc>
        <w:tc>
          <w:tcPr>
            <w:tcW w:w="1308" w:type="dxa"/>
            <w:tcBorders>
              <w:top w:val="nil"/>
              <w:left w:val="nil"/>
              <w:bottom w:val="nil"/>
              <w:right w:val="nil"/>
            </w:tcBorders>
            <w:shd w:val="clear" w:color="auto" w:fill="D9D9D9" w:themeFill="background1" w:themeFillShade="D9"/>
            <w:noWrap/>
            <w:vAlign w:val="bottom"/>
            <w:hideMark/>
          </w:tcPr>
          <w:p w14:paraId="2FB326A8"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Caribbean</w:t>
            </w:r>
          </w:p>
        </w:tc>
        <w:tc>
          <w:tcPr>
            <w:tcW w:w="594" w:type="dxa"/>
            <w:tcBorders>
              <w:top w:val="nil"/>
              <w:left w:val="nil"/>
              <w:bottom w:val="nil"/>
              <w:right w:val="nil"/>
            </w:tcBorders>
            <w:shd w:val="clear" w:color="000000" w:fill="F2F2F2"/>
            <w:noWrap/>
            <w:vAlign w:val="bottom"/>
            <w:hideMark/>
          </w:tcPr>
          <w:p w14:paraId="06DECD1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4" w:type="dxa"/>
            <w:tcBorders>
              <w:top w:val="nil"/>
              <w:left w:val="nil"/>
              <w:bottom w:val="nil"/>
              <w:right w:val="nil"/>
            </w:tcBorders>
            <w:shd w:val="clear" w:color="000000" w:fill="F2F2F2"/>
            <w:noWrap/>
            <w:vAlign w:val="bottom"/>
            <w:hideMark/>
          </w:tcPr>
          <w:p w14:paraId="2C6E4E2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EB84E5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1FA206D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5EE536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43019D2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FF7F1F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560A34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609471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39DA9C1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2A41EA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3D392B9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5549EC7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1000617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9A74DA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25B919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DEDC42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1.8</w:t>
            </w:r>
          </w:p>
        </w:tc>
        <w:tc>
          <w:tcPr>
            <w:tcW w:w="596" w:type="dxa"/>
            <w:tcBorders>
              <w:top w:val="nil"/>
              <w:left w:val="nil"/>
              <w:bottom w:val="nil"/>
              <w:right w:val="nil"/>
            </w:tcBorders>
            <w:shd w:val="clear" w:color="000000" w:fill="D9D9D9"/>
            <w:noWrap/>
            <w:vAlign w:val="bottom"/>
            <w:hideMark/>
          </w:tcPr>
          <w:p w14:paraId="158A9B4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0174CD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6A58EE45"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1906EF7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TTO</w:t>
            </w:r>
          </w:p>
        </w:tc>
        <w:tc>
          <w:tcPr>
            <w:tcW w:w="1477" w:type="dxa"/>
            <w:tcBorders>
              <w:top w:val="nil"/>
              <w:left w:val="nil"/>
              <w:bottom w:val="nil"/>
              <w:right w:val="nil"/>
            </w:tcBorders>
            <w:shd w:val="clear" w:color="auto" w:fill="D9D9D9" w:themeFill="background1" w:themeFillShade="D9"/>
            <w:noWrap/>
            <w:vAlign w:val="bottom"/>
            <w:hideMark/>
          </w:tcPr>
          <w:p w14:paraId="3A1E2D0E" w14:textId="65CA7662" w:rsidR="00306F5D" w:rsidRPr="00306F5D" w:rsidRDefault="00306F5D" w:rsidP="00D11CE7">
            <w:pPr>
              <w:spacing w:after="0" w:line="240" w:lineRule="auto"/>
              <w:rPr>
                <w:rFonts w:asciiTheme="majorHAnsi" w:eastAsia="Times New Roman" w:hAnsiTheme="majorHAnsi" w:cstheme="majorHAnsi"/>
                <w:color w:val="000000"/>
                <w:sz w:val="20"/>
                <w:szCs w:val="20"/>
                <w:lang w:eastAsia="en-GB"/>
              </w:rPr>
            </w:pPr>
            <w:r w:rsidRPr="00D11CE7">
              <w:rPr>
                <w:rFonts w:asciiTheme="majorHAnsi" w:eastAsia="Times New Roman" w:hAnsiTheme="majorHAnsi" w:cstheme="majorHAnsi"/>
                <w:color w:val="000000"/>
                <w:sz w:val="18"/>
                <w:szCs w:val="20"/>
                <w:lang w:eastAsia="en-GB"/>
              </w:rPr>
              <w:t xml:space="preserve">Trinidad </w:t>
            </w:r>
            <w:r w:rsidR="00D11CE7" w:rsidRPr="00D11CE7">
              <w:rPr>
                <w:rFonts w:asciiTheme="majorHAnsi" w:eastAsia="Times New Roman" w:hAnsiTheme="majorHAnsi" w:cstheme="majorHAnsi"/>
                <w:color w:val="000000"/>
                <w:sz w:val="18"/>
                <w:szCs w:val="20"/>
                <w:lang w:eastAsia="en-GB"/>
              </w:rPr>
              <w:t>&amp;</w:t>
            </w:r>
            <w:r w:rsidRPr="00D11CE7">
              <w:rPr>
                <w:rFonts w:asciiTheme="majorHAnsi" w:eastAsia="Times New Roman" w:hAnsiTheme="majorHAnsi" w:cstheme="majorHAnsi"/>
                <w:color w:val="000000"/>
                <w:sz w:val="18"/>
                <w:szCs w:val="20"/>
                <w:lang w:eastAsia="en-GB"/>
              </w:rPr>
              <w:t xml:space="preserve"> Tobago</w:t>
            </w:r>
          </w:p>
        </w:tc>
        <w:tc>
          <w:tcPr>
            <w:tcW w:w="1308" w:type="dxa"/>
            <w:tcBorders>
              <w:top w:val="nil"/>
              <w:left w:val="nil"/>
              <w:bottom w:val="nil"/>
              <w:right w:val="nil"/>
            </w:tcBorders>
            <w:shd w:val="clear" w:color="auto" w:fill="D9D9D9" w:themeFill="background1" w:themeFillShade="D9"/>
            <w:noWrap/>
            <w:vAlign w:val="bottom"/>
            <w:hideMark/>
          </w:tcPr>
          <w:p w14:paraId="32B35717"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Caribbean</w:t>
            </w:r>
          </w:p>
        </w:tc>
        <w:tc>
          <w:tcPr>
            <w:tcW w:w="594" w:type="dxa"/>
            <w:tcBorders>
              <w:top w:val="nil"/>
              <w:left w:val="nil"/>
              <w:bottom w:val="nil"/>
              <w:right w:val="nil"/>
            </w:tcBorders>
            <w:shd w:val="clear" w:color="000000" w:fill="F2F2F2"/>
            <w:noWrap/>
            <w:vAlign w:val="bottom"/>
            <w:hideMark/>
          </w:tcPr>
          <w:p w14:paraId="2520E18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977C4A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02C08D7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2FFF003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64B91C5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2C815A4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971F8E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2466102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7A86936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17D13A6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0BA113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0D33C46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160341B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15FD0B8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7B12D0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5318B1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55FF91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nil"/>
              <w:left w:val="nil"/>
              <w:bottom w:val="nil"/>
              <w:right w:val="nil"/>
            </w:tcBorders>
            <w:shd w:val="clear" w:color="000000" w:fill="D9D9D9"/>
            <w:noWrap/>
            <w:vAlign w:val="bottom"/>
            <w:hideMark/>
          </w:tcPr>
          <w:p w14:paraId="7DE3A7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21A8F8A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46037CAD" w14:textId="77777777" w:rsidTr="002F18DD">
        <w:trPr>
          <w:trHeight w:val="255"/>
        </w:trPr>
        <w:tc>
          <w:tcPr>
            <w:tcW w:w="567" w:type="dxa"/>
            <w:tcBorders>
              <w:top w:val="single" w:sz="4" w:space="0" w:color="A6A6A6"/>
              <w:left w:val="nil"/>
              <w:bottom w:val="nil"/>
              <w:right w:val="nil"/>
            </w:tcBorders>
            <w:shd w:val="clear" w:color="auto" w:fill="D9D9D9" w:themeFill="background1" w:themeFillShade="D9"/>
            <w:noWrap/>
            <w:vAlign w:val="bottom"/>
            <w:hideMark/>
          </w:tcPr>
          <w:p w14:paraId="70B9BCB5"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AUT</w:t>
            </w:r>
          </w:p>
        </w:tc>
        <w:tc>
          <w:tcPr>
            <w:tcW w:w="1477" w:type="dxa"/>
            <w:tcBorders>
              <w:top w:val="single" w:sz="4" w:space="0" w:color="A6A6A6"/>
              <w:left w:val="nil"/>
              <w:bottom w:val="nil"/>
              <w:right w:val="nil"/>
            </w:tcBorders>
            <w:shd w:val="clear" w:color="auto" w:fill="D9D9D9" w:themeFill="background1" w:themeFillShade="D9"/>
            <w:noWrap/>
            <w:vAlign w:val="bottom"/>
            <w:hideMark/>
          </w:tcPr>
          <w:p w14:paraId="20895E5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Austria</w:t>
            </w:r>
          </w:p>
        </w:tc>
        <w:tc>
          <w:tcPr>
            <w:tcW w:w="1308" w:type="dxa"/>
            <w:tcBorders>
              <w:top w:val="single" w:sz="4" w:space="0" w:color="A6A6A6"/>
              <w:left w:val="nil"/>
              <w:bottom w:val="nil"/>
              <w:right w:val="nil"/>
            </w:tcBorders>
            <w:shd w:val="clear" w:color="auto" w:fill="D9D9D9" w:themeFill="background1" w:themeFillShade="D9"/>
            <w:noWrap/>
            <w:vAlign w:val="bottom"/>
            <w:hideMark/>
          </w:tcPr>
          <w:p w14:paraId="50F43F4A"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single" w:sz="4" w:space="0" w:color="A6A6A6"/>
              <w:left w:val="nil"/>
              <w:bottom w:val="nil"/>
              <w:right w:val="nil"/>
            </w:tcBorders>
            <w:shd w:val="clear" w:color="000000" w:fill="F2F2F2"/>
            <w:noWrap/>
            <w:vAlign w:val="bottom"/>
            <w:hideMark/>
          </w:tcPr>
          <w:p w14:paraId="452CC90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single" w:sz="4" w:space="0" w:color="A6A6A6"/>
              <w:left w:val="nil"/>
              <w:bottom w:val="nil"/>
              <w:right w:val="nil"/>
            </w:tcBorders>
            <w:shd w:val="clear" w:color="000000" w:fill="F2F2F2"/>
            <w:noWrap/>
            <w:vAlign w:val="bottom"/>
            <w:hideMark/>
          </w:tcPr>
          <w:p w14:paraId="6228245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single" w:sz="4" w:space="0" w:color="A6A6A6"/>
              <w:left w:val="nil"/>
              <w:bottom w:val="nil"/>
              <w:right w:val="nil"/>
            </w:tcBorders>
            <w:shd w:val="clear" w:color="000000" w:fill="F2F2F2"/>
            <w:noWrap/>
            <w:vAlign w:val="bottom"/>
            <w:hideMark/>
          </w:tcPr>
          <w:p w14:paraId="390837C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D9D9D9"/>
            <w:noWrap/>
            <w:vAlign w:val="bottom"/>
            <w:hideMark/>
          </w:tcPr>
          <w:p w14:paraId="0B50193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D9D9D9"/>
            <w:noWrap/>
            <w:vAlign w:val="bottom"/>
            <w:hideMark/>
          </w:tcPr>
          <w:p w14:paraId="1AE449F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D9D9D9"/>
            <w:noWrap/>
            <w:vAlign w:val="bottom"/>
            <w:hideMark/>
          </w:tcPr>
          <w:p w14:paraId="42F673A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03BFAF3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single" w:sz="4" w:space="0" w:color="A6A6A6"/>
              <w:left w:val="nil"/>
              <w:bottom w:val="nil"/>
              <w:right w:val="nil"/>
            </w:tcBorders>
            <w:shd w:val="clear" w:color="000000" w:fill="F2F2F2"/>
            <w:noWrap/>
            <w:vAlign w:val="bottom"/>
            <w:hideMark/>
          </w:tcPr>
          <w:p w14:paraId="6BB20A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single" w:sz="4" w:space="0" w:color="A6A6A6"/>
              <w:left w:val="nil"/>
              <w:bottom w:val="nil"/>
              <w:right w:val="nil"/>
            </w:tcBorders>
            <w:shd w:val="clear" w:color="000000" w:fill="F2F2F2"/>
            <w:noWrap/>
            <w:vAlign w:val="bottom"/>
            <w:hideMark/>
          </w:tcPr>
          <w:p w14:paraId="284CA6A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single" w:sz="4" w:space="0" w:color="A6A6A6"/>
              <w:left w:val="nil"/>
              <w:bottom w:val="nil"/>
              <w:right w:val="nil"/>
            </w:tcBorders>
            <w:shd w:val="clear" w:color="000000" w:fill="D9D9D9"/>
            <w:noWrap/>
            <w:vAlign w:val="bottom"/>
            <w:hideMark/>
          </w:tcPr>
          <w:p w14:paraId="1FA3560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582804D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single" w:sz="4" w:space="0" w:color="A6A6A6"/>
              <w:left w:val="nil"/>
              <w:bottom w:val="nil"/>
              <w:right w:val="nil"/>
            </w:tcBorders>
            <w:shd w:val="clear" w:color="000000" w:fill="F2F2F2"/>
            <w:noWrap/>
            <w:vAlign w:val="bottom"/>
            <w:hideMark/>
          </w:tcPr>
          <w:p w14:paraId="124E6BB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single" w:sz="4" w:space="0" w:color="A6A6A6"/>
              <w:left w:val="nil"/>
              <w:bottom w:val="nil"/>
              <w:right w:val="nil"/>
            </w:tcBorders>
            <w:shd w:val="clear" w:color="000000" w:fill="D9D9D9"/>
            <w:noWrap/>
            <w:vAlign w:val="bottom"/>
            <w:hideMark/>
          </w:tcPr>
          <w:p w14:paraId="658753D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single" w:sz="4" w:space="0" w:color="A6A6A6"/>
              <w:left w:val="nil"/>
              <w:bottom w:val="nil"/>
              <w:right w:val="nil"/>
            </w:tcBorders>
            <w:shd w:val="clear" w:color="000000" w:fill="F2F2F2"/>
            <w:noWrap/>
            <w:vAlign w:val="bottom"/>
            <w:hideMark/>
          </w:tcPr>
          <w:p w14:paraId="13A89C2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467B425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single" w:sz="4" w:space="0" w:color="A6A6A6"/>
              <w:left w:val="nil"/>
              <w:bottom w:val="nil"/>
              <w:right w:val="nil"/>
            </w:tcBorders>
            <w:shd w:val="clear" w:color="000000" w:fill="F2F2F2"/>
            <w:noWrap/>
            <w:vAlign w:val="bottom"/>
            <w:hideMark/>
          </w:tcPr>
          <w:p w14:paraId="01AD942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single" w:sz="4" w:space="0" w:color="A6A6A6"/>
              <w:left w:val="nil"/>
              <w:bottom w:val="nil"/>
              <w:right w:val="nil"/>
            </w:tcBorders>
            <w:shd w:val="clear" w:color="000000" w:fill="D9D9D9"/>
            <w:noWrap/>
            <w:vAlign w:val="bottom"/>
            <w:hideMark/>
          </w:tcPr>
          <w:p w14:paraId="7B1834C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2.0</w:t>
            </w:r>
          </w:p>
        </w:tc>
        <w:tc>
          <w:tcPr>
            <w:tcW w:w="596" w:type="dxa"/>
            <w:tcBorders>
              <w:top w:val="single" w:sz="4" w:space="0" w:color="A6A6A6"/>
              <w:left w:val="nil"/>
              <w:bottom w:val="nil"/>
              <w:right w:val="nil"/>
            </w:tcBorders>
            <w:shd w:val="clear" w:color="000000" w:fill="D9D9D9"/>
            <w:noWrap/>
            <w:vAlign w:val="bottom"/>
            <w:hideMark/>
          </w:tcPr>
          <w:p w14:paraId="6AAE06D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495" w:type="dxa"/>
            <w:tcBorders>
              <w:top w:val="single" w:sz="4" w:space="0" w:color="A6A6A6"/>
              <w:left w:val="nil"/>
              <w:bottom w:val="nil"/>
              <w:right w:val="nil"/>
            </w:tcBorders>
            <w:shd w:val="clear" w:color="000000" w:fill="F2F2F2"/>
            <w:noWrap/>
            <w:vAlign w:val="bottom"/>
            <w:hideMark/>
          </w:tcPr>
          <w:p w14:paraId="3148842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0B3F9616"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ED2D9E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BEL</w:t>
            </w:r>
          </w:p>
        </w:tc>
        <w:tc>
          <w:tcPr>
            <w:tcW w:w="1477" w:type="dxa"/>
            <w:tcBorders>
              <w:top w:val="nil"/>
              <w:left w:val="nil"/>
              <w:bottom w:val="nil"/>
              <w:right w:val="nil"/>
            </w:tcBorders>
            <w:shd w:val="clear" w:color="auto" w:fill="D9D9D9" w:themeFill="background1" w:themeFillShade="D9"/>
            <w:noWrap/>
            <w:vAlign w:val="bottom"/>
            <w:hideMark/>
          </w:tcPr>
          <w:p w14:paraId="49FD6F3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Belgium</w:t>
            </w:r>
          </w:p>
        </w:tc>
        <w:tc>
          <w:tcPr>
            <w:tcW w:w="1308" w:type="dxa"/>
            <w:tcBorders>
              <w:top w:val="nil"/>
              <w:left w:val="nil"/>
              <w:bottom w:val="nil"/>
              <w:right w:val="nil"/>
            </w:tcBorders>
            <w:shd w:val="clear" w:color="auto" w:fill="D9D9D9" w:themeFill="background1" w:themeFillShade="D9"/>
            <w:noWrap/>
            <w:vAlign w:val="bottom"/>
            <w:hideMark/>
          </w:tcPr>
          <w:p w14:paraId="1A9F9E91"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7892EC8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3787E3C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33B590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6D38A2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3C67088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57BE01A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F520D6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79D908E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1638442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079ADD0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B1E98C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3FD8FE5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02A116F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78FB85C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4491BE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3BF9B2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8B0BA4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1.8</w:t>
            </w:r>
          </w:p>
        </w:tc>
        <w:tc>
          <w:tcPr>
            <w:tcW w:w="596" w:type="dxa"/>
            <w:tcBorders>
              <w:top w:val="nil"/>
              <w:left w:val="nil"/>
              <w:bottom w:val="nil"/>
              <w:right w:val="nil"/>
            </w:tcBorders>
            <w:shd w:val="clear" w:color="000000" w:fill="D9D9D9"/>
            <w:noWrap/>
            <w:vAlign w:val="bottom"/>
            <w:hideMark/>
          </w:tcPr>
          <w:p w14:paraId="3EE81B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6976BD0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r>
      <w:tr w:rsidR="00306F5D" w:rsidRPr="00306F5D" w14:paraId="1AE82736"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16D6ED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CYP</w:t>
            </w:r>
          </w:p>
        </w:tc>
        <w:tc>
          <w:tcPr>
            <w:tcW w:w="1477" w:type="dxa"/>
            <w:tcBorders>
              <w:top w:val="nil"/>
              <w:left w:val="nil"/>
              <w:bottom w:val="nil"/>
              <w:right w:val="nil"/>
            </w:tcBorders>
            <w:shd w:val="clear" w:color="auto" w:fill="D9D9D9" w:themeFill="background1" w:themeFillShade="D9"/>
            <w:noWrap/>
            <w:vAlign w:val="bottom"/>
            <w:hideMark/>
          </w:tcPr>
          <w:p w14:paraId="7E42AF7B"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Cyprus</w:t>
            </w:r>
          </w:p>
        </w:tc>
        <w:tc>
          <w:tcPr>
            <w:tcW w:w="1308" w:type="dxa"/>
            <w:tcBorders>
              <w:top w:val="nil"/>
              <w:left w:val="nil"/>
              <w:bottom w:val="nil"/>
              <w:right w:val="nil"/>
            </w:tcBorders>
            <w:shd w:val="clear" w:color="auto" w:fill="D9D9D9" w:themeFill="background1" w:themeFillShade="D9"/>
            <w:noWrap/>
            <w:vAlign w:val="bottom"/>
            <w:hideMark/>
          </w:tcPr>
          <w:p w14:paraId="5F52FF69"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0E1D578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16B4B8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2E151A2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A980B3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35F476F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7E85683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EFB77B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702DA0B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595" w:type="dxa"/>
            <w:tcBorders>
              <w:top w:val="nil"/>
              <w:left w:val="nil"/>
              <w:bottom w:val="nil"/>
              <w:right w:val="nil"/>
            </w:tcBorders>
            <w:shd w:val="clear" w:color="000000" w:fill="F2F2F2"/>
            <w:noWrap/>
            <w:vAlign w:val="bottom"/>
            <w:hideMark/>
          </w:tcPr>
          <w:p w14:paraId="217C885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418854F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6315BC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E99DFE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002F136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2909487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42EC1F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0D4382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187B5A6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2.0</w:t>
            </w:r>
          </w:p>
        </w:tc>
        <w:tc>
          <w:tcPr>
            <w:tcW w:w="596" w:type="dxa"/>
            <w:tcBorders>
              <w:top w:val="nil"/>
              <w:left w:val="nil"/>
              <w:bottom w:val="nil"/>
              <w:right w:val="nil"/>
            </w:tcBorders>
            <w:shd w:val="clear" w:color="000000" w:fill="D9D9D9"/>
            <w:noWrap/>
            <w:vAlign w:val="bottom"/>
            <w:hideMark/>
          </w:tcPr>
          <w:p w14:paraId="4F4815A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1B72B72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0ED7043A"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5734FB4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CZE</w:t>
            </w:r>
          </w:p>
        </w:tc>
        <w:tc>
          <w:tcPr>
            <w:tcW w:w="1477" w:type="dxa"/>
            <w:tcBorders>
              <w:top w:val="nil"/>
              <w:left w:val="nil"/>
              <w:bottom w:val="nil"/>
              <w:right w:val="nil"/>
            </w:tcBorders>
            <w:shd w:val="clear" w:color="auto" w:fill="D9D9D9" w:themeFill="background1" w:themeFillShade="D9"/>
            <w:noWrap/>
            <w:vAlign w:val="bottom"/>
            <w:hideMark/>
          </w:tcPr>
          <w:p w14:paraId="26981F78"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Czech Republic</w:t>
            </w:r>
          </w:p>
        </w:tc>
        <w:tc>
          <w:tcPr>
            <w:tcW w:w="1308" w:type="dxa"/>
            <w:tcBorders>
              <w:top w:val="nil"/>
              <w:left w:val="nil"/>
              <w:bottom w:val="nil"/>
              <w:right w:val="nil"/>
            </w:tcBorders>
            <w:shd w:val="clear" w:color="auto" w:fill="D9D9D9" w:themeFill="background1" w:themeFillShade="D9"/>
            <w:noWrap/>
            <w:vAlign w:val="bottom"/>
            <w:hideMark/>
          </w:tcPr>
          <w:p w14:paraId="34FC082D"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43D2680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9EEEC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5DFD71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5F025B5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87640F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6BA623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FAB2B7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44AFB76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nil"/>
              <w:left w:val="nil"/>
              <w:bottom w:val="nil"/>
              <w:right w:val="nil"/>
            </w:tcBorders>
            <w:shd w:val="clear" w:color="000000" w:fill="F2F2F2"/>
            <w:noWrap/>
            <w:vAlign w:val="bottom"/>
            <w:hideMark/>
          </w:tcPr>
          <w:p w14:paraId="241C646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7043B54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708E4F0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1E7B225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74E1A9F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104154D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55FE73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3B35E42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1D7F58D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2.1</w:t>
            </w:r>
          </w:p>
        </w:tc>
        <w:tc>
          <w:tcPr>
            <w:tcW w:w="596" w:type="dxa"/>
            <w:tcBorders>
              <w:top w:val="nil"/>
              <w:left w:val="nil"/>
              <w:bottom w:val="nil"/>
              <w:right w:val="nil"/>
            </w:tcBorders>
            <w:shd w:val="clear" w:color="000000" w:fill="D9D9D9"/>
            <w:noWrap/>
            <w:vAlign w:val="bottom"/>
            <w:hideMark/>
          </w:tcPr>
          <w:p w14:paraId="3980A07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495" w:type="dxa"/>
            <w:tcBorders>
              <w:top w:val="nil"/>
              <w:left w:val="nil"/>
              <w:bottom w:val="nil"/>
              <w:right w:val="nil"/>
            </w:tcBorders>
            <w:shd w:val="clear" w:color="000000" w:fill="F2F2F2"/>
            <w:noWrap/>
            <w:vAlign w:val="bottom"/>
            <w:hideMark/>
          </w:tcPr>
          <w:p w14:paraId="169936C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71D8FB6D"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9C9E4A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DNK</w:t>
            </w:r>
          </w:p>
        </w:tc>
        <w:tc>
          <w:tcPr>
            <w:tcW w:w="1477" w:type="dxa"/>
            <w:tcBorders>
              <w:top w:val="nil"/>
              <w:left w:val="nil"/>
              <w:bottom w:val="nil"/>
              <w:right w:val="nil"/>
            </w:tcBorders>
            <w:shd w:val="clear" w:color="auto" w:fill="D9D9D9" w:themeFill="background1" w:themeFillShade="D9"/>
            <w:noWrap/>
            <w:vAlign w:val="bottom"/>
            <w:hideMark/>
          </w:tcPr>
          <w:p w14:paraId="0156EF96"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Denmark</w:t>
            </w:r>
          </w:p>
        </w:tc>
        <w:tc>
          <w:tcPr>
            <w:tcW w:w="1308" w:type="dxa"/>
            <w:tcBorders>
              <w:top w:val="nil"/>
              <w:left w:val="nil"/>
              <w:bottom w:val="nil"/>
              <w:right w:val="nil"/>
            </w:tcBorders>
            <w:shd w:val="clear" w:color="auto" w:fill="D9D9D9" w:themeFill="background1" w:themeFillShade="D9"/>
            <w:noWrap/>
            <w:vAlign w:val="bottom"/>
            <w:hideMark/>
          </w:tcPr>
          <w:p w14:paraId="7F31F114"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39FA972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5D86C24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5D941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AB43A1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F25D1A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68E90E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FDFD5B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5916CAE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nil"/>
              <w:left w:val="nil"/>
              <w:bottom w:val="nil"/>
              <w:right w:val="nil"/>
            </w:tcBorders>
            <w:shd w:val="clear" w:color="000000" w:fill="F2F2F2"/>
            <w:noWrap/>
            <w:vAlign w:val="bottom"/>
            <w:hideMark/>
          </w:tcPr>
          <w:p w14:paraId="5A73290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0EF9F05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585608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08D482E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5BAF387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6C1688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7840F9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05791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1A63FD6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2.3</w:t>
            </w:r>
          </w:p>
        </w:tc>
        <w:tc>
          <w:tcPr>
            <w:tcW w:w="596" w:type="dxa"/>
            <w:tcBorders>
              <w:top w:val="nil"/>
              <w:left w:val="nil"/>
              <w:bottom w:val="nil"/>
              <w:right w:val="nil"/>
            </w:tcBorders>
            <w:shd w:val="clear" w:color="000000" w:fill="D9D9D9"/>
            <w:noWrap/>
            <w:vAlign w:val="bottom"/>
            <w:hideMark/>
          </w:tcPr>
          <w:p w14:paraId="08FD514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495" w:type="dxa"/>
            <w:tcBorders>
              <w:top w:val="nil"/>
              <w:left w:val="nil"/>
              <w:bottom w:val="nil"/>
              <w:right w:val="nil"/>
            </w:tcBorders>
            <w:shd w:val="clear" w:color="000000" w:fill="F2F2F2"/>
            <w:noWrap/>
            <w:vAlign w:val="bottom"/>
            <w:hideMark/>
          </w:tcPr>
          <w:p w14:paraId="7923EA1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00430699"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C327AE9"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EST</w:t>
            </w:r>
          </w:p>
        </w:tc>
        <w:tc>
          <w:tcPr>
            <w:tcW w:w="1477" w:type="dxa"/>
            <w:tcBorders>
              <w:top w:val="nil"/>
              <w:left w:val="nil"/>
              <w:bottom w:val="nil"/>
              <w:right w:val="nil"/>
            </w:tcBorders>
            <w:shd w:val="clear" w:color="auto" w:fill="D9D9D9" w:themeFill="background1" w:themeFillShade="D9"/>
            <w:noWrap/>
            <w:vAlign w:val="bottom"/>
            <w:hideMark/>
          </w:tcPr>
          <w:p w14:paraId="27A20F4B"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Estonia</w:t>
            </w:r>
          </w:p>
        </w:tc>
        <w:tc>
          <w:tcPr>
            <w:tcW w:w="1308" w:type="dxa"/>
            <w:tcBorders>
              <w:top w:val="nil"/>
              <w:left w:val="nil"/>
              <w:bottom w:val="nil"/>
              <w:right w:val="nil"/>
            </w:tcBorders>
            <w:shd w:val="clear" w:color="auto" w:fill="D9D9D9" w:themeFill="background1" w:themeFillShade="D9"/>
            <w:noWrap/>
            <w:vAlign w:val="bottom"/>
            <w:hideMark/>
          </w:tcPr>
          <w:p w14:paraId="0F317123"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76CE0AB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597E788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3E3CA8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34DCBEC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38FEB8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34B70F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0395BD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4384419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nil"/>
              <w:left w:val="nil"/>
              <w:bottom w:val="nil"/>
              <w:right w:val="nil"/>
            </w:tcBorders>
            <w:shd w:val="clear" w:color="000000" w:fill="F2F2F2"/>
            <w:noWrap/>
            <w:vAlign w:val="bottom"/>
            <w:hideMark/>
          </w:tcPr>
          <w:p w14:paraId="43D4D71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574D08D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15803E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899B34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6B8014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2BB0537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67DF37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48F2C94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52115A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6" w:type="dxa"/>
            <w:tcBorders>
              <w:top w:val="nil"/>
              <w:left w:val="nil"/>
              <w:bottom w:val="nil"/>
              <w:right w:val="nil"/>
            </w:tcBorders>
            <w:shd w:val="clear" w:color="000000" w:fill="D9D9D9"/>
            <w:noWrap/>
            <w:vAlign w:val="bottom"/>
            <w:hideMark/>
          </w:tcPr>
          <w:p w14:paraId="014814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495" w:type="dxa"/>
            <w:tcBorders>
              <w:top w:val="nil"/>
              <w:left w:val="nil"/>
              <w:bottom w:val="nil"/>
              <w:right w:val="nil"/>
            </w:tcBorders>
            <w:shd w:val="clear" w:color="000000" w:fill="F2F2F2"/>
            <w:noWrap/>
            <w:vAlign w:val="bottom"/>
            <w:hideMark/>
          </w:tcPr>
          <w:p w14:paraId="4552458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1F53C8F5"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660C86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FIN</w:t>
            </w:r>
          </w:p>
        </w:tc>
        <w:tc>
          <w:tcPr>
            <w:tcW w:w="1477" w:type="dxa"/>
            <w:tcBorders>
              <w:top w:val="nil"/>
              <w:left w:val="nil"/>
              <w:bottom w:val="nil"/>
              <w:right w:val="nil"/>
            </w:tcBorders>
            <w:shd w:val="clear" w:color="auto" w:fill="D9D9D9" w:themeFill="background1" w:themeFillShade="D9"/>
            <w:noWrap/>
            <w:vAlign w:val="bottom"/>
            <w:hideMark/>
          </w:tcPr>
          <w:p w14:paraId="69F46FA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Finland</w:t>
            </w:r>
          </w:p>
        </w:tc>
        <w:tc>
          <w:tcPr>
            <w:tcW w:w="1308" w:type="dxa"/>
            <w:tcBorders>
              <w:top w:val="nil"/>
              <w:left w:val="nil"/>
              <w:bottom w:val="nil"/>
              <w:right w:val="nil"/>
            </w:tcBorders>
            <w:shd w:val="clear" w:color="auto" w:fill="D9D9D9" w:themeFill="background1" w:themeFillShade="D9"/>
            <w:noWrap/>
            <w:vAlign w:val="bottom"/>
            <w:hideMark/>
          </w:tcPr>
          <w:p w14:paraId="616B70C4"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71D2040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20F0EE1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55EB8E4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8BEE98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5F12AE4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6AB57EE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FD2A0A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5E6A627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595" w:type="dxa"/>
            <w:tcBorders>
              <w:top w:val="nil"/>
              <w:left w:val="nil"/>
              <w:bottom w:val="nil"/>
              <w:right w:val="nil"/>
            </w:tcBorders>
            <w:shd w:val="clear" w:color="000000" w:fill="F2F2F2"/>
            <w:noWrap/>
            <w:vAlign w:val="bottom"/>
            <w:hideMark/>
          </w:tcPr>
          <w:p w14:paraId="324F43D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25EB8C0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868472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337E96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1A517C1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4311BED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AD2309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C9DFFF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470B58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2.6</w:t>
            </w:r>
          </w:p>
        </w:tc>
        <w:tc>
          <w:tcPr>
            <w:tcW w:w="596" w:type="dxa"/>
            <w:tcBorders>
              <w:top w:val="nil"/>
              <w:left w:val="nil"/>
              <w:bottom w:val="nil"/>
              <w:right w:val="nil"/>
            </w:tcBorders>
            <w:shd w:val="clear" w:color="000000" w:fill="D9D9D9"/>
            <w:noWrap/>
            <w:vAlign w:val="bottom"/>
            <w:hideMark/>
          </w:tcPr>
          <w:p w14:paraId="12F0513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495" w:type="dxa"/>
            <w:tcBorders>
              <w:top w:val="nil"/>
              <w:left w:val="nil"/>
              <w:bottom w:val="nil"/>
              <w:right w:val="nil"/>
            </w:tcBorders>
            <w:shd w:val="clear" w:color="000000" w:fill="F2F2F2"/>
            <w:noWrap/>
            <w:vAlign w:val="bottom"/>
            <w:hideMark/>
          </w:tcPr>
          <w:p w14:paraId="286755D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4F21C7C6"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C5121E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FRA</w:t>
            </w:r>
          </w:p>
        </w:tc>
        <w:tc>
          <w:tcPr>
            <w:tcW w:w="1477" w:type="dxa"/>
            <w:tcBorders>
              <w:top w:val="nil"/>
              <w:left w:val="nil"/>
              <w:bottom w:val="nil"/>
              <w:right w:val="nil"/>
            </w:tcBorders>
            <w:shd w:val="clear" w:color="auto" w:fill="D9D9D9" w:themeFill="background1" w:themeFillShade="D9"/>
            <w:noWrap/>
            <w:vAlign w:val="bottom"/>
            <w:hideMark/>
          </w:tcPr>
          <w:p w14:paraId="7F8EEFB6"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France</w:t>
            </w:r>
          </w:p>
        </w:tc>
        <w:tc>
          <w:tcPr>
            <w:tcW w:w="1308" w:type="dxa"/>
            <w:tcBorders>
              <w:top w:val="nil"/>
              <w:left w:val="nil"/>
              <w:bottom w:val="nil"/>
              <w:right w:val="nil"/>
            </w:tcBorders>
            <w:shd w:val="clear" w:color="auto" w:fill="D9D9D9" w:themeFill="background1" w:themeFillShade="D9"/>
            <w:noWrap/>
            <w:vAlign w:val="bottom"/>
            <w:hideMark/>
          </w:tcPr>
          <w:p w14:paraId="298F13ED"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70FC39D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1744100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2926A5A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AAD760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B9577C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3021F97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26B5B9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0BA4724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3EC1459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1797A15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F15B7F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F3F300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662290A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57151AB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FAF68A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74DA32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87917F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2.3</w:t>
            </w:r>
          </w:p>
        </w:tc>
        <w:tc>
          <w:tcPr>
            <w:tcW w:w="596" w:type="dxa"/>
            <w:tcBorders>
              <w:top w:val="nil"/>
              <w:left w:val="nil"/>
              <w:bottom w:val="nil"/>
              <w:right w:val="nil"/>
            </w:tcBorders>
            <w:shd w:val="clear" w:color="000000" w:fill="D9D9D9"/>
            <w:noWrap/>
            <w:vAlign w:val="bottom"/>
            <w:hideMark/>
          </w:tcPr>
          <w:p w14:paraId="489A125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nil"/>
              <w:left w:val="nil"/>
              <w:bottom w:val="nil"/>
              <w:right w:val="nil"/>
            </w:tcBorders>
            <w:shd w:val="clear" w:color="000000" w:fill="F2F2F2"/>
            <w:noWrap/>
            <w:vAlign w:val="bottom"/>
            <w:hideMark/>
          </w:tcPr>
          <w:p w14:paraId="59BD52E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08024D3D"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5DF9D3B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DEU</w:t>
            </w:r>
          </w:p>
        </w:tc>
        <w:tc>
          <w:tcPr>
            <w:tcW w:w="1477" w:type="dxa"/>
            <w:tcBorders>
              <w:top w:val="nil"/>
              <w:left w:val="nil"/>
              <w:bottom w:val="nil"/>
              <w:right w:val="nil"/>
            </w:tcBorders>
            <w:shd w:val="clear" w:color="auto" w:fill="D9D9D9" w:themeFill="background1" w:themeFillShade="D9"/>
            <w:noWrap/>
            <w:vAlign w:val="bottom"/>
            <w:hideMark/>
          </w:tcPr>
          <w:p w14:paraId="543B023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Germany</w:t>
            </w:r>
          </w:p>
        </w:tc>
        <w:tc>
          <w:tcPr>
            <w:tcW w:w="1308" w:type="dxa"/>
            <w:tcBorders>
              <w:top w:val="nil"/>
              <w:left w:val="nil"/>
              <w:bottom w:val="nil"/>
              <w:right w:val="nil"/>
            </w:tcBorders>
            <w:shd w:val="clear" w:color="auto" w:fill="D9D9D9" w:themeFill="background1" w:themeFillShade="D9"/>
            <w:noWrap/>
            <w:vAlign w:val="bottom"/>
            <w:hideMark/>
          </w:tcPr>
          <w:p w14:paraId="76D00A48"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26276F5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51E7D1F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56FF89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3A12B6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090AC0C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7C9221C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D27A65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45243A2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19D8DED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2FEA8A3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3C465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307E4D1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785FFC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155E7EA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52E539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3D49B02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EF7C26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nil"/>
              <w:left w:val="nil"/>
              <w:bottom w:val="nil"/>
              <w:right w:val="nil"/>
            </w:tcBorders>
            <w:shd w:val="clear" w:color="000000" w:fill="D9D9D9"/>
            <w:noWrap/>
            <w:vAlign w:val="bottom"/>
            <w:hideMark/>
          </w:tcPr>
          <w:p w14:paraId="11E8C08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292EEB3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311BE628"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5B59CFB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GRC</w:t>
            </w:r>
          </w:p>
        </w:tc>
        <w:tc>
          <w:tcPr>
            <w:tcW w:w="1477" w:type="dxa"/>
            <w:tcBorders>
              <w:top w:val="nil"/>
              <w:left w:val="nil"/>
              <w:bottom w:val="nil"/>
              <w:right w:val="nil"/>
            </w:tcBorders>
            <w:shd w:val="clear" w:color="auto" w:fill="D9D9D9" w:themeFill="background1" w:themeFillShade="D9"/>
            <w:noWrap/>
            <w:vAlign w:val="bottom"/>
            <w:hideMark/>
          </w:tcPr>
          <w:p w14:paraId="1F83507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Greece</w:t>
            </w:r>
          </w:p>
        </w:tc>
        <w:tc>
          <w:tcPr>
            <w:tcW w:w="1308" w:type="dxa"/>
            <w:tcBorders>
              <w:top w:val="nil"/>
              <w:left w:val="nil"/>
              <w:bottom w:val="nil"/>
              <w:right w:val="nil"/>
            </w:tcBorders>
            <w:shd w:val="clear" w:color="auto" w:fill="D9D9D9" w:themeFill="background1" w:themeFillShade="D9"/>
            <w:noWrap/>
            <w:vAlign w:val="bottom"/>
            <w:hideMark/>
          </w:tcPr>
          <w:p w14:paraId="0BB1BD2B"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3CB2E45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35EF205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31B8AD0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14D2D65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7747C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4AE0BD5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ACD66A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24E74A7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595" w:type="dxa"/>
            <w:tcBorders>
              <w:top w:val="nil"/>
              <w:left w:val="nil"/>
              <w:bottom w:val="nil"/>
              <w:right w:val="nil"/>
            </w:tcBorders>
            <w:shd w:val="clear" w:color="000000" w:fill="F2F2F2"/>
            <w:noWrap/>
            <w:vAlign w:val="bottom"/>
            <w:hideMark/>
          </w:tcPr>
          <w:p w14:paraId="58217DF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17EB58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3AA6A8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2692C21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672D212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495DE0D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1873B6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BFE80B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5D9D8D7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6" w:type="dxa"/>
            <w:tcBorders>
              <w:top w:val="nil"/>
              <w:left w:val="nil"/>
              <w:bottom w:val="nil"/>
              <w:right w:val="nil"/>
            </w:tcBorders>
            <w:shd w:val="clear" w:color="000000" w:fill="D9D9D9"/>
            <w:noWrap/>
            <w:vAlign w:val="bottom"/>
            <w:hideMark/>
          </w:tcPr>
          <w:p w14:paraId="004971B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495" w:type="dxa"/>
            <w:tcBorders>
              <w:top w:val="nil"/>
              <w:left w:val="nil"/>
              <w:bottom w:val="nil"/>
              <w:right w:val="nil"/>
            </w:tcBorders>
            <w:shd w:val="clear" w:color="000000" w:fill="F2F2F2"/>
            <w:noWrap/>
            <w:vAlign w:val="bottom"/>
            <w:hideMark/>
          </w:tcPr>
          <w:p w14:paraId="1C9C3E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7C3F7A8B"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165966D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HUN</w:t>
            </w:r>
          </w:p>
        </w:tc>
        <w:tc>
          <w:tcPr>
            <w:tcW w:w="1477" w:type="dxa"/>
            <w:tcBorders>
              <w:top w:val="nil"/>
              <w:left w:val="nil"/>
              <w:bottom w:val="nil"/>
              <w:right w:val="nil"/>
            </w:tcBorders>
            <w:shd w:val="clear" w:color="auto" w:fill="D9D9D9" w:themeFill="background1" w:themeFillShade="D9"/>
            <w:noWrap/>
            <w:vAlign w:val="bottom"/>
            <w:hideMark/>
          </w:tcPr>
          <w:p w14:paraId="7ECA5B67"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Hungary</w:t>
            </w:r>
          </w:p>
        </w:tc>
        <w:tc>
          <w:tcPr>
            <w:tcW w:w="1308" w:type="dxa"/>
            <w:tcBorders>
              <w:top w:val="nil"/>
              <w:left w:val="nil"/>
              <w:bottom w:val="nil"/>
              <w:right w:val="nil"/>
            </w:tcBorders>
            <w:shd w:val="clear" w:color="auto" w:fill="D9D9D9" w:themeFill="background1" w:themeFillShade="D9"/>
            <w:noWrap/>
            <w:vAlign w:val="bottom"/>
            <w:hideMark/>
          </w:tcPr>
          <w:p w14:paraId="34218BCF"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05FD54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2A907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098B7A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6DF08A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55BC91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5D3EF3D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31E443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4B2BF78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70C2DD9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7EBAC50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E24ECE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9A1AB5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5A371CB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0F5693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76CD20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4C14EF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370076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2.3</w:t>
            </w:r>
          </w:p>
        </w:tc>
        <w:tc>
          <w:tcPr>
            <w:tcW w:w="596" w:type="dxa"/>
            <w:tcBorders>
              <w:top w:val="nil"/>
              <w:left w:val="nil"/>
              <w:bottom w:val="nil"/>
              <w:right w:val="nil"/>
            </w:tcBorders>
            <w:shd w:val="clear" w:color="000000" w:fill="D9D9D9"/>
            <w:noWrap/>
            <w:vAlign w:val="bottom"/>
            <w:hideMark/>
          </w:tcPr>
          <w:p w14:paraId="27C6ACD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nil"/>
              <w:left w:val="nil"/>
              <w:bottom w:val="nil"/>
              <w:right w:val="nil"/>
            </w:tcBorders>
            <w:shd w:val="clear" w:color="000000" w:fill="F2F2F2"/>
            <w:noWrap/>
            <w:vAlign w:val="bottom"/>
            <w:hideMark/>
          </w:tcPr>
          <w:p w14:paraId="0BE21B5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7421EF33"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A4D319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IRL</w:t>
            </w:r>
          </w:p>
        </w:tc>
        <w:tc>
          <w:tcPr>
            <w:tcW w:w="1477" w:type="dxa"/>
            <w:tcBorders>
              <w:top w:val="nil"/>
              <w:left w:val="nil"/>
              <w:bottom w:val="nil"/>
              <w:right w:val="nil"/>
            </w:tcBorders>
            <w:shd w:val="clear" w:color="auto" w:fill="D9D9D9" w:themeFill="background1" w:themeFillShade="D9"/>
            <w:noWrap/>
            <w:vAlign w:val="bottom"/>
            <w:hideMark/>
          </w:tcPr>
          <w:p w14:paraId="6E733FF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Ireland</w:t>
            </w:r>
          </w:p>
        </w:tc>
        <w:tc>
          <w:tcPr>
            <w:tcW w:w="1308" w:type="dxa"/>
            <w:tcBorders>
              <w:top w:val="nil"/>
              <w:left w:val="nil"/>
              <w:bottom w:val="nil"/>
              <w:right w:val="nil"/>
            </w:tcBorders>
            <w:shd w:val="clear" w:color="auto" w:fill="D9D9D9" w:themeFill="background1" w:themeFillShade="D9"/>
            <w:noWrap/>
            <w:vAlign w:val="bottom"/>
            <w:hideMark/>
          </w:tcPr>
          <w:p w14:paraId="56691090"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17AD42A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CE2A81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E56F5E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925B69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36DB178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0E233B6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8AA238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3221AE5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512AE1C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752562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3637C10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13F4891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273C6B5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53EE814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FE1919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B9B858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685D877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c>
          <w:tcPr>
            <w:tcW w:w="596" w:type="dxa"/>
            <w:tcBorders>
              <w:top w:val="nil"/>
              <w:left w:val="nil"/>
              <w:bottom w:val="nil"/>
              <w:right w:val="nil"/>
            </w:tcBorders>
            <w:shd w:val="clear" w:color="000000" w:fill="D9D9D9"/>
            <w:noWrap/>
            <w:vAlign w:val="bottom"/>
            <w:hideMark/>
          </w:tcPr>
          <w:p w14:paraId="6723E09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495" w:type="dxa"/>
            <w:tcBorders>
              <w:top w:val="nil"/>
              <w:left w:val="nil"/>
              <w:bottom w:val="nil"/>
              <w:right w:val="nil"/>
            </w:tcBorders>
            <w:shd w:val="clear" w:color="000000" w:fill="F2F2F2"/>
            <w:noWrap/>
            <w:vAlign w:val="bottom"/>
            <w:hideMark/>
          </w:tcPr>
          <w:p w14:paraId="666CB9D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7912DE8C"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54E27B07"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ITA</w:t>
            </w:r>
          </w:p>
        </w:tc>
        <w:tc>
          <w:tcPr>
            <w:tcW w:w="1477" w:type="dxa"/>
            <w:tcBorders>
              <w:top w:val="nil"/>
              <w:left w:val="nil"/>
              <w:bottom w:val="nil"/>
              <w:right w:val="nil"/>
            </w:tcBorders>
            <w:shd w:val="clear" w:color="auto" w:fill="D9D9D9" w:themeFill="background1" w:themeFillShade="D9"/>
            <w:noWrap/>
            <w:vAlign w:val="bottom"/>
            <w:hideMark/>
          </w:tcPr>
          <w:p w14:paraId="0F968CF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Italy</w:t>
            </w:r>
          </w:p>
        </w:tc>
        <w:tc>
          <w:tcPr>
            <w:tcW w:w="1308" w:type="dxa"/>
            <w:tcBorders>
              <w:top w:val="nil"/>
              <w:left w:val="nil"/>
              <w:bottom w:val="nil"/>
              <w:right w:val="nil"/>
            </w:tcBorders>
            <w:shd w:val="clear" w:color="auto" w:fill="D9D9D9" w:themeFill="background1" w:themeFillShade="D9"/>
            <w:noWrap/>
            <w:vAlign w:val="bottom"/>
            <w:hideMark/>
          </w:tcPr>
          <w:p w14:paraId="1DABB0C3"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5EA8DD1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0F359FC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740786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1F56F33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65BD2D8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2588050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E36DDB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49E4004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595" w:type="dxa"/>
            <w:tcBorders>
              <w:top w:val="nil"/>
              <w:left w:val="nil"/>
              <w:bottom w:val="nil"/>
              <w:right w:val="nil"/>
            </w:tcBorders>
            <w:shd w:val="clear" w:color="000000" w:fill="F2F2F2"/>
            <w:noWrap/>
            <w:vAlign w:val="bottom"/>
            <w:hideMark/>
          </w:tcPr>
          <w:p w14:paraId="4AEBA57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4D38BCB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4ACD8E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609EBA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05A19E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2441463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72F3F3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A99D4C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A8503C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2.0</w:t>
            </w:r>
          </w:p>
        </w:tc>
        <w:tc>
          <w:tcPr>
            <w:tcW w:w="596" w:type="dxa"/>
            <w:tcBorders>
              <w:top w:val="nil"/>
              <w:left w:val="nil"/>
              <w:bottom w:val="nil"/>
              <w:right w:val="nil"/>
            </w:tcBorders>
            <w:shd w:val="clear" w:color="000000" w:fill="D9D9D9"/>
            <w:noWrap/>
            <w:vAlign w:val="bottom"/>
            <w:hideMark/>
          </w:tcPr>
          <w:p w14:paraId="4BEDC9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495" w:type="dxa"/>
            <w:tcBorders>
              <w:top w:val="nil"/>
              <w:left w:val="nil"/>
              <w:bottom w:val="nil"/>
              <w:right w:val="nil"/>
            </w:tcBorders>
            <w:shd w:val="clear" w:color="000000" w:fill="F2F2F2"/>
            <w:noWrap/>
            <w:vAlign w:val="bottom"/>
            <w:hideMark/>
          </w:tcPr>
          <w:p w14:paraId="7C5F8F8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r>
      <w:tr w:rsidR="00306F5D" w:rsidRPr="00306F5D" w14:paraId="4831A3A2"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3F0A84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LVA</w:t>
            </w:r>
          </w:p>
        </w:tc>
        <w:tc>
          <w:tcPr>
            <w:tcW w:w="1477" w:type="dxa"/>
            <w:tcBorders>
              <w:top w:val="nil"/>
              <w:left w:val="nil"/>
              <w:bottom w:val="nil"/>
              <w:right w:val="nil"/>
            </w:tcBorders>
            <w:shd w:val="clear" w:color="auto" w:fill="D9D9D9" w:themeFill="background1" w:themeFillShade="D9"/>
            <w:noWrap/>
            <w:vAlign w:val="bottom"/>
            <w:hideMark/>
          </w:tcPr>
          <w:p w14:paraId="2273A825"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Latvia</w:t>
            </w:r>
          </w:p>
        </w:tc>
        <w:tc>
          <w:tcPr>
            <w:tcW w:w="1308" w:type="dxa"/>
            <w:tcBorders>
              <w:top w:val="nil"/>
              <w:left w:val="nil"/>
              <w:bottom w:val="nil"/>
              <w:right w:val="nil"/>
            </w:tcBorders>
            <w:shd w:val="clear" w:color="auto" w:fill="D9D9D9" w:themeFill="background1" w:themeFillShade="D9"/>
            <w:noWrap/>
            <w:vAlign w:val="bottom"/>
            <w:hideMark/>
          </w:tcPr>
          <w:p w14:paraId="4A0667CF"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72C95E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3232506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F42BF3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EAE14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0756EC7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CBB690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CB80C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2BD4B77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nil"/>
              <w:left w:val="nil"/>
              <w:bottom w:val="nil"/>
              <w:right w:val="nil"/>
            </w:tcBorders>
            <w:shd w:val="clear" w:color="000000" w:fill="F2F2F2"/>
            <w:noWrap/>
            <w:vAlign w:val="bottom"/>
            <w:hideMark/>
          </w:tcPr>
          <w:p w14:paraId="1A8F222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001D13E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7692069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5B13E8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25C9C6A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48D752C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78E9E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568BBF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1DFFCA0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c>
          <w:tcPr>
            <w:tcW w:w="596" w:type="dxa"/>
            <w:tcBorders>
              <w:top w:val="nil"/>
              <w:left w:val="nil"/>
              <w:bottom w:val="nil"/>
              <w:right w:val="nil"/>
            </w:tcBorders>
            <w:shd w:val="clear" w:color="000000" w:fill="D9D9D9"/>
            <w:noWrap/>
            <w:vAlign w:val="bottom"/>
            <w:hideMark/>
          </w:tcPr>
          <w:p w14:paraId="78F6131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1347E53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5DA12B49"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335F5538"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LTU</w:t>
            </w:r>
          </w:p>
        </w:tc>
        <w:tc>
          <w:tcPr>
            <w:tcW w:w="1477" w:type="dxa"/>
            <w:tcBorders>
              <w:top w:val="nil"/>
              <w:left w:val="nil"/>
              <w:bottom w:val="nil"/>
              <w:right w:val="nil"/>
            </w:tcBorders>
            <w:shd w:val="clear" w:color="auto" w:fill="D9D9D9" w:themeFill="background1" w:themeFillShade="D9"/>
            <w:noWrap/>
            <w:vAlign w:val="bottom"/>
            <w:hideMark/>
          </w:tcPr>
          <w:p w14:paraId="6B55173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Lithuania</w:t>
            </w:r>
          </w:p>
        </w:tc>
        <w:tc>
          <w:tcPr>
            <w:tcW w:w="1308" w:type="dxa"/>
            <w:tcBorders>
              <w:top w:val="nil"/>
              <w:left w:val="nil"/>
              <w:bottom w:val="nil"/>
              <w:right w:val="nil"/>
            </w:tcBorders>
            <w:shd w:val="clear" w:color="auto" w:fill="D9D9D9" w:themeFill="background1" w:themeFillShade="D9"/>
            <w:noWrap/>
            <w:vAlign w:val="bottom"/>
            <w:hideMark/>
          </w:tcPr>
          <w:p w14:paraId="3A696D75"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7998E35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9575A0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2725801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4B0633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5DDC671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6B6CADB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350E15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10E2296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nil"/>
              <w:left w:val="nil"/>
              <w:bottom w:val="nil"/>
              <w:right w:val="nil"/>
            </w:tcBorders>
            <w:shd w:val="clear" w:color="000000" w:fill="F2F2F2"/>
            <w:noWrap/>
            <w:vAlign w:val="bottom"/>
            <w:hideMark/>
          </w:tcPr>
          <w:p w14:paraId="4F5B9AA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0849D08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2D1207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7BD8084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29C2F78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379E6DE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3EA0BE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54D8965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140C11C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c>
          <w:tcPr>
            <w:tcW w:w="596" w:type="dxa"/>
            <w:tcBorders>
              <w:top w:val="nil"/>
              <w:left w:val="nil"/>
              <w:bottom w:val="nil"/>
              <w:right w:val="nil"/>
            </w:tcBorders>
            <w:shd w:val="clear" w:color="000000" w:fill="D9D9D9"/>
            <w:noWrap/>
            <w:vAlign w:val="bottom"/>
            <w:hideMark/>
          </w:tcPr>
          <w:p w14:paraId="2E138D9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3F2A879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6DACE0E7"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B067187"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LUX</w:t>
            </w:r>
          </w:p>
        </w:tc>
        <w:tc>
          <w:tcPr>
            <w:tcW w:w="1477" w:type="dxa"/>
            <w:tcBorders>
              <w:top w:val="nil"/>
              <w:left w:val="nil"/>
              <w:bottom w:val="nil"/>
              <w:right w:val="nil"/>
            </w:tcBorders>
            <w:shd w:val="clear" w:color="auto" w:fill="D9D9D9" w:themeFill="background1" w:themeFillShade="D9"/>
            <w:noWrap/>
            <w:vAlign w:val="bottom"/>
            <w:hideMark/>
          </w:tcPr>
          <w:p w14:paraId="113E120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Luxembourg</w:t>
            </w:r>
          </w:p>
        </w:tc>
        <w:tc>
          <w:tcPr>
            <w:tcW w:w="1308" w:type="dxa"/>
            <w:tcBorders>
              <w:top w:val="nil"/>
              <w:left w:val="nil"/>
              <w:bottom w:val="nil"/>
              <w:right w:val="nil"/>
            </w:tcBorders>
            <w:shd w:val="clear" w:color="auto" w:fill="D9D9D9" w:themeFill="background1" w:themeFillShade="D9"/>
            <w:noWrap/>
            <w:vAlign w:val="bottom"/>
            <w:hideMark/>
          </w:tcPr>
          <w:p w14:paraId="15454832"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1DEF508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00F00A0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3BD8BF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9AFE31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BA6E21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6C3BBB6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A92649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6D29076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5A0D2C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466AFB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143B97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E2EAE4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0FE0751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30F7EB8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212CE5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1683B4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55AEAAD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2.0</w:t>
            </w:r>
          </w:p>
        </w:tc>
        <w:tc>
          <w:tcPr>
            <w:tcW w:w="596" w:type="dxa"/>
            <w:tcBorders>
              <w:top w:val="nil"/>
              <w:left w:val="nil"/>
              <w:bottom w:val="nil"/>
              <w:right w:val="nil"/>
            </w:tcBorders>
            <w:shd w:val="clear" w:color="000000" w:fill="D9D9D9"/>
            <w:noWrap/>
            <w:vAlign w:val="bottom"/>
            <w:hideMark/>
          </w:tcPr>
          <w:p w14:paraId="28DCFF1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495" w:type="dxa"/>
            <w:tcBorders>
              <w:top w:val="nil"/>
              <w:left w:val="nil"/>
              <w:bottom w:val="nil"/>
              <w:right w:val="nil"/>
            </w:tcBorders>
            <w:shd w:val="clear" w:color="000000" w:fill="F2F2F2"/>
            <w:noWrap/>
            <w:vAlign w:val="bottom"/>
            <w:hideMark/>
          </w:tcPr>
          <w:p w14:paraId="4133721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3298E39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1C3CE41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MLT</w:t>
            </w:r>
          </w:p>
        </w:tc>
        <w:tc>
          <w:tcPr>
            <w:tcW w:w="1477" w:type="dxa"/>
            <w:tcBorders>
              <w:top w:val="nil"/>
              <w:left w:val="nil"/>
              <w:bottom w:val="nil"/>
              <w:right w:val="nil"/>
            </w:tcBorders>
            <w:shd w:val="clear" w:color="auto" w:fill="D9D9D9" w:themeFill="background1" w:themeFillShade="D9"/>
            <w:noWrap/>
            <w:vAlign w:val="bottom"/>
            <w:hideMark/>
          </w:tcPr>
          <w:p w14:paraId="670849C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Malta</w:t>
            </w:r>
          </w:p>
        </w:tc>
        <w:tc>
          <w:tcPr>
            <w:tcW w:w="1308" w:type="dxa"/>
            <w:tcBorders>
              <w:top w:val="nil"/>
              <w:left w:val="nil"/>
              <w:bottom w:val="nil"/>
              <w:right w:val="nil"/>
            </w:tcBorders>
            <w:shd w:val="clear" w:color="auto" w:fill="D9D9D9" w:themeFill="background1" w:themeFillShade="D9"/>
            <w:noWrap/>
            <w:vAlign w:val="bottom"/>
            <w:hideMark/>
          </w:tcPr>
          <w:p w14:paraId="44046E27"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7902B3D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7BA51F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1E74B2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13B93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45A0128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8F2ABF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0BBF90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464E24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595" w:type="dxa"/>
            <w:tcBorders>
              <w:top w:val="nil"/>
              <w:left w:val="nil"/>
              <w:bottom w:val="nil"/>
              <w:right w:val="nil"/>
            </w:tcBorders>
            <w:shd w:val="clear" w:color="000000" w:fill="F2F2F2"/>
            <w:noWrap/>
            <w:vAlign w:val="bottom"/>
            <w:hideMark/>
          </w:tcPr>
          <w:p w14:paraId="3EE634A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207E8C6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31DC81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736B00D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6B0BFA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458CEB8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A34786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59FAEF0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AB034C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1.7</w:t>
            </w:r>
          </w:p>
        </w:tc>
        <w:tc>
          <w:tcPr>
            <w:tcW w:w="596" w:type="dxa"/>
            <w:tcBorders>
              <w:top w:val="nil"/>
              <w:left w:val="nil"/>
              <w:bottom w:val="nil"/>
              <w:right w:val="nil"/>
            </w:tcBorders>
            <w:shd w:val="clear" w:color="000000" w:fill="D9D9D9"/>
            <w:noWrap/>
            <w:vAlign w:val="bottom"/>
            <w:hideMark/>
          </w:tcPr>
          <w:p w14:paraId="24E4DB2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7AB9525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587B4346"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E6102B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NLD</w:t>
            </w:r>
          </w:p>
        </w:tc>
        <w:tc>
          <w:tcPr>
            <w:tcW w:w="1477" w:type="dxa"/>
            <w:tcBorders>
              <w:top w:val="nil"/>
              <w:left w:val="nil"/>
              <w:bottom w:val="nil"/>
              <w:right w:val="nil"/>
            </w:tcBorders>
            <w:shd w:val="clear" w:color="auto" w:fill="D9D9D9" w:themeFill="background1" w:themeFillShade="D9"/>
            <w:noWrap/>
            <w:vAlign w:val="bottom"/>
            <w:hideMark/>
          </w:tcPr>
          <w:p w14:paraId="5AB2B41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Netherlands</w:t>
            </w:r>
          </w:p>
        </w:tc>
        <w:tc>
          <w:tcPr>
            <w:tcW w:w="1308" w:type="dxa"/>
            <w:tcBorders>
              <w:top w:val="nil"/>
              <w:left w:val="nil"/>
              <w:bottom w:val="nil"/>
              <w:right w:val="nil"/>
            </w:tcBorders>
            <w:shd w:val="clear" w:color="auto" w:fill="D9D9D9" w:themeFill="background1" w:themeFillShade="D9"/>
            <w:noWrap/>
            <w:vAlign w:val="bottom"/>
            <w:hideMark/>
          </w:tcPr>
          <w:p w14:paraId="14B30536"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32DBA6F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2FA0E3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A49CDD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0C6B757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18662C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6B88FCA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1519CF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3300556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2ED817F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331B7C9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0885F2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AB626C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48FA81D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4D544EB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65C264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836732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BEC597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1.7</w:t>
            </w:r>
          </w:p>
        </w:tc>
        <w:tc>
          <w:tcPr>
            <w:tcW w:w="596" w:type="dxa"/>
            <w:tcBorders>
              <w:top w:val="nil"/>
              <w:left w:val="nil"/>
              <w:bottom w:val="nil"/>
              <w:right w:val="nil"/>
            </w:tcBorders>
            <w:shd w:val="clear" w:color="000000" w:fill="D9D9D9"/>
            <w:noWrap/>
            <w:vAlign w:val="bottom"/>
            <w:hideMark/>
          </w:tcPr>
          <w:p w14:paraId="2530E9D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6087E57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r>
      <w:tr w:rsidR="00306F5D" w:rsidRPr="00306F5D" w14:paraId="6796B2D0"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BD0B8F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POL</w:t>
            </w:r>
          </w:p>
        </w:tc>
        <w:tc>
          <w:tcPr>
            <w:tcW w:w="1477" w:type="dxa"/>
            <w:tcBorders>
              <w:top w:val="nil"/>
              <w:left w:val="nil"/>
              <w:bottom w:val="nil"/>
              <w:right w:val="nil"/>
            </w:tcBorders>
            <w:shd w:val="clear" w:color="auto" w:fill="D9D9D9" w:themeFill="background1" w:themeFillShade="D9"/>
            <w:noWrap/>
            <w:vAlign w:val="bottom"/>
            <w:hideMark/>
          </w:tcPr>
          <w:p w14:paraId="61556C3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Poland</w:t>
            </w:r>
          </w:p>
        </w:tc>
        <w:tc>
          <w:tcPr>
            <w:tcW w:w="1308" w:type="dxa"/>
            <w:tcBorders>
              <w:top w:val="nil"/>
              <w:left w:val="nil"/>
              <w:bottom w:val="nil"/>
              <w:right w:val="nil"/>
            </w:tcBorders>
            <w:shd w:val="clear" w:color="auto" w:fill="D9D9D9" w:themeFill="background1" w:themeFillShade="D9"/>
            <w:noWrap/>
            <w:vAlign w:val="bottom"/>
            <w:hideMark/>
          </w:tcPr>
          <w:p w14:paraId="2526786B"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4FE657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52C8A5C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68D568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273C731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55175C1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C33F2E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FFA9C5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7C4CFC1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nil"/>
              <w:left w:val="nil"/>
              <w:bottom w:val="nil"/>
              <w:right w:val="nil"/>
            </w:tcBorders>
            <w:shd w:val="clear" w:color="000000" w:fill="F2F2F2"/>
            <w:noWrap/>
            <w:vAlign w:val="bottom"/>
            <w:hideMark/>
          </w:tcPr>
          <w:p w14:paraId="306FDE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4EBCFC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33AA89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3C62DFE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383497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54A324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1C0955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42D2F0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472CB6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2.2</w:t>
            </w:r>
          </w:p>
        </w:tc>
        <w:tc>
          <w:tcPr>
            <w:tcW w:w="596" w:type="dxa"/>
            <w:tcBorders>
              <w:top w:val="nil"/>
              <w:left w:val="nil"/>
              <w:bottom w:val="nil"/>
              <w:right w:val="nil"/>
            </w:tcBorders>
            <w:shd w:val="clear" w:color="000000" w:fill="D9D9D9"/>
            <w:noWrap/>
            <w:vAlign w:val="bottom"/>
            <w:hideMark/>
          </w:tcPr>
          <w:p w14:paraId="72F22BC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nil"/>
              <w:left w:val="nil"/>
              <w:bottom w:val="nil"/>
              <w:right w:val="nil"/>
            </w:tcBorders>
            <w:shd w:val="clear" w:color="000000" w:fill="F2F2F2"/>
            <w:noWrap/>
            <w:vAlign w:val="bottom"/>
            <w:hideMark/>
          </w:tcPr>
          <w:p w14:paraId="4F86206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7D94B97B"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1B56BEC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lastRenderedPageBreak/>
              <w:t>PRT</w:t>
            </w:r>
          </w:p>
        </w:tc>
        <w:tc>
          <w:tcPr>
            <w:tcW w:w="1477" w:type="dxa"/>
            <w:tcBorders>
              <w:top w:val="nil"/>
              <w:left w:val="nil"/>
              <w:bottom w:val="nil"/>
              <w:right w:val="nil"/>
            </w:tcBorders>
            <w:shd w:val="clear" w:color="auto" w:fill="D9D9D9" w:themeFill="background1" w:themeFillShade="D9"/>
            <w:noWrap/>
            <w:vAlign w:val="bottom"/>
            <w:hideMark/>
          </w:tcPr>
          <w:p w14:paraId="69E1199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Portugal</w:t>
            </w:r>
          </w:p>
        </w:tc>
        <w:tc>
          <w:tcPr>
            <w:tcW w:w="1308" w:type="dxa"/>
            <w:tcBorders>
              <w:top w:val="nil"/>
              <w:left w:val="nil"/>
              <w:bottom w:val="nil"/>
              <w:right w:val="nil"/>
            </w:tcBorders>
            <w:shd w:val="clear" w:color="auto" w:fill="D9D9D9" w:themeFill="background1" w:themeFillShade="D9"/>
            <w:noWrap/>
            <w:vAlign w:val="bottom"/>
            <w:hideMark/>
          </w:tcPr>
          <w:p w14:paraId="7B9F1B54"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21E85A2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9D8698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2E546F0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83522D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987234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061D84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4B2E21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5D97DB4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595" w:type="dxa"/>
            <w:tcBorders>
              <w:top w:val="nil"/>
              <w:left w:val="nil"/>
              <w:bottom w:val="nil"/>
              <w:right w:val="nil"/>
            </w:tcBorders>
            <w:shd w:val="clear" w:color="000000" w:fill="F2F2F2"/>
            <w:noWrap/>
            <w:vAlign w:val="bottom"/>
            <w:hideMark/>
          </w:tcPr>
          <w:p w14:paraId="25C40D9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6D4AD2D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6A8772A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9461D8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41E87C7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0EFCD88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50C467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12F8AB7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68D5977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2.2</w:t>
            </w:r>
          </w:p>
        </w:tc>
        <w:tc>
          <w:tcPr>
            <w:tcW w:w="596" w:type="dxa"/>
            <w:tcBorders>
              <w:top w:val="nil"/>
              <w:left w:val="nil"/>
              <w:bottom w:val="nil"/>
              <w:right w:val="nil"/>
            </w:tcBorders>
            <w:shd w:val="clear" w:color="000000" w:fill="D9D9D9"/>
            <w:noWrap/>
            <w:vAlign w:val="bottom"/>
            <w:hideMark/>
          </w:tcPr>
          <w:p w14:paraId="652192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nil"/>
              <w:left w:val="nil"/>
              <w:bottom w:val="nil"/>
              <w:right w:val="nil"/>
            </w:tcBorders>
            <w:shd w:val="clear" w:color="000000" w:fill="F2F2F2"/>
            <w:noWrap/>
            <w:vAlign w:val="bottom"/>
            <w:hideMark/>
          </w:tcPr>
          <w:p w14:paraId="53F51E3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r>
      <w:tr w:rsidR="00306F5D" w:rsidRPr="00306F5D" w14:paraId="38E29D15"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4D9CA8E8"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SVK</w:t>
            </w:r>
          </w:p>
        </w:tc>
        <w:tc>
          <w:tcPr>
            <w:tcW w:w="1477" w:type="dxa"/>
            <w:tcBorders>
              <w:top w:val="nil"/>
              <w:left w:val="nil"/>
              <w:bottom w:val="nil"/>
              <w:right w:val="nil"/>
            </w:tcBorders>
            <w:shd w:val="clear" w:color="auto" w:fill="D9D9D9" w:themeFill="background1" w:themeFillShade="D9"/>
            <w:noWrap/>
            <w:vAlign w:val="bottom"/>
            <w:hideMark/>
          </w:tcPr>
          <w:p w14:paraId="0E08A4A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Slovakia</w:t>
            </w:r>
          </w:p>
        </w:tc>
        <w:tc>
          <w:tcPr>
            <w:tcW w:w="1308" w:type="dxa"/>
            <w:tcBorders>
              <w:top w:val="nil"/>
              <w:left w:val="nil"/>
              <w:bottom w:val="nil"/>
              <w:right w:val="nil"/>
            </w:tcBorders>
            <w:shd w:val="clear" w:color="auto" w:fill="D9D9D9" w:themeFill="background1" w:themeFillShade="D9"/>
            <w:noWrap/>
            <w:vAlign w:val="bottom"/>
            <w:hideMark/>
          </w:tcPr>
          <w:p w14:paraId="7CA04784"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2BE4986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BB76E3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70C737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3B7B37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96CBE6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5BD0B3D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090B4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7A7A805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nil"/>
              <w:left w:val="nil"/>
              <w:bottom w:val="nil"/>
              <w:right w:val="nil"/>
            </w:tcBorders>
            <w:shd w:val="clear" w:color="000000" w:fill="F2F2F2"/>
            <w:noWrap/>
            <w:vAlign w:val="bottom"/>
            <w:hideMark/>
          </w:tcPr>
          <w:p w14:paraId="4899FD3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56950E8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F5C786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0983522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0DF329A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4492188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3C3CE9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9D9E8C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37C4C7C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2.1</w:t>
            </w:r>
          </w:p>
        </w:tc>
        <w:tc>
          <w:tcPr>
            <w:tcW w:w="596" w:type="dxa"/>
            <w:tcBorders>
              <w:top w:val="nil"/>
              <w:left w:val="nil"/>
              <w:bottom w:val="nil"/>
              <w:right w:val="nil"/>
            </w:tcBorders>
            <w:shd w:val="clear" w:color="000000" w:fill="D9D9D9"/>
            <w:noWrap/>
            <w:vAlign w:val="bottom"/>
            <w:hideMark/>
          </w:tcPr>
          <w:p w14:paraId="133200A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495" w:type="dxa"/>
            <w:tcBorders>
              <w:top w:val="nil"/>
              <w:left w:val="nil"/>
              <w:bottom w:val="nil"/>
              <w:right w:val="nil"/>
            </w:tcBorders>
            <w:shd w:val="clear" w:color="000000" w:fill="F2F2F2"/>
            <w:noWrap/>
            <w:vAlign w:val="bottom"/>
            <w:hideMark/>
          </w:tcPr>
          <w:p w14:paraId="0050DA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1530B51B"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8B0EDD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SVN</w:t>
            </w:r>
          </w:p>
        </w:tc>
        <w:tc>
          <w:tcPr>
            <w:tcW w:w="1477" w:type="dxa"/>
            <w:tcBorders>
              <w:top w:val="nil"/>
              <w:left w:val="nil"/>
              <w:bottom w:val="nil"/>
              <w:right w:val="nil"/>
            </w:tcBorders>
            <w:shd w:val="clear" w:color="auto" w:fill="D9D9D9" w:themeFill="background1" w:themeFillShade="D9"/>
            <w:noWrap/>
            <w:vAlign w:val="bottom"/>
            <w:hideMark/>
          </w:tcPr>
          <w:p w14:paraId="66A2518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Slovenia</w:t>
            </w:r>
          </w:p>
        </w:tc>
        <w:tc>
          <w:tcPr>
            <w:tcW w:w="1308" w:type="dxa"/>
            <w:tcBorders>
              <w:top w:val="nil"/>
              <w:left w:val="nil"/>
              <w:bottom w:val="nil"/>
              <w:right w:val="nil"/>
            </w:tcBorders>
            <w:shd w:val="clear" w:color="auto" w:fill="D9D9D9" w:themeFill="background1" w:themeFillShade="D9"/>
            <w:noWrap/>
            <w:vAlign w:val="bottom"/>
            <w:hideMark/>
          </w:tcPr>
          <w:p w14:paraId="7C1FDB13"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6D2458F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2675FFA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7DE8B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F8B5CE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3078F34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B1A867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3A59DF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73A99D3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4D011F5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3F1B6C9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A22F5D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A3D158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247014F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7AE12CA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B7B1C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D03EA7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A47113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2.2</w:t>
            </w:r>
          </w:p>
        </w:tc>
        <w:tc>
          <w:tcPr>
            <w:tcW w:w="596" w:type="dxa"/>
            <w:tcBorders>
              <w:top w:val="nil"/>
              <w:left w:val="nil"/>
              <w:bottom w:val="nil"/>
              <w:right w:val="nil"/>
            </w:tcBorders>
            <w:shd w:val="clear" w:color="000000" w:fill="D9D9D9"/>
            <w:noWrap/>
            <w:vAlign w:val="bottom"/>
            <w:hideMark/>
          </w:tcPr>
          <w:p w14:paraId="636BCB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nil"/>
              <w:left w:val="nil"/>
              <w:bottom w:val="nil"/>
              <w:right w:val="nil"/>
            </w:tcBorders>
            <w:shd w:val="clear" w:color="000000" w:fill="F2F2F2"/>
            <w:noWrap/>
            <w:vAlign w:val="bottom"/>
            <w:hideMark/>
          </w:tcPr>
          <w:p w14:paraId="39628FB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56725FCA"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8A07AD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ESP</w:t>
            </w:r>
          </w:p>
        </w:tc>
        <w:tc>
          <w:tcPr>
            <w:tcW w:w="1477" w:type="dxa"/>
            <w:tcBorders>
              <w:top w:val="nil"/>
              <w:left w:val="nil"/>
              <w:bottom w:val="nil"/>
              <w:right w:val="nil"/>
            </w:tcBorders>
            <w:shd w:val="clear" w:color="auto" w:fill="D9D9D9" w:themeFill="background1" w:themeFillShade="D9"/>
            <w:noWrap/>
            <w:vAlign w:val="bottom"/>
            <w:hideMark/>
          </w:tcPr>
          <w:p w14:paraId="0F946BA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Spain</w:t>
            </w:r>
          </w:p>
        </w:tc>
        <w:tc>
          <w:tcPr>
            <w:tcW w:w="1308" w:type="dxa"/>
            <w:tcBorders>
              <w:top w:val="nil"/>
              <w:left w:val="nil"/>
              <w:bottom w:val="nil"/>
              <w:right w:val="nil"/>
            </w:tcBorders>
            <w:shd w:val="clear" w:color="auto" w:fill="D9D9D9" w:themeFill="background1" w:themeFillShade="D9"/>
            <w:noWrap/>
            <w:vAlign w:val="bottom"/>
            <w:hideMark/>
          </w:tcPr>
          <w:p w14:paraId="4BF1F92C"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1CF0E63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0BCFF5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D9D406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24BD141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04B8EB0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451C831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1DE019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6CF0D25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595" w:type="dxa"/>
            <w:tcBorders>
              <w:top w:val="nil"/>
              <w:left w:val="nil"/>
              <w:bottom w:val="nil"/>
              <w:right w:val="nil"/>
            </w:tcBorders>
            <w:shd w:val="clear" w:color="000000" w:fill="F2F2F2"/>
            <w:noWrap/>
            <w:vAlign w:val="bottom"/>
            <w:hideMark/>
          </w:tcPr>
          <w:p w14:paraId="6DC1C8B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3E3EEDF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F3C584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1913681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188C50E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5A09A4D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F06631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313402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49185E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2.5</w:t>
            </w:r>
          </w:p>
        </w:tc>
        <w:tc>
          <w:tcPr>
            <w:tcW w:w="596" w:type="dxa"/>
            <w:tcBorders>
              <w:top w:val="nil"/>
              <w:left w:val="nil"/>
              <w:bottom w:val="nil"/>
              <w:right w:val="nil"/>
            </w:tcBorders>
            <w:shd w:val="clear" w:color="000000" w:fill="D9D9D9"/>
            <w:noWrap/>
            <w:vAlign w:val="bottom"/>
            <w:hideMark/>
          </w:tcPr>
          <w:p w14:paraId="1DCB493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495" w:type="dxa"/>
            <w:tcBorders>
              <w:top w:val="nil"/>
              <w:left w:val="nil"/>
              <w:bottom w:val="nil"/>
              <w:right w:val="nil"/>
            </w:tcBorders>
            <w:shd w:val="clear" w:color="000000" w:fill="F2F2F2"/>
            <w:noWrap/>
            <w:vAlign w:val="bottom"/>
            <w:hideMark/>
          </w:tcPr>
          <w:p w14:paraId="1AC36E7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60C278A9"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7CD1B2E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SWE</w:t>
            </w:r>
          </w:p>
        </w:tc>
        <w:tc>
          <w:tcPr>
            <w:tcW w:w="1477" w:type="dxa"/>
            <w:tcBorders>
              <w:top w:val="nil"/>
              <w:left w:val="nil"/>
              <w:bottom w:val="nil"/>
              <w:right w:val="nil"/>
            </w:tcBorders>
            <w:shd w:val="clear" w:color="auto" w:fill="D9D9D9" w:themeFill="background1" w:themeFillShade="D9"/>
            <w:noWrap/>
            <w:vAlign w:val="bottom"/>
            <w:hideMark/>
          </w:tcPr>
          <w:p w14:paraId="13CA398B"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Sweden</w:t>
            </w:r>
          </w:p>
        </w:tc>
        <w:tc>
          <w:tcPr>
            <w:tcW w:w="1308" w:type="dxa"/>
            <w:tcBorders>
              <w:top w:val="nil"/>
              <w:left w:val="nil"/>
              <w:bottom w:val="nil"/>
              <w:right w:val="nil"/>
            </w:tcBorders>
            <w:shd w:val="clear" w:color="auto" w:fill="D9D9D9" w:themeFill="background1" w:themeFillShade="D9"/>
            <w:noWrap/>
            <w:vAlign w:val="bottom"/>
            <w:hideMark/>
          </w:tcPr>
          <w:p w14:paraId="500E3E52"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4D79ABC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4FC0B36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2EAF981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216B69A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30BFF7D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4F93CF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4862D7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5A8A5D6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1.5</w:t>
            </w:r>
          </w:p>
        </w:tc>
        <w:tc>
          <w:tcPr>
            <w:tcW w:w="595" w:type="dxa"/>
            <w:tcBorders>
              <w:top w:val="nil"/>
              <w:left w:val="nil"/>
              <w:bottom w:val="nil"/>
              <w:right w:val="nil"/>
            </w:tcBorders>
            <w:shd w:val="clear" w:color="000000" w:fill="F2F2F2"/>
            <w:noWrap/>
            <w:vAlign w:val="bottom"/>
            <w:hideMark/>
          </w:tcPr>
          <w:p w14:paraId="092D52E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2AD1C9F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D3D2F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3F65010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20E5202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110FD50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76D663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AF6DD3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5B91584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2.4</w:t>
            </w:r>
          </w:p>
        </w:tc>
        <w:tc>
          <w:tcPr>
            <w:tcW w:w="596" w:type="dxa"/>
            <w:tcBorders>
              <w:top w:val="nil"/>
              <w:left w:val="nil"/>
              <w:bottom w:val="nil"/>
              <w:right w:val="nil"/>
            </w:tcBorders>
            <w:shd w:val="clear" w:color="000000" w:fill="D9D9D9"/>
            <w:noWrap/>
            <w:vAlign w:val="bottom"/>
            <w:hideMark/>
          </w:tcPr>
          <w:p w14:paraId="71F478B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495" w:type="dxa"/>
            <w:tcBorders>
              <w:top w:val="nil"/>
              <w:left w:val="nil"/>
              <w:bottom w:val="nil"/>
              <w:right w:val="nil"/>
            </w:tcBorders>
            <w:shd w:val="clear" w:color="000000" w:fill="F2F2F2"/>
            <w:noWrap/>
            <w:vAlign w:val="bottom"/>
            <w:hideMark/>
          </w:tcPr>
          <w:p w14:paraId="4AC7743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4ED29669"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1F9BCFF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GBR</w:t>
            </w:r>
          </w:p>
        </w:tc>
        <w:tc>
          <w:tcPr>
            <w:tcW w:w="1477" w:type="dxa"/>
            <w:tcBorders>
              <w:top w:val="nil"/>
              <w:left w:val="nil"/>
              <w:bottom w:val="nil"/>
              <w:right w:val="nil"/>
            </w:tcBorders>
            <w:shd w:val="clear" w:color="auto" w:fill="D9D9D9" w:themeFill="background1" w:themeFillShade="D9"/>
            <w:noWrap/>
            <w:vAlign w:val="bottom"/>
            <w:hideMark/>
          </w:tcPr>
          <w:p w14:paraId="37856DF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United Kingdom</w:t>
            </w:r>
          </w:p>
        </w:tc>
        <w:tc>
          <w:tcPr>
            <w:tcW w:w="1308" w:type="dxa"/>
            <w:tcBorders>
              <w:top w:val="nil"/>
              <w:left w:val="nil"/>
              <w:bottom w:val="nil"/>
              <w:right w:val="nil"/>
            </w:tcBorders>
            <w:shd w:val="clear" w:color="auto" w:fill="D9D9D9" w:themeFill="background1" w:themeFillShade="D9"/>
            <w:noWrap/>
            <w:vAlign w:val="bottom"/>
            <w:hideMark/>
          </w:tcPr>
          <w:p w14:paraId="14D8DB5A"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5E63C2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3433C67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150FD2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5B0D613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B56775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2F2CCC4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4A47AF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150DDC5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4FCA356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1B6F23F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1C4282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2D4637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79DCDA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28A861E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EC0ACF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0B8559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5AB8AE9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2.0</w:t>
            </w:r>
          </w:p>
        </w:tc>
        <w:tc>
          <w:tcPr>
            <w:tcW w:w="596" w:type="dxa"/>
            <w:tcBorders>
              <w:top w:val="nil"/>
              <w:left w:val="nil"/>
              <w:bottom w:val="nil"/>
              <w:right w:val="nil"/>
            </w:tcBorders>
            <w:shd w:val="clear" w:color="000000" w:fill="D9D9D9"/>
            <w:noWrap/>
            <w:vAlign w:val="bottom"/>
            <w:hideMark/>
          </w:tcPr>
          <w:p w14:paraId="7A0DBE4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495" w:type="dxa"/>
            <w:tcBorders>
              <w:top w:val="nil"/>
              <w:left w:val="nil"/>
              <w:bottom w:val="nil"/>
              <w:right w:val="nil"/>
            </w:tcBorders>
            <w:shd w:val="clear" w:color="000000" w:fill="F2F2F2"/>
            <w:noWrap/>
            <w:vAlign w:val="bottom"/>
            <w:hideMark/>
          </w:tcPr>
          <w:p w14:paraId="7C4A70B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03A4E97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7FE11F1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CHE</w:t>
            </w:r>
          </w:p>
        </w:tc>
        <w:tc>
          <w:tcPr>
            <w:tcW w:w="1477" w:type="dxa"/>
            <w:tcBorders>
              <w:top w:val="nil"/>
              <w:left w:val="nil"/>
              <w:bottom w:val="nil"/>
              <w:right w:val="nil"/>
            </w:tcBorders>
            <w:shd w:val="clear" w:color="auto" w:fill="D9D9D9" w:themeFill="background1" w:themeFillShade="D9"/>
            <w:noWrap/>
            <w:vAlign w:val="bottom"/>
            <w:hideMark/>
          </w:tcPr>
          <w:p w14:paraId="7A71E91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Switzerland</w:t>
            </w:r>
          </w:p>
        </w:tc>
        <w:tc>
          <w:tcPr>
            <w:tcW w:w="1308" w:type="dxa"/>
            <w:tcBorders>
              <w:top w:val="nil"/>
              <w:left w:val="nil"/>
              <w:bottom w:val="nil"/>
              <w:right w:val="nil"/>
            </w:tcBorders>
            <w:shd w:val="clear" w:color="auto" w:fill="D9D9D9" w:themeFill="background1" w:themeFillShade="D9"/>
            <w:noWrap/>
            <w:vAlign w:val="bottom"/>
            <w:hideMark/>
          </w:tcPr>
          <w:p w14:paraId="7F0781B3"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5E079D5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52C39C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CB11D9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1CA3B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65B3B2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4F94A7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AA9B3E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1B66AEF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nil"/>
              <w:left w:val="nil"/>
              <w:bottom w:val="nil"/>
              <w:right w:val="nil"/>
            </w:tcBorders>
            <w:shd w:val="clear" w:color="000000" w:fill="F2F2F2"/>
            <w:noWrap/>
            <w:vAlign w:val="bottom"/>
            <w:hideMark/>
          </w:tcPr>
          <w:p w14:paraId="4D53B0C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1EB14A6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27F831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0D5F6D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6B6C0B0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2AF09CE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BBF558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641FF0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CE2873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nil"/>
              <w:left w:val="nil"/>
              <w:bottom w:val="nil"/>
              <w:right w:val="nil"/>
            </w:tcBorders>
            <w:shd w:val="clear" w:color="000000" w:fill="D9D9D9"/>
            <w:noWrap/>
            <w:vAlign w:val="bottom"/>
            <w:hideMark/>
          </w:tcPr>
          <w:p w14:paraId="296B101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0B562A6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65DA4B5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89E2BD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NOR</w:t>
            </w:r>
          </w:p>
        </w:tc>
        <w:tc>
          <w:tcPr>
            <w:tcW w:w="1477" w:type="dxa"/>
            <w:tcBorders>
              <w:top w:val="nil"/>
              <w:left w:val="nil"/>
              <w:bottom w:val="nil"/>
              <w:right w:val="nil"/>
            </w:tcBorders>
            <w:shd w:val="clear" w:color="auto" w:fill="D9D9D9" w:themeFill="background1" w:themeFillShade="D9"/>
            <w:noWrap/>
            <w:vAlign w:val="bottom"/>
            <w:hideMark/>
          </w:tcPr>
          <w:p w14:paraId="170593C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Norway</w:t>
            </w:r>
          </w:p>
        </w:tc>
        <w:tc>
          <w:tcPr>
            <w:tcW w:w="1308" w:type="dxa"/>
            <w:tcBorders>
              <w:top w:val="nil"/>
              <w:left w:val="nil"/>
              <w:bottom w:val="nil"/>
              <w:right w:val="nil"/>
            </w:tcBorders>
            <w:shd w:val="clear" w:color="auto" w:fill="D9D9D9" w:themeFill="background1" w:themeFillShade="D9"/>
            <w:noWrap/>
            <w:vAlign w:val="bottom"/>
            <w:hideMark/>
          </w:tcPr>
          <w:p w14:paraId="4C021E1E"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084A37E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2250161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56CB43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64A9AD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5723037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549ED5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023D48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699D7E2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595" w:type="dxa"/>
            <w:tcBorders>
              <w:top w:val="nil"/>
              <w:left w:val="nil"/>
              <w:bottom w:val="nil"/>
              <w:right w:val="nil"/>
            </w:tcBorders>
            <w:shd w:val="clear" w:color="000000" w:fill="F2F2F2"/>
            <w:noWrap/>
            <w:vAlign w:val="bottom"/>
            <w:hideMark/>
          </w:tcPr>
          <w:p w14:paraId="59FEB8E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1C092C8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6FCDA2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D49F81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29BF4FB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2B62E72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C4A35F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1605B93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49F8DC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2.3</w:t>
            </w:r>
          </w:p>
        </w:tc>
        <w:tc>
          <w:tcPr>
            <w:tcW w:w="596" w:type="dxa"/>
            <w:tcBorders>
              <w:top w:val="nil"/>
              <w:left w:val="nil"/>
              <w:bottom w:val="nil"/>
              <w:right w:val="nil"/>
            </w:tcBorders>
            <w:shd w:val="clear" w:color="000000" w:fill="D9D9D9"/>
            <w:noWrap/>
            <w:vAlign w:val="bottom"/>
            <w:hideMark/>
          </w:tcPr>
          <w:p w14:paraId="280F15D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495" w:type="dxa"/>
            <w:tcBorders>
              <w:top w:val="nil"/>
              <w:left w:val="nil"/>
              <w:bottom w:val="nil"/>
              <w:right w:val="nil"/>
            </w:tcBorders>
            <w:shd w:val="clear" w:color="000000" w:fill="F2F2F2"/>
            <w:noWrap/>
            <w:vAlign w:val="bottom"/>
            <w:hideMark/>
          </w:tcPr>
          <w:p w14:paraId="65C587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346BD464"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28A52F5"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ALB</w:t>
            </w:r>
          </w:p>
        </w:tc>
        <w:tc>
          <w:tcPr>
            <w:tcW w:w="1477" w:type="dxa"/>
            <w:tcBorders>
              <w:top w:val="nil"/>
              <w:left w:val="nil"/>
              <w:bottom w:val="nil"/>
              <w:right w:val="nil"/>
            </w:tcBorders>
            <w:shd w:val="clear" w:color="auto" w:fill="D9D9D9" w:themeFill="background1" w:themeFillShade="D9"/>
            <w:noWrap/>
            <w:vAlign w:val="bottom"/>
            <w:hideMark/>
          </w:tcPr>
          <w:p w14:paraId="0F9D338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Albania</w:t>
            </w:r>
          </w:p>
        </w:tc>
        <w:tc>
          <w:tcPr>
            <w:tcW w:w="1308" w:type="dxa"/>
            <w:tcBorders>
              <w:top w:val="nil"/>
              <w:left w:val="nil"/>
              <w:bottom w:val="nil"/>
              <w:right w:val="nil"/>
            </w:tcBorders>
            <w:shd w:val="clear" w:color="auto" w:fill="D9D9D9" w:themeFill="background1" w:themeFillShade="D9"/>
            <w:noWrap/>
            <w:vAlign w:val="bottom"/>
            <w:hideMark/>
          </w:tcPr>
          <w:p w14:paraId="1CCDC60B"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1D3346E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5332BFA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5CEFB0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25CA7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678C9C8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185DE4D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52131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457C63D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595" w:type="dxa"/>
            <w:tcBorders>
              <w:top w:val="nil"/>
              <w:left w:val="nil"/>
              <w:bottom w:val="nil"/>
              <w:right w:val="nil"/>
            </w:tcBorders>
            <w:shd w:val="clear" w:color="000000" w:fill="F2F2F2"/>
            <w:noWrap/>
            <w:vAlign w:val="bottom"/>
            <w:hideMark/>
          </w:tcPr>
          <w:p w14:paraId="500EF1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684D865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126F15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E04C87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288AF90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7680ACF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178E37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55BA19D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5F7DA13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2.2</w:t>
            </w:r>
          </w:p>
        </w:tc>
        <w:tc>
          <w:tcPr>
            <w:tcW w:w="596" w:type="dxa"/>
            <w:tcBorders>
              <w:top w:val="nil"/>
              <w:left w:val="nil"/>
              <w:bottom w:val="nil"/>
              <w:right w:val="nil"/>
            </w:tcBorders>
            <w:shd w:val="clear" w:color="000000" w:fill="D9D9D9"/>
            <w:noWrap/>
            <w:vAlign w:val="bottom"/>
            <w:hideMark/>
          </w:tcPr>
          <w:p w14:paraId="719DEA6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nil"/>
              <w:left w:val="nil"/>
              <w:bottom w:val="nil"/>
              <w:right w:val="nil"/>
            </w:tcBorders>
            <w:shd w:val="clear" w:color="000000" w:fill="F2F2F2"/>
            <w:noWrap/>
            <w:vAlign w:val="bottom"/>
            <w:hideMark/>
          </w:tcPr>
          <w:p w14:paraId="5237740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37986D3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7BFC69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BGR</w:t>
            </w:r>
          </w:p>
        </w:tc>
        <w:tc>
          <w:tcPr>
            <w:tcW w:w="1477" w:type="dxa"/>
            <w:tcBorders>
              <w:top w:val="nil"/>
              <w:left w:val="nil"/>
              <w:bottom w:val="nil"/>
              <w:right w:val="nil"/>
            </w:tcBorders>
            <w:shd w:val="clear" w:color="auto" w:fill="D9D9D9" w:themeFill="background1" w:themeFillShade="D9"/>
            <w:noWrap/>
            <w:vAlign w:val="bottom"/>
            <w:hideMark/>
          </w:tcPr>
          <w:p w14:paraId="0333370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Bulgaria</w:t>
            </w:r>
          </w:p>
        </w:tc>
        <w:tc>
          <w:tcPr>
            <w:tcW w:w="1308" w:type="dxa"/>
            <w:tcBorders>
              <w:top w:val="nil"/>
              <w:left w:val="nil"/>
              <w:bottom w:val="nil"/>
              <w:right w:val="nil"/>
            </w:tcBorders>
            <w:shd w:val="clear" w:color="auto" w:fill="D9D9D9" w:themeFill="background1" w:themeFillShade="D9"/>
            <w:noWrap/>
            <w:vAlign w:val="bottom"/>
            <w:hideMark/>
          </w:tcPr>
          <w:p w14:paraId="5ED3A22C"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7801518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5A13C7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59AC49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D753A6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54FA32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7B328EB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D99FF3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77E18B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22A8B42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3D15019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69EA85C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51BC6B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75A2372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6B2A147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85F7EC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128F940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92D999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2.6</w:t>
            </w:r>
          </w:p>
        </w:tc>
        <w:tc>
          <w:tcPr>
            <w:tcW w:w="596" w:type="dxa"/>
            <w:tcBorders>
              <w:top w:val="nil"/>
              <w:left w:val="nil"/>
              <w:bottom w:val="nil"/>
              <w:right w:val="nil"/>
            </w:tcBorders>
            <w:shd w:val="clear" w:color="000000" w:fill="D9D9D9"/>
            <w:noWrap/>
            <w:vAlign w:val="bottom"/>
            <w:hideMark/>
          </w:tcPr>
          <w:p w14:paraId="55693A2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495" w:type="dxa"/>
            <w:tcBorders>
              <w:top w:val="nil"/>
              <w:left w:val="nil"/>
              <w:bottom w:val="nil"/>
              <w:right w:val="nil"/>
            </w:tcBorders>
            <w:shd w:val="clear" w:color="000000" w:fill="F2F2F2"/>
            <w:noWrap/>
            <w:vAlign w:val="bottom"/>
            <w:hideMark/>
          </w:tcPr>
          <w:p w14:paraId="40E8A1E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6753757F"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DA3B83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BLR</w:t>
            </w:r>
          </w:p>
        </w:tc>
        <w:tc>
          <w:tcPr>
            <w:tcW w:w="1477" w:type="dxa"/>
            <w:tcBorders>
              <w:top w:val="nil"/>
              <w:left w:val="nil"/>
              <w:bottom w:val="nil"/>
              <w:right w:val="nil"/>
            </w:tcBorders>
            <w:shd w:val="clear" w:color="auto" w:fill="D9D9D9" w:themeFill="background1" w:themeFillShade="D9"/>
            <w:noWrap/>
            <w:vAlign w:val="bottom"/>
            <w:hideMark/>
          </w:tcPr>
          <w:p w14:paraId="3CDE136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Belarus</w:t>
            </w:r>
          </w:p>
        </w:tc>
        <w:tc>
          <w:tcPr>
            <w:tcW w:w="1308" w:type="dxa"/>
            <w:tcBorders>
              <w:top w:val="nil"/>
              <w:left w:val="nil"/>
              <w:bottom w:val="nil"/>
              <w:right w:val="nil"/>
            </w:tcBorders>
            <w:shd w:val="clear" w:color="auto" w:fill="D9D9D9" w:themeFill="background1" w:themeFillShade="D9"/>
            <w:noWrap/>
            <w:vAlign w:val="bottom"/>
            <w:hideMark/>
          </w:tcPr>
          <w:p w14:paraId="2E9A5984"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7268D84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3B3EB00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EF4D7D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20902E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6EC17A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0F7D33F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13F3E8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024DC86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nil"/>
              <w:left w:val="nil"/>
              <w:bottom w:val="nil"/>
              <w:right w:val="nil"/>
            </w:tcBorders>
            <w:shd w:val="clear" w:color="000000" w:fill="F2F2F2"/>
            <w:noWrap/>
            <w:vAlign w:val="bottom"/>
            <w:hideMark/>
          </w:tcPr>
          <w:p w14:paraId="7D0E2D0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23E31B7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AA0DF8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8ABDBD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241E925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43E1D4E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9B1509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326DDD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3BDCB12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c>
          <w:tcPr>
            <w:tcW w:w="596" w:type="dxa"/>
            <w:tcBorders>
              <w:top w:val="nil"/>
              <w:left w:val="nil"/>
              <w:bottom w:val="nil"/>
              <w:right w:val="nil"/>
            </w:tcBorders>
            <w:shd w:val="clear" w:color="000000" w:fill="D9D9D9"/>
            <w:noWrap/>
            <w:vAlign w:val="bottom"/>
            <w:hideMark/>
          </w:tcPr>
          <w:p w14:paraId="1C85C19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5260D18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3E8EEAE1"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7CF653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HRV</w:t>
            </w:r>
          </w:p>
        </w:tc>
        <w:tc>
          <w:tcPr>
            <w:tcW w:w="1477" w:type="dxa"/>
            <w:tcBorders>
              <w:top w:val="nil"/>
              <w:left w:val="nil"/>
              <w:bottom w:val="nil"/>
              <w:right w:val="nil"/>
            </w:tcBorders>
            <w:shd w:val="clear" w:color="auto" w:fill="D9D9D9" w:themeFill="background1" w:themeFillShade="D9"/>
            <w:noWrap/>
            <w:vAlign w:val="bottom"/>
            <w:hideMark/>
          </w:tcPr>
          <w:p w14:paraId="3A6B1E9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Croatia</w:t>
            </w:r>
          </w:p>
        </w:tc>
        <w:tc>
          <w:tcPr>
            <w:tcW w:w="1308" w:type="dxa"/>
            <w:tcBorders>
              <w:top w:val="nil"/>
              <w:left w:val="nil"/>
              <w:bottom w:val="nil"/>
              <w:right w:val="nil"/>
            </w:tcBorders>
            <w:shd w:val="clear" w:color="auto" w:fill="D9D9D9" w:themeFill="background1" w:themeFillShade="D9"/>
            <w:noWrap/>
            <w:vAlign w:val="bottom"/>
            <w:hideMark/>
          </w:tcPr>
          <w:p w14:paraId="3A823DE2"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318CE09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048FEFE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20F205A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FCF574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5054B59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5CC7E1B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B2BCEB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5AA773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6500B77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678BD29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7A1A835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62E231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1305B62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5D28B20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D41BC0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5DD77FC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F4E05A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2.2</w:t>
            </w:r>
          </w:p>
        </w:tc>
        <w:tc>
          <w:tcPr>
            <w:tcW w:w="596" w:type="dxa"/>
            <w:tcBorders>
              <w:top w:val="nil"/>
              <w:left w:val="nil"/>
              <w:bottom w:val="nil"/>
              <w:right w:val="nil"/>
            </w:tcBorders>
            <w:shd w:val="clear" w:color="000000" w:fill="D9D9D9"/>
            <w:noWrap/>
            <w:vAlign w:val="bottom"/>
            <w:hideMark/>
          </w:tcPr>
          <w:p w14:paraId="5F3CBED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nil"/>
              <w:left w:val="nil"/>
              <w:bottom w:val="nil"/>
              <w:right w:val="nil"/>
            </w:tcBorders>
            <w:shd w:val="clear" w:color="000000" w:fill="F2F2F2"/>
            <w:noWrap/>
            <w:vAlign w:val="bottom"/>
            <w:hideMark/>
          </w:tcPr>
          <w:p w14:paraId="387368F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36156C8A"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BD58C17"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ROU</w:t>
            </w:r>
          </w:p>
        </w:tc>
        <w:tc>
          <w:tcPr>
            <w:tcW w:w="1477" w:type="dxa"/>
            <w:tcBorders>
              <w:top w:val="nil"/>
              <w:left w:val="nil"/>
              <w:bottom w:val="nil"/>
              <w:right w:val="nil"/>
            </w:tcBorders>
            <w:shd w:val="clear" w:color="auto" w:fill="D9D9D9" w:themeFill="background1" w:themeFillShade="D9"/>
            <w:noWrap/>
            <w:vAlign w:val="bottom"/>
            <w:hideMark/>
          </w:tcPr>
          <w:p w14:paraId="1A6BF35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Romania</w:t>
            </w:r>
          </w:p>
        </w:tc>
        <w:tc>
          <w:tcPr>
            <w:tcW w:w="1308" w:type="dxa"/>
            <w:tcBorders>
              <w:top w:val="nil"/>
              <w:left w:val="nil"/>
              <w:bottom w:val="nil"/>
              <w:right w:val="nil"/>
            </w:tcBorders>
            <w:shd w:val="clear" w:color="auto" w:fill="D9D9D9" w:themeFill="background1" w:themeFillShade="D9"/>
            <w:noWrap/>
            <w:vAlign w:val="bottom"/>
            <w:hideMark/>
          </w:tcPr>
          <w:p w14:paraId="3A645303"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35D1693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3DBE35A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51C226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35FA24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66E0683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4A0BB0B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D87646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0E2389E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046F200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362C07E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23809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AD4326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499D953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3D735BD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D972BA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B72C31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CB33B3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6" w:type="dxa"/>
            <w:tcBorders>
              <w:top w:val="nil"/>
              <w:left w:val="nil"/>
              <w:bottom w:val="nil"/>
              <w:right w:val="nil"/>
            </w:tcBorders>
            <w:shd w:val="clear" w:color="000000" w:fill="D9D9D9"/>
            <w:noWrap/>
            <w:vAlign w:val="bottom"/>
            <w:hideMark/>
          </w:tcPr>
          <w:p w14:paraId="02F4BD5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495" w:type="dxa"/>
            <w:tcBorders>
              <w:top w:val="nil"/>
              <w:left w:val="nil"/>
              <w:bottom w:val="nil"/>
              <w:right w:val="nil"/>
            </w:tcBorders>
            <w:shd w:val="clear" w:color="000000" w:fill="F2F2F2"/>
            <w:noWrap/>
            <w:vAlign w:val="bottom"/>
            <w:hideMark/>
          </w:tcPr>
          <w:p w14:paraId="020FE01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32475A75"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EF1B6D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RUS</w:t>
            </w:r>
          </w:p>
        </w:tc>
        <w:tc>
          <w:tcPr>
            <w:tcW w:w="1477" w:type="dxa"/>
            <w:tcBorders>
              <w:top w:val="nil"/>
              <w:left w:val="nil"/>
              <w:bottom w:val="nil"/>
              <w:right w:val="nil"/>
            </w:tcBorders>
            <w:shd w:val="clear" w:color="auto" w:fill="D9D9D9" w:themeFill="background1" w:themeFillShade="D9"/>
            <w:noWrap/>
            <w:vAlign w:val="bottom"/>
            <w:hideMark/>
          </w:tcPr>
          <w:p w14:paraId="4A00C1C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Russia</w:t>
            </w:r>
          </w:p>
        </w:tc>
        <w:tc>
          <w:tcPr>
            <w:tcW w:w="1308" w:type="dxa"/>
            <w:tcBorders>
              <w:top w:val="nil"/>
              <w:left w:val="nil"/>
              <w:bottom w:val="nil"/>
              <w:right w:val="nil"/>
            </w:tcBorders>
            <w:shd w:val="clear" w:color="auto" w:fill="D9D9D9" w:themeFill="background1" w:themeFillShade="D9"/>
            <w:noWrap/>
            <w:vAlign w:val="bottom"/>
            <w:hideMark/>
          </w:tcPr>
          <w:p w14:paraId="1A15ECFF"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5631AAF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4A794FC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2AF7458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B337F5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31A9465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45FD06C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6F99B1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00C0A8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595" w:type="dxa"/>
            <w:tcBorders>
              <w:top w:val="nil"/>
              <w:left w:val="nil"/>
              <w:bottom w:val="nil"/>
              <w:right w:val="nil"/>
            </w:tcBorders>
            <w:shd w:val="clear" w:color="000000" w:fill="F2F2F2"/>
            <w:noWrap/>
            <w:vAlign w:val="bottom"/>
            <w:hideMark/>
          </w:tcPr>
          <w:p w14:paraId="7A180D8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07CB93B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7EF98B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2DC39E1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4495D0B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42750B4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F3F1E0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536FCDF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33CFA9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c>
          <w:tcPr>
            <w:tcW w:w="596" w:type="dxa"/>
            <w:tcBorders>
              <w:top w:val="nil"/>
              <w:left w:val="nil"/>
              <w:bottom w:val="nil"/>
              <w:right w:val="nil"/>
            </w:tcBorders>
            <w:shd w:val="clear" w:color="000000" w:fill="D9D9D9"/>
            <w:noWrap/>
            <w:vAlign w:val="bottom"/>
            <w:hideMark/>
          </w:tcPr>
          <w:p w14:paraId="55650F8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21115DC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3.5</w:t>
            </w:r>
          </w:p>
        </w:tc>
      </w:tr>
      <w:tr w:rsidR="00306F5D" w:rsidRPr="00306F5D" w14:paraId="5231F254"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7666190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UKR</w:t>
            </w:r>
          </w:p>
        </w:tc>
        <w:tc>
          <w:tcPr>
            <w:tcW w:w="1477" w:type="dxa"/>
            <w:tcBorders>
              <w:top w:val="nil"/>
              <w:left w:val="nil"/>
              <w:bottom w:val="nil"/>
              <w:right w:val="nil"/>
            </w:tcBorders>
            <w:shd w:val="clear" w:color="auto" w:fill="D9D9D9" w:themeFill="background1" w:themeFillShade="D9"/>
            <w:noWrap/>
            <w:vAlign w:val="bottom"/>
            <w:hideMark/>
          </w:tcPr>
          <w:p w14:paraId="45DC5D7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Ukraine</w:t>
            </w:r>
          </w:p>
        </w:tc>
        <w:tc>
          <w:tcPr>
            <w:tcW w:w="1308" w:type="dxa"/>
            <w:tcBorders>
              <w:top w:val="nil"/>
              <w:left w:val="nil"/>
              <w:bottom w:val="nil"/>
              <w:right w:val="nil"/>
            </w:tcBorders>
            <w:shd w:val="clear" w:color="auto" w:fill="D9D9D9" w:themeFill="background1" w:themeFillShade="D9"/>
            <w:noWrap/>
            <w:vAlign w:val="bottom"/>
            <w:hideMark/>
          </w:tcPr>
          <w:p w14:paraId="31FB8D28"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Europe</w:t>
            </w:r>
          </w:p>
        </w:tc>
        <w:tc>
          <w:tcPr>
            <w:tcW w:w="594" w:type="dxa"/>
            <w:tcBorders>
              <w:top w:val="nil"/>
              <w:left w:val="nil"/>
              <w:bottom w:val="nil"/>
              <w:right w:val="nil"/>
            </w:tcBorders>
            <w:shd w:val="clear" w:color="000000" w:fill="F2F2F2"/>
            <w:noWrap/>
            <w:vAlign w:val="bottom"/>
            <w:hideMark/>
          </w:tcPr>
          <w:p w14:paraId="1A62FDF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2B5BCA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11431C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2EC6A5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5D8D1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39F3FD0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03FEC6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0F5D485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08AC32E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51299BD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44C4B5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3DF41AD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58B6345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6103F5E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FFE87F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12B427F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46EF38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c>
          <w:tcPr>
            <w:tcW w:w="596" w:type="dxa"/>
            <w:tcBorders>
              <w:top w:val="nil"/>
              <w:left w:val="nil"/>
              <w:bottom w:val="nil"/>
              <w:right w:val="nil"/>
            </w:tcBorders>
            <w:shd w:val="clear" w:color="000000" w:fill="D9D9D9"/>
            <w:noWrap/>
            <w:vAlign w:val="bottom"/>
            <w:hideMark/>
          </w:tcPr>
          <w:p w14:paraId="4F82052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4A0C3AA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2C3F16B1" w14:textId="77777777" w:rsidTr="002F18DD">
        <w:trPr>
          <w:trHeight w:val="255"/>
        </w:trPr>
        <w:tc>
          <w:tcPr>
            <w:tcW w:w="567" w:type="dxa"/>
            <w:tcBorders>
              <w:top w:val="single" w:sz="4" w:space="0" w:color="A6A6A6"/>
              <w:left w:val="nil"/>
              <w:bottom w:val="nil"/>
              <w:right w:val="nil"/>
            </w:tcBorders>
            <w:shd w:val="clear" w:color="auto" w:fill="D9D9D9" w:themeFill="background1" w:themeFillShade="D9"/>
            <w:noWrap/>
            <w:vAlign w:val="bottom"/>
            <w:hideMark/>
          </w:tcPr>
          <w:p w14:paraId="612A511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KAZ</w:t>
            </w:r>
          </w:p>
        </w:tc>
        <w:tc>
          <w:tcPr>
            <w:tcW w:w="1477" w:type="dxa"/>
            <w:tcBorders>
              <w:top w:val="single" w:sz="4" w:space="0" w:color="A6A6A6"/>
              <w:left w:val="nil"/>
              <w:bottom w:val="nil"/>
              <w:right w:val="nil"/>
            </w:tcBorders>
            <w:shd w:val="clear" w:color="auto" w:fill="D9D9D9" w:themeFill="background1" w:themeFillShade="D9"/>
            <w:noWrap/>
            <w:vAlign w:val="bottom"/>
            <w:hideMark/>
          </w:tcPr>
          <w:p w14:paraId="2F74B6C5"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Kazakhstan</w:t>
            </w:r>
          </w:p>
        </w:tc>
        <w:tc>
          <w:tcPr>
            <w:tcW w:w="1308" w:type="dxa"/>
            <w:tcBorders>
              <w:top w:val="single" w:sz="4" w:space="0" w:color="A6A6A6"/>
              <w:left w:val="nil"/>
              <w:bottom w:val="nil"/>
              <w:right w:val="nil"/>
            </w:tcBorders>
            <w:shd w:val="clear" w:color="auto" w:fill="D9D9D9" w:themeFill="background1" w:themeFillShade="D9"/>
            <w:noWrap/>
            <w:vAlign w:val="bottom"/>
            <w:hideMark/>
          </w:tcPr>
          <w:p w14:paraId="2B9462E2"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Central Asia</w:t>
            </w:r>
          </w:p>
        </w:tc>
        <w:tc>
          <w:tcPr>
            <w:tcW w:w="594" w:type="dxa"/>
            <w:tcBorders>
              <w:top w:val="single" w:sz="4" w:space="0" w:color="A6A6A6"/>
              <w:left w:val="nil"/>
              <w:bottom w:val="nil"/>
              <w:right w:val="nil"/>
            </w:tcBorders>
            <w:shd w:val="clear" w:color="000000" w:fill="F2F2F2"/>
            <w:noWrap/>
            <w:vAlign w:val="bottom"/>
            <w:hideMark/>
          </w:tcPr>
          <w:p w14:paraId="76A23E3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single" w:sz="4" w:space="0" w:color="A6A6A6"/>
              <w:left w:val="nil"/>
              <w:bottom w:val="nil"/>
              <w:right w:val="nil"/>
            </w:tcBorders>
            <w:shd w:val="clear" w:color="000000" w:fill="F2F2F2"/>
            <w:noWrap/>
            <w:vAlign w:val="bottom"/>
            <w:hideMark/>
          </w:tcPr>
          <w:p w14:paraId="493A5E3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single" w:sz="4" w:space="0" w:color="A6A6A6"/>
              <w:left w:val="nil"/>
              <w:bottom w:val="nil"/>
              <w:right w:val="nil"/>
            </w:tcBorders>
            <w:shd w:val="clear" w:color="000000" w:fill="F2F2F2"/>
            <w:noWrap/>
            <w:vAlign w:val="bottom"/>
            <w:hideMark/>
          </w:tcPr>
          <w:p w14:paraId="5F3E06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D9D9D9"/>
            <w:noWrap/>
            <w:vAlign w:val="bottom"/>
            <w:hideMark/>
          </w:tcPr>
          <w:p w14:paraId="699C97D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D9D9D9"/>
            <w:noWrap/>
            <w:vAlign w:val="bottom"/>
            <w:hideMark/>
          </w:tcPr>
          <w:p w14:paraId="377A534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D9D9D9"/>
            <w:noWrap/>
            <w:vAlign w:val="bottom"/>
            <w:hideMark/>
          </w:tcPr>
          <w:p w14:paraId="6ADA60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56C5478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F2F2F2"/>
            <w:noWrap/>
            <w:vAlign w:val="bottom"/>
            <w:hideMark/>
          </w:tcPr>
          <w:p w14:paraId="6955E16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single" w:sz="4" w:space="0" w:color="A6A6A6"/>
              <w:left w:val="nil"/>
              <w:bottom w:val="nil"/>
              <w:right w:val="nil"/>
            </w:tcBorders>
            <w:shd w:val="clear" w:color="000000" w:fill="F2F2F2"/>
            <w:noWrap/>
            <w:vAlign w:val="bottom"/>
            <w:hideMark/>
          </w:tcPr>
          <w:p w14:paraId="1EB4303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single" w:sz="4" w:space="0" w:color="A6A6A6"/>
              <w:left w:val="nil"/>
              <w:bottom w:val="nil"/>
              <w:right w:val="nil"/>
            </w:tcBorders>
            <w:shd w:val="clear" w:color="000000" w:fill="D9D9D9"/>
            <w:noWrap/>
            <w:vAlign w:val="bottom"/>
            <w:hideMark/>
          </w:tcPr>
          <w:p w14:paraId="01A9752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5CFF6F1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single" w:sz="4" w:space="0" w:color="A6A6A6"/>
              <w:left w:val="nil"/>
              <w:bottom w:val="nil"/>
              <w:right w:val="nil"/>
            </w:tcBorders>
            <w:shd w:val="clear" w:color="000000" w:fill="F2F2F2"/>
            <w:noWrap/>
            <w:vAlign w:val="bottom"/>
            <w:hideMark/>
          </w:tcPr>
          <w:p w14:paraId="4E54D79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single" w:sz="4" w:space="0" w:color="A6A6A6"/>
              <w:left w:val="nil"/>
              <w:bottom w:val="nil"/>
              <w:right w:val="nil"/>
            </w:tcBorders>
            <w:shd w:val="clear" w:color="000000" w:fill="D9D9D9"/>
            <w:noWrap/>
            <w:vAlign w:val="bottom"/>
            <w:hideMark/>
          </w:tcPr>
          <w:p w14:paraId="27DF76D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single" w:sz="4" w:space="0" w:color="A6A6A6"/>
              <w:left w:val="nil"/>
              <w:bottom w:val="nil"/>
              <w:right w:val="nil"/>
            </w:tcBorders>
            <w:shd w:val="clear" w:color="000000" w:fill="F2F2F2"/>
            <w:noWrap/>
            <w:vAlign w:val="bottom"/>
            <w:hideMark/>
          </w:tcPr>
          <w:p w14:paraId="42DE54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666114A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single" w:sz="4" w:space="0" w:color="A6A6A6"/>
              <w:left w:val="nil"/>
              <w:bottom w:val="nil"/>
              <w:right w:val="nil"/>
            </w:tcBorders>
            <w:shd w:val="clear" w:color="000000" w:fill="F2F2F2"/>
            <w:noWrap/>
            <w:vAlign w:val="bottom"/>
            <w:hideMark/>
          </w:tcPr>
          <w:p w14:paraId="3563248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single" w:sz="4" w:space="0" w:color="A6A6A6"/>
              <w:left w:val="nil"/>
              <w:bottom w:val="nil"/>
              <w:right w:val="nil"/>
            </w:tcBorders>
            <w:shd w:val="clear" w:color="000000" w:fill="D9D9D9"/>
            <w:noWrap/>
            <w:vAlign w:val="bottom"/>
            <w:hideMark/>
          </w:tcPr>
          <w:p w14:paraId="377D86F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c>
          <w:tcPr>
            <w:tcW w:w="596" w:type="dxa"/>
            <w:tcBorders>
              <w:top w:val="single" w:sz="4" w:space="0" w:color="A6A6A6"/>
              <w:left w:val="nil"/>
              <w:bottom w:val="nil"/>
              <w:right w:val="nil"/>
            </w:tcBorders>
            <w:shd w:val="clear" w:color="000000" w:fill="D9D9D9"/>
            <w:noWrap/>
            <w:vAlign w:val="bottom"/>
            <w:hideMark/>
          </w:tcPr>
          <w:p w14:paraId="65B095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495" w:type="dxa"/>
            <w:tcBorders>
              <w:top w:val="single" w:sz="4" w:space="0" w:color="A6A6A6"/>
              <w:left w:val="nil"/>
              <w:bottom w:val="nil"/>
              <w:right w:val="nil"/>
            </w:tcBorders>
            <w:shd w:val="clear" w:color="000000" w:fill="F2F2F2"/>
            <w:noWrap/>
            <w:vAlign w:val="bottom"/>
            <w:hideMark/>
          </w:tcPr>
          <w:p w14:paraId="425E06F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3.5</w:t>
            </w:r>
          </w:p>
        </w:tc>
      </w:tr>
      <w:tr w:rsidR="00306F5D" w:rsidRPr="00306F5D" w14:paraId="6BE36AD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B5644AB"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KGZ</w:t>
            </w:r>
          </w:p>
        </w:tc>
        <w:tc>
          <w:tcPr>
            <w:tcW w:w="1477" w:type="dxa"/>
            <w:tcBorders>
              <w:top w:val="nil"/>
              <w:left w:val="nil"/>
              <w:bottom w:val="nil"/>
              <w:right w:val="nil"/>
            </w:tcBorders>
            <w:shd w:val="clear" w:color="auto" w:fill="D9D9D9" w:themeFill="background1" w:themeFillShade="D9"/>
            <w:noWrap/>
            <w:vAlign w:val="bottom"/>
            <w:hideMark/>
          </w:tcPr>
          <w:p w14:paraId="079508B9"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proofErr w:type="spellStart"/>
            <w:r w:rsidRPr="00306F5D">
              <w:rPr>
                <w:rFonts w:asciiTheme="majorHAnsi" w:eastAsia="Times New Roman" w:hAnsiTheme="majorHAnsi" w:cstheme="majorHAnsi"/>
                <w:color w:val="000000"/>
                <w:sz w:val="20"/>
                <w:szCs w:val="20"/>
                <w:lang w:eastAsia="en-GB"/>
              </w:rPr>
              <w:t>Kyrgyztan</w:t>
            </w:r>
            <w:proofErr w:type="spellEnd"/>
          </w:p>
        </w:tc>
        <w:tc>
          <w:tcPr>
            <w:tcW w:w="1308" w:type="dxa"/>
            <w:tcBorders>
              <w:top w:val="nil"/>
              <w:left w:val="nil"/>
              <w:bottom w:val="nil"/>
              <w:right w:val="nil"/>
            </w:tcBorders>
            <w:shd w:val="clear" w:color="auto" w:fill="D9D9D9" w:themeFill="background1" w:themeFillShade="D9"/>
            <w:noWrap/>
            <w:vAlign w:val="bottom"/>
            <w:hideMark/>
          </w:tcPr>
          <w:p w14:paraId="7B7C6850"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Central Asia</w:t>
            </w:r>
          </w:p>
        </w:tc>
        <w:tc>
          <w:tcPr>
            <w:tcW w:w="594" w:type="dxa"/>
            <w:tcBorders>
              <w:top w:val="nil"/>
              <w:left w:val="nil"/>
              <w:bottom w:val="nil"/>
              <w:right w:val="nil"/>
            </w:tcBorders>
            <w:shd w:val="clear" w:color="000000" w:fill="F2F2F2"/>
            <w:noWrap/>
            <w:vAlign w:val="bottom"/>
            <w:hideMark/>
          </w:tcPr>
          <w:p w14:paraId="6EBAAD5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0A999CA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21AB03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14E7251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0287C26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D39760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070F1F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5800376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595" w:type="dxa"/>
            <w:tcBorders>
              <w:top w:val="nil"/>
              <w:left w:val="nil"/>
              <w:bottom w:val="nil"/>
              <w:right w:val="nil"/>
            </w:tcBorders>
            <w:shd w:val="clear" w:color="000000" w:fill="F2F2F2"/>
            <w:noWrap/>
            <w:vAlign w:val="bottom"/>
            <w:hideMark/>
          </w:tcPr>
          <w:p w14:paraId="1B5B132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0FF9E49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0C2EAD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50B720B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1.5</w:t>
            </w:r>
          </w:p>
        </w:tc>
        <w:tc>
          <w:tcPr>
            <w:tcW w:w="616" w:type="dxa"/>
            <w:tcBorders>
              <w:top w:val="nil"/>
              <w:left w:val="nil"/>
              <w:bottom w:val="nil"/>
              <w:right w:val="nil"/>
            </w:tcBorders>
            <w:shd w:val="clear" w:color="000000" w:fill="D9D9D9"/>
            <w:noWrap/>
            <w:vAlign w:val="bottom"/>
            <w:hideMark/>
          </w:tcPr>
          <w:p w14:paraId="1C6F606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77D1424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1E7895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1A8D6ED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3EE298A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c>
          <w:tcPr>
            <w:tcW w:w="596" w:type="dxa"/>
            <w:tcBorders>
              <w:top w:val="nil"/>
              <w:left w:val="nil"/>
              <w:bottom w:val="nil"/>
              <w:right w:val="nil"/>
            </w:tcBorders>
            <w:shd w:val="clear" w:color="000000" w:fill="D9D9D9"/>
            <w:noWrap/>
            <w:vAlign w:val="bottom"/>
            <w:hideMark/>
          </w:tcPr>
          <w:p w14:paraId="160646D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495" w:type="dxa"/>
            <w:tcBorders>
              <w:top w:val="nil"/>
              <w:left w:val="nil"/>
              <w:bottom w:val="nil"/>
              <w:right w:val="nil"/>
            </w:tcBorders>
            <w:shd w:val="clear" w:color="000000" w:fill="F2F2F2"/>
            <w:noWrap/>
            <w:vAlign w:val="bottom"/>
            <w:hideMark/>
          </w:tcPr>
          <w:p w14:paraId="09D92EC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3.5</w:t>
            </w:r>
          </w:p>
        </w:tc>
      </w:tr>
      <w:tr w:rsidR="00306F5D" w:rsidRPr="00306F5D" w14:paraId="79D4C5A0" w14:textId="77777777" w:rsidTr="002F18DD">
        <w:trPr>
          <w:trHeight w:val="255"/>
        </w:trPr>
        <w:tc>
          <w:tcPr>
            <w:tcW w:w="567" w:type="dxa"/>
            <w:tcBorders>
              <w:top w:val="single" w:sz="4" w:space="0" w:color="A6A6A6"/>
              <w:left w:val="nil"/>
              <w:bottom w:val="nil"/>
              <w:right w:val="nil"/>
            </w:tcBorders>
            <w:shd w:val="clear" w:color="auto" w:fill="D9D9D9" w:themeFill="background1" w:themeFillShade="D9"/>
            <w:noWrap/>
            <w:vAlign w:val="bottom"/>
            <w:hideMark/>
          </w:tcPr>
          <w:p w14:paraId="0E87AEC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ARM</w:t>
            </w:r>
          </w:p>
        </w:tc>
        <w:tc>
          <w:tcPr>
            <w:tcW w:w="1477" w:type="dxa"/>
            <w:tcBorders>
              <w:top w:val="single" w:sz="4" w:space="0" w:color="A6A6A6"/>
              <w:left w:val="nil"/>
              <w:bottom w:val="nil"/>
              <w:right w:val="nil"/>
            </w:tcBorders>
            <w:shd w:val="clear" w:color="auto" w:fill="D9D9D9" w:themeFill="background1" w:themeFillShade="D9"/>
            <w:noWrap/>
            <w:vAlign w:val="bottom"/>
            <w:hideMark/>
          </w:tcPr>
          <w:p w14:paraId="0649B489"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Armenia</w:t>
            </w:r>
          </w:p>
        </w:tc>
        <w:tc>
          <w:tcPr>
            <w:tcW w:w="1308" w:type="dxa"/>
            <w:tcBorders>
              <w:top w:val="single" w:sz="4" w:space="0" w:color="A6A6A6"/>
              <w:left w:val="nil"/>
              <w:bottom w:val="nil"/>
              <w:right w:val="nil"/>
            </w:tcBorders>
            <w:shd w:val="clear" w:color="auto" w:fill="D9D9D9" w:themeFill="background1" w:themeFillShade="D9"/>
            <w:noWrap/>
            <w:vAlign w:val="bottom"/>
            <w:hideMark/>
          </w:tcPr>
          <w:p w14:paraId="549F98E0"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Asia</w:t>
            </w:r>
          </w:p>
        </w:tc>
        <w:tc>
          <w:tcPr>
            <w:tcW w:w="594" w:type="dxa"/>
            <w:tcBorders>
              <w:top w:val="single" w:sz="4" w:space="0" w:color="A6A6A6"/>
              <w:left w:val="nil"/>
              <w:bottom w:val="nil"/>
              <w:right w:val="nil"/>
            </w:tcBorders>
            <w:shd w:val="clear" w:color="000000" w:fill="F2F2F2"/>
            <w:noWrap/>
            <w:vAlign w:val="bottom"/>
            <w:hideMark/>
          </w:tcPr>
          <w:p w14:paraId="09B8B08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single" w:sz="4" w:space="0" w:color="A6A6A6"/>
              <w:left w:val="nil"/>
              <w:bottom w:val="nil"/>
              <w:right w:val="nil"/>
            </w:tcBorders>
            <w:shd w:val="clear" w:color="000000" w:fill="F2F2F2"/>
            <w:noWrap/>
            <w:vAlign w:val="bottom"/>
            <w:hideMark/>
          </w:tcPr>
          <w:p w14:paraId="0D59EFA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single" w:sz="4" w:space="0" w:color="A6A6A6"/>
              <w:left w:val="nil"/>
              <w:bottom w:val="nil"/>
              <w:right w:val="nil"/>
            </w:tcBorders>
            <w:shd w:val="clear" w:color="000000" w:fill="F2F2F2"/>
            <w:noWrap/>
            <w:vAlign w:val="bottom"/>
            <w:hideMark/>
          </w:tcPr>
          <w:p w14:paraId="4E4AEE9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D9D9D9"/>
            <w:noWrap/>
            <w:vAlign w:val="bottom"/>
            <w:hideMark/>
          </w:tcPr>
          <w:p w14:paraId="2BB027C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D9D9D9"/>
            <w:noWrap/>
            <w:vAlign w:val="bottom"/>
            <w:hideMark/>
          </w:tcPr>
          <w:p w14:paraId="1FF26F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single" w:sz="4" w:space="0" w:color="A6A6A6"/>
              <w:left w:val="nil"/>
              <w:bottom w:val="nil"/>
              <w:right w:val="nil"/>
            </w:tcBorders>
            <w:shd w:val="clear" w:color="000000" w:fill="D9D9D9"/>
            <w:noWrap/>
            <w:vAlign w:val="bottom"/>
            <w:hideMark/>
          </w:tcPr>
          <w:p w14:paraId="32A3F84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577844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F2F2F2"/>
            <w:noWrap/>
            <w:vAlign w:val="bottom"/>
            <w:hideMark/>
          </w:tcPr>
          <w:p w14:paraId="3BD9C63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single" w:sz="4" w:space="0" w:color="A6A6A6"/>
              <w:left w:val="nil"/>
              <w:bottom w:val="nil"/>
              <w:right w:val="nil"/>
            </w:tcBorders>
            <w:shd w:val="clear" w:color="000000" w:fill="F2F2F2"/>
            <w:noWrap/>
            <w:vAlign w:val="bottom"/>
            <w:hideMark/>
          </w:tcPr>
          <w:p w14:paraId="2C969A0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single" w:sz="4" w:space="0" w:color="A6A6A6"/>
              <w:left w:val="nil"/>
              <w:bottom w:val="nil"/>
              <w:right w:val="nil"/>
            </w:tcBorders>
            <w:shd w:val="clear" w:color="000000" w:fill="D9D9D9"/>
            <w:noWrap/>
            <w:vAlign w:val="bottom"/>
            <w:hideMark/>
          </w:tcPr>
          <w:p w14:paraId="289FDB2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17A7547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single" w:sz="4" w:space="0" w:color="A6A6A6"/>
              <w:left w:val="nil"/>
              <w:bottom w:val="nil"/>
              <w:right w:val="nil"/>
            </w:tcBorders>
            <w:shd w:val="clear" w:color="000000" w:fill="F2F2F2"/>
            <w:noWrap/>
            <w:vAlign w:val="bottom"/>
            <w:hideMark/>
          </w:tcPr>
          <w:p w14:paraId="096119C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single" w:sz="4" w:space="0" w:color="A6A6A6"/>
              <w:left w:val="nil"/>
              <w:bottom w:val="nil"/>
              <w:right w:val="nil"/>
            </w:tcBorders>
            <w:shd w:val="clear" w:color="000000" w:fill="D9D9D9"/>
            <w:noWrap/>
            <w:vAlign w:val="bottom"/>
            <w:hideMark/>
          </w:tcPr>
          <w:p w14:paraId="6D269D0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single" w:sz="4" w:space="0" w:color="A6A6A6"/>
              <w:left w:val="nil"/>
              <w:bottom w:val="nil"/>
              <w:right w:val="nil"/>
            </w:tcBorders>
            <w:shd w:val="clear" w:color="000000" w:fill="F2F2F2"/>
            <w:noWrap/>
            <w:vAlign w:val="bottom"/>
            <w:hideMark/>
          </w:tcPr>
          <w:p w14:paraId="7D62855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47A2EB4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single" w:sz="4" w:space="0" w:color="A6A6A6"/>
              <w:left w:val="nil"/>
              <w:bottom w:val="nil"/>
              <w:right w:val="nil"/>
            </w:tcBorders>
            <w:shd w:val="clear" w:color="000000" w:fill="F2F2F2"/>
            <w:noWrap/>
            <w:vAlign w:val="bottom"/>
            <w:hideMark/>
          </w:tcPr>
          <w:p w14:paraId="50288F9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single" w:sz="4" w:space="0" w:color="A6A6A6"/>
              <w:left w:val="nil"/>
              <w:bottom w:val="nil"/>
              <w:right w:val="nil"/>
            </w:tcBorders>
            <w:shd w:val="clear" w:color="000000" w:fill="D9D9D9"/>
            <w:noWrap/>
            <w:vAlign w:val="bottom"/>
            <w:hideMark/>
          </w:tcPr>
          <w:p w14:paraId="3F1A097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2.4</w:t>
            </w:r>
          </w:p>
        </w:tc>
        <w:tc>
          <w:tcPr>
            <w:tcW w:w="596" w:type="dxa"/>
            <w:tcBorders>
              <w:top w:val="single" w:sz="4" w:space="0" w:color="A6A6A6"/>
              <w:left w:val="nil"/>
              <w:bottom w:val="nil"/>
              <w:right w:val="nil"/>
            </w:tcBorders>
            <w:shd w:val="clear" w:color="000000" w:fill="D9D9D9"/>
            <w:noWrap/>
            <w:vAlign w:val="bottom"/>
            <w:hideMark/>
          </w:tcPr>
          <w:p w14:paraId="64EA2A7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495" w:type="dxa"/>
            <w:tcBorders>
              <w:top w:val="single" w:sz="4" w:space="0" w:color="A6A6A6"/>
              <w:left w:val="nil"/>
              <w:bottom w:val="nil"/>
              <w:right w:val="nil"/>
            </w:tcBorders>
            <w:shd w:val="clear" w:color="000000" w:fill="F2F2F2"/>
            <w:noWrap/>
            <w:vAlign w:val="bottom"/>
            <w:hideMark/>
          </w:tcPr>
          <w:p w14:paraId="066C0A5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72C26083"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72AE8328"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AZE</w:t>
            </w:r>
          </w:p>
        </w:tc>
        <w:tc>
          <w:tcPr>
            <w:tcW w:w="1477" w:type="dxa"/>
            <w:tcBorders>
              <w:top w:val="nil"/>
              <w:left w:val="nil"/>
              <w:bottom w:val="nil"/>
              <w:right w:val="nil"/>
            </w:tcBorders>
            <w:shd w:val="clear" w:color="auto" w:fill="D9D9D9" w:themeFill="background1" w:themeFillShade="D9"/>
            <w:noWrap/>
            <w:vAlign w:val="bottom"/>
            <w:hideMark/>
          </w:tcPr>
          <w:p w14:paraId="2BEA956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Azerbaijan</w:t>
            </w:r>
          </w:p>
        </w:tc>
        <w:tc>
          <w:tcPr>
            <w:tcW w:w="1308" w:type="dxa"/>
            <w:tcBorders>
              <w:top w:val="nil"/>
              <w:left w:val="nil"/>
              <w:bottom w:val="nil"/>
              <w:right w:val="nil"/>
            </w:tcBorders>
            <w:shd w:val="clear" w:color="auto" w:fill="D9D9D9" w:themeFill="background1" w:themeFillShade="D9"/>
            <w:noWrap/>
            <w:vAlign w:val="bottom"/>
            <w:hideMark/>
          </w:tcPr>
          <w:p w14:paraId="61739F8F"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Asia</w:t>
            </w:r>
          </w:p>
        </w:tc>
        <w:tc>
          <w:tcPr>
            <w:tcW w:w="594" w:type="dxa"/>
            <w:tcBorders>
              <w:top w:val="nil"/>
              <w:left w:val="nil"/>
              <w:bottom w:val="nil"/>
              <w:right w:val="nil"/>
            </w:tcBorders>
            <w:shd w:val="clear" w:color="000000" w:fill="F2F2F2"/>
            <w:noWrap/>
            <w:vAlign w:val="bottom"/>
            <w:hideMark/>
          </w:tcPr>
          <w:p w14:paraId="2BBD21C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11C6315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B6023E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324E6FC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0623A9F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213C662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5280F4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0CDF15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595" w:type="dxa"/>
            <w:tcBorders>
              <w:top w:val="nil"/>
              <w:left w:val="nil"/>
              <w:bottom w:val="nil"/>
              <w:right w:val="nil"/>
            </w:tcBorders>
            <w:shd w:val="clear" w:color="000000" w:fill="F2F2F2"/>
            <w:noWrap/>
            <w:vAlign w:val="bottom"/>
            <w:hideMark/>
          </w:tcPr>
          <w:p w14:paraId="654B68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18FF022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A02F2B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2E26B1D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1D828BD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343C343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4ABEB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528154A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698CA2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2.3</w:t>
            </w:r>
          </w:p>
        </w:tc>
        <w:tc>
          <w:tcPr>
            <w:tcW w:w="596" w:type="dxa"/>
            <w:tcBorders>
              <w:top w:val="nil"/>
              <w:left w:val="nil"/>
              <w:bottom w:val="nil"/>
              <w:right w:val="nil"/>
            </w:tcBorders>
            <w:shd w:val="clear" w:color="000000" w:fill="D9D9D9"/>
            <w:noWrap/>
            <w:vAlign w:val="bottom"/>
            <w:hideMark/>
          </w:tcPr>
          <w:p w14:paraId="6E902B4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495" w:type="dxa"/>
            <w:tcBorders>
              <w:top w:val="nil"/>
              <w:left w:val="nil"/>
              <w:bottom w:val="nil"/>
              <w:right w:val="nil"/>
            </w:tcBorders>
            <w:shd w:val="clear" w:color="000000" w:fill="F2F2F2"/>
            <w:noWrap/>
            <w:vAlign w:val="bottom"/>
            <w:hideMark/>
          </w:tcPr>
          <w:p w14:paraId="2BDA5A2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43878860"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5FD7E9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GEO</w:t>
            </w:r>
          </w:p>
        </w:tc>
        <w:tc>
          <w:tcPr>
            <w:tcW w:w="1477" w:type="dxa"/>
            <w:tcBorders>
              <w:top w:val="nil"/>
              <w:left w:val="nil"/>
              <w:bottom w:val="nil"/>
              <w:right w:val="nil"/>
            </w:tcBorders>
            <w:shd w:val="clear" w:color="auto" w:fill="D9D9D9" w:themeFill="background1" w:themeFillShade="D9"/>
            <w:noWrap/>
            <w:vAlign w:val="bottom"/>
            <w:hideMark/>
          </w:tcPr>
          <w:p w14:paraId="08ED7FF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Georgia</w:t>
            </w:r>
          </w:p>
        </w:tc>
        <w:tc>
          <w:tcPr>
            <w:tcW w:w="1308" w:type="dxa"/>
            <w:tcBorders>
              <w:top w:val="nil"/>
              <w:left w:val="nil"/>
              <w:bottom w:val="nil"/>
              <w:right w:val="nil"/>
            </w:tcBorders>
            <w:shd w:val="clear" w:color="auto" w:fill="D9D9D9" w:themeFill="background1" w:themeFillShade="D9"/>
            <w:noWrap/>
            <w:vAlign w:val="bottom"/>
            <w:hideMark/>
          </w:tcPr>
          <w:p w14:paraId="1A538AF7"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Asia</w:t>
            </w:r>
          </w:p>
        </w:tc>
        <w:tc>
          <w:tcPr>
            <w:tcW w:w="594" w:type="dxa"/>
            <w:tcBorders>
              <w:top w:val="nil"/>
              <w:left w:val="nil"/>
              <w:bottom w:val="nil"/>
              <w:right w:val="nil"/>
            </w:tcBorders>
            <w:shd w:val="clear" w:color="000000" w:fill="F2F2F2"/>
            <w:noWrap/>
            <w:vAlign w:val="bottom"/>
            <w:hideMark/>
          </w:tcPr>
          <w:p w14:paraId="1206E3D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2D5FC59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E2AF4F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1045E6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FA76C5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54F513C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904E45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2BB944D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595" w:type="dxa"/>
            <w:tcBorders>
              <w:top w:val="nil"/>
              <w:left w:val="nil"/>
              <w:bottom w:val="nil"/>
              <w:right w:val="nil"/>
            </w:tcBorders>
            <w:shd w:val="clear" w:color="000000" w:fill="F2F2F2"/>
            <w:noWrap/>
            <w:vAlign w:val="bottom"/>
            <w:hideMark/>
          </w:tcPr>
          <w:p w14:paraId="7D928E0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7A60470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A930F7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56C4722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495B8DD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585E5FB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78B59D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80306F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7300F5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2.4</w:t>
            </w:r>
          </w:p>
        </w:tc>
        <w:tc>
          <w:tcPr>
            <w:tcW w:w="596" w:type="dxa"/>
            <w:tcBorders>
              <w:top w:val="nil"/>
              <w:left w:val="nil"/>
              <w:bottom w:val="nil"/>
              <w:right w:val="nil"/>
            </w:tcBorders>
            <w:shd w:val="clear" w:color="000000" w:fill="D9D9D9"/>
            <w:noWrap/>
            <w:vAlign w:val="bottom"/>
            <w:hideMark/>
          </w:tcPr>
          <w:p w14:paraId="79C9917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495" w:type="dxa"/>
            <w:tcBorders>
              <w:top w:val="nil"/>
              <w:left w:val="nil"/>
              <w:bottom w:val="nil"/>
              <w:right w:val="nil"/>
            </w:tcBorders>
            <w:shd w:val="clear" w:color="000000" w:fill="F2F2F2"/>
            <w:noWrap/>
            <w:vAlign w:val="bottom"/>
            <w:hideMark/>
          </w:tcPr>
          <w:p w14:paraId="44DF3F2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23BA91BD"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41879B59"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BHR</w:t>
            </w:r>
          </w:p>
        </w:tc>
        <w:tc>
          <w:tcPr>
            <w:tcW w:w="1477" w:type="dxa"/>
            <w:tcBorders>
              <w:top w:val="nil"/>
              <w:left w:val="nil"/>
              <w:bottom w:val="nil"/>
              <w:right w:val="nil"/>
            </w:tcBorders>
            <w:shd w:val="clear" w:color="auto" w:fill="D9D9D9" w:themeFill="background1" w:themeFillShade="D9"/>
            <w:noWrap/>
            <w:vAlign w:val="bottom"/>
            <w:hideMark/>
          </w:tcPr>
          <w:p w14:paraId="0A5F825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Bahrain</w:t>
            </w:r>
          </w:p>
        </w:tc>
        <w:tc>
          <w:tcPr>
            <w:tcW w:w="1308" w:type="dxa"/>
            <w:tcBorders>
              <w:top w:val="nil"/>
              <w:left w:val="nil"/>
              <w:bottom w:val="nil"/>
              <w:right w:val="nil"/>
            </w:tcBorders>
            <w:shd w:val="clear" w:color="auto" w:fill="D9D9D9" w:themeFill="background1" w:themeFillShade="D9"/>
            <w:noWrap/>
            <w:vAlign w:val="bottom"/>
            <w:hideMark/>
          </w:tcPr>
          <w:p w14:paraId="0D17473A"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Asia</w:t>
            </w:r>
          </w:p>
        </w:tc>
        <w:tc>
          <w:tcPr>
            <w:tcW w:w="594" w:type="dxa"/>
            <w:tcBorders>
              <w:top w:val="nil"/>
              <w:left w:val="nil"/>
              <w:bottom w:val="nil"/>
              <w:right w:val="nil"/>
            </w:tcBorders>
            <w:shd w:val="clear" w:color="000000" w:fill="F2F2F2"/>
            <w:noWrap/>
            <w:vAlign w:val="bottom"/>
            <w:hideMark/>
          </w:tcPr>
          <w:p w14:paraId="511441D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4" w:type="dxa"/>
            <w:tcBorders>
              <w:top w:val="nil"/>
              <w:left w:val="nil"/>
              <w:bottom w:val="nil"/>
              <w:right w:val="nil"/>
            </w:tcBorders>
            <w:shd w:val="clear" w:color="000000" w:fill="F2F2F2"/>
            <w:noWrap/>
            <w:vAlign w:val="bottom"/>
            <w:hideMark/>
          </w:tcPr>
          <w:p w14:paraId="112E3FF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36592B1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15D7FAD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9BDBA0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1E968E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0F0929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7835192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2811D22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4EB790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732064A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3CC141E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5D0993B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537546D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52BCB7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C29B63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37409DA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1.7</w:t>
            </w:r>
          </w:p>
        </w:tc>
        <w:tc>
          <w:tcPr>
            <w:tcW w:w="596" w:type="dxa"/>
            <w:tcBorders>
              <w:top w:val="nil"/>
              <w:left w:val="nil"/>
              <w:bottom w:val="nil"/>
              <w:right w:val="nil"/>
            </w:tcBorders>
            <w:shd w:val="clear" w:color="000000" w:fill="D9D9D9"/>
            <w:noWrap/>
            <w:vAlign w:val="bottom"/>
            <w:hideMark/>
          </w:tcPr>
          <w:p w14:paraId="44ED97B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69E2253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r>
      <w:tr w:rsidR="00306F5D" w:rsidRPr="00306F5D" w14:paraId="5493F277"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4775C29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IRN</w:t>
            </w:r>
          </w:p>
        </w:tc>
        <w:tc>
          <w:tcPr>
            <w:tcW w:w="1477" w:type="dxa"/>
            <w:tcBorders>
              <w:top w:val="nil"/>
              <w:left w:val="nil"/>
              <w:bottom w:val="nil"/>
              <w:right w:val="nil"/>
            </w:tcBorders>
            <w:shd w:val="clear" w:color="auto" w:fill="D9D9D9" w:themeFill="background1" w:themeFillShade="D9"/>
            <w:noWrap/>
            <w:vAlign w:val="bottom"/>
            <w:hideMark/>
          </w:tcPr>
          <w:p w14:paraId="0BB63CC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Iran</w:t>
            </w:r>
          </w:p>
        </w:tc>
        <w:tc>
          <w:tcPr>
            <w:tcW w:w="1308" w:type="dxa"/>
            <w:tcBorders>
              <w:top w:val="nil"/>
              <w:left w:val="nil"/>
              <w:bottom w:val="nil"/>
              <w:right w:val="nil"/>
            </w:tcBorders>
            <w:shd w:val="clear" w:color="auto" w:fill="D9D9D9" w:themeFill="background1" w:themeFillShade="D9"/>
            <w:noWrap/>
            <w:vAlign w:val="bottom"/>
            <w:hideMark/>
          </w:tcPr>
          <w:p w14:paraId="69453FD4"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Asia</w:t>
            </w:r>
          </w:p>
        </w:tc>
        <w:tc>
          <w:tcPr>
            <w:tcW w:w="594" w:type="dxa"/>
            <w:tcBorders>
              <w:top w:val="nil"/>
              <w:left w:val="nil"/>
              <w:bottom w:val="nil"/>
              <w:right w:val="nil"/>
            </w:tcBorders>
            <w:shd w:val="clear" w:color="000000" w:fill="F2F2F2"/>
            <w:noWrap/>
            <w:vAlign w:val="bottom"/>
            <w:hideMark/>
          </w:tcPr>
          <w:p w14:paraId="20AE9D0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5CBF14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5BF4572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7BF967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1BFCD27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4D21DFC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7931EB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520D9C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595" w:type="dxa"/>
            <w:tcBorders>
              <w:top w:val="nil"/>
              <w:left w:val="nil"/>
              <w:bottom w:val="nil"/>
              <w:right w:val="nil"/>
            </w:tcBorders>
            <w:shd w:val="clear" w:color="000000" w:fill="F2F2F2"/>
            <w:noWrap/>
            <w:vAlign w:val="bottom"/>
            <w:hideMark/>
          </w:tcPr>
          <w:p w14:paraId="6F380F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54C1B52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650A3F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7EAF170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1E13D27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797D23F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0D9E90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52CD05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1E49E80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2.5</w:t>
            </w:r>
          </w:p>
        </w:tc>
        <w:tc>
          <w:tcPr>
            <w:tcW w:w="596" w:type="dxa"/>
            <w:tcBorders>
              <w:top w:val="nil"/>
              <w:left w:val="nil"/>
              <w:bottom w:val="nil"/>
              <w:right w:val="nil"/>
            </w:tcBorders>
            <w:shd w:val="clear" w:color="000000" w:fill="D9D9D9"/>
            <w:noWrap/>
            <w:vAlign w:val="bottom"/>
            <w:hideMark/>
          </w:tcPr>
          <w:p w14:paraId="14571AC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495" w:type="dxa"/>
            <w:tcBorders>
              <w:top w:val="nil"/>
              <w:left w:val="nil"/>
              <w:bottom w:val="nil"/>
              <w:right w:val="nil"/>
            </w:tcBorders>
            <w:shd w:val="clear" w:color="000000" w:fill="F2F2F2"/>
            <w:noWrap/>
            <w:vAlign w:val="bottom"/>
            <w:hideMark/>
          </w:tcPr>
          <w:p w14:paraId="6CAA192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44BE7073"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4AC99E77"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ISR</w:t>
            </w:r>
          </w:p>
        </w:tc>
        <w:tc>
          <w:tcPr>
            <w:tcW w:w="1477" w:type="dxa"/>
            <w:tcBorders>
              <w:top w:val="nil"/>
              <w:left w:val="nil"/>
              <w:bottom w:val="nil"/>
              <w:right w:val="nil"/>
            </w:tcBorders>
            <w:shd w:val="clear" w:color="auto" w:fill="D9D9D9" w:themeFill="background1" w:themeFillShade="D9"/>
            <w:noWrap/>
            <w:vAlign w:val="bottom"/>
            <w:hideMark/>
          </w:tcPr>
          <w:p w14:paraId="33D10FE7"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Israel</w:t>
            </w:r>
          </w:p>
        </w:tc>
        <w:tc>
          <w:tcPr>
            <w:tcW w:w="1308" w:type="dxa"/>
            <w:tcBorders>
              <w:top w:val="nil"/>
              <w:left w:val="nil"/>
              <w:bottom w:val="nil"/>
              <w:right w:val="nil"/>
            </w:tcBorders>
            <w:shd w:val="clear" w:color="auto" w:fill="D9D9D9" w:themeFill="background1" w:themeFillShade="D9"/>
            <w:noWrap/>
            <w:vAlign w:val="bottom"/>
            <w:hideMark/>
          </w:tcPr>
          <w:p w14:paraId="765BCE22"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Asia</w:t>
            </w:r>
          </w:p>
        </w:tc>
        <w:tc>
          <w:tcPr>
            <w:tcW w:w="594" w:type="dxa"/>
            <w:tcBorders>
              <w:top w:val="nil"/>
              <w:left w:val="nil"/>
              <w:bottom w:val="nil"/>
              <w:right w:val="nil"/>
            </w:tcBorders>
            <w:shd w:val="clear" w:color="000000" w:fill="F2F2F2"/>
            <w:noWrap/>
            <w:vAlign w:val="bottom"/>
            <w:hideMark/>
          </w:tcPr>
          <w:p w14:paraId="3AFFD78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03FD16F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F66B3E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211A62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3A1EEC5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4F5DDA3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E8844B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2CC031A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595" w:type="dxa"/>
            <w:tcBorders>
              <w:top w:val="nil"/>
              <w:left w:val="nil"/>
              <w:bottom w:val="nil"/>
              <w:right w:val="nil"/>
            </w:tcBorders>
            <w:shd w:val="clear" w:color="000000" w:fill="F2F2F2"/>
            <w:noWrap/>
            <w:vAlign w:val="bottom"/>
            <w:hideMark/>
          </w:tcPr>
          <w:p w14:paraId="643E07C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3ABDEA1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2C9303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1B4AB37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1BD4037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2F95FC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809141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F537B6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0B23D9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1.7</w:t>
            </w:r>
          </w:p>
        </w:tc>
        <w:tc>
          <w:tcPr>
            <w:tcW w:w="596" w:type="dxa"/>
            <w:tcBorders>
              <w:top w:val="nil"/>
              <w:left w:val="nil"/>
              <w:bottom w:val="nil"/>
              <w:right w:val="nil"/>
            </w:tcBorders>
            <w:shd w:val="clear" w:color="000000" w:fill="D9D9D9"/>
            <w:noWrap/>
            <w:vAlign w:val="bottom"/>
            <w:hideMark/>
          </w:tcPr>
          <w:p w14:paraId="10F0B60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7D83CF8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27028B88"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58ECBAF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JOR</w:t>
            </w:r>
          </w:p>
        </w:tc>
        <w:tc>
          <w:tcPr>
            <w:tcW w:w="1477" w:type="dxa"/>
            <w:tcBorders>
              <w:top w:val="nil"/>
              <w:left w:val="nil"/>
              <w:bottom w:val="nil"/>
              <w:right w:val="nil"/>
            </w:tcBorders>
            <w:shd w:val="clear" w:color="auto" w:fill="D9D9D9" w:themeFill="background1" w:themeFillShade="D9"/>
            <w:noWrap/>
            <w:vAlign w:val="bottom"/>
            <w:hideMark/>
          </w:tcPr>
          <w:p w14:paraId="0CCDE27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Jordan</w:t>
            </w:r>
          </w:p>
        </w:tc>
        <w:tc>
          <w:tcPr>
            <w:tcW w:w="1308" w:type="dxa"/>
            <w:tcBorders>
              <w:top w:val="nil"/>
              <w:left w:val="nil"/>
              <w:bottom w:val="nil"/>
              <w:right w:val="nil"/>
            </w:tcBorders>
            <w:shd w:val="clear" w:color="auto" w:fill="D9D9D9" w:themeFill="background1" w:themeFillShade="D9"/>
            <w:noWrap/>
            <w:vAlign w:val="bottom"/>
            <w:hideMark/>
          </w:tcPr>
          <w:p w14:paraId="51749F74"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Asia</w:t>
            </w:r>
          </w:p>
        </w:tc>
        <w:tc>
          <w:tcPr>
            <w:tcW w:w="594" w:type="dxa"/>
            <w:tcBorders>
              <w:top w:val="nil"/>
              <w:left w:val="nil"/>
              <w:bottom w:val="nil"/>
              <w:right w:val="nil"/>
            </w:tcBorders>
            <w:shd w:val="clear" w:color="000000" w:fill="F2F2F2"/>
            <w:noWrap/>
            <w:vAlign w:val="bottom"/>
            <w:hideMark/>
          </w:tcPr>
          <w:p w14:paraId="02160AE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22ACC04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5859D39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091635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3418B29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3287E1E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1F3659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118C3A0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595" w:type="dxa"/>
            <w:tcBorders>
              <w:top w:val="nil"/>
              <w:left w:val="nil"/>
              <w:bottom w:val="nil"/>
              <w:right w:val="nil"/>
            </w:tcBorders>
            <w:shd w:val="clear" w:color="000000" w:fill="F2F2F2"/>
            <w:noWrap/>
            <w:vAlign w:val="bottom"/>
            <w:hideMark/>
          </w:tcPr>
          <w:p w14:paraId="4B9BDE6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35B04C3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769C82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030740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1DDF438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192E3A8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D87440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948855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1E31716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1.7</w:t>
            </w:r>
          </w:p>
        </w:tc>
        <w:tc>
          <w:tcPr>
            <w:tcW w:w="596" w:type="dxa"/>
            <w:tcBorders>
              <w:top w:val="nil"/>
              <w:left w:val="nil"/>
              <w:bottom w:val="nil"/>
              <w:right w:val="nil"/>
            </w:tcBorders>
            <w:shd w:val="clear" w:color="000000" w:fill="D9D9D9"/>
            <w:noWrap/>
            <w:vAlign w:val="bottom"/>
            <w:hideMark/>
          </w:tcPr>
          <w:p w14:paraId="69D7E8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1AED91E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68493DE1"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7AFA09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KWT</w:t>
            </w:r>
          </w:p>
        </w:tc>
        <w:tc>
          <w:tcPr>
            <w:tcW w:w="1477" w:type="dxa"/>
            <w:tcBorders>
              <w:top w:val="nil"/>
              <w:left w:val="nil"/>
              <w:bottom w:val="nil"/>
              <w:right w:val="nil"/>
            </w:tcBorders>
            <w:shd w:val="clear" w:color="auto" w:fill="D9D9D9" w:themeFill="background1" w:themeFillShade="D9"/>
            <w:noWrap/>
            <w:vAlign w:val="bottom"/>
            <w:hideMark/>
          </w:tcPr>
          <w:p w14:paraId="17B1C0C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Kuwait</w:t>
            </w:r>
          </w:p>
        </w:tc>
        <w:tc>
          <w:tcPr>
            <w:tcW w:w="1308" w:type="dxa"/>
            <w:tcBorders>
              <w:top w:val="nil"/>
              <w:left w:val="nil"/>
              <w:bottom w:val="nil"/>
              <w:right w:val="nil"/>
            </w:tcBorders>
            <w:shd w:val="clear" w:color="auto" w:fill="D9D9D9" w:themeFill="background1" w:themeFillShade="D9"/>
            <w:noWrap/>
            <w:vAlign w:val="bottom"/>
            <w:hideMark/>
          </w:tcPr>
          <w:p w14:paraId="193DD4BC"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Asia</w:t>
            </w:r>
          </w:p>
        </w:tc>
        <w:tc>
          <w:tcPr>
            <w:tcW w:w="594" w:type="dxa"/>
            <w:tcBorders>
              <w:top w:val="nil"/>
              <w:left w:val="nil"/>
              <w:bottom w:val="nil"/>
              <w:right w:val="nil"/>
            </w:tcBorders>
            <w:shd w:val="clear" w:color="000000" w:fill="F2F2F2"/>
            <w:noWrap/>
            <w:vAlign w:val="bottom"/>
            <w:hideMark/>
          </w:tcPr>
          <w:p w14:paraId="7416F17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4" w:type="dxa"/>
            <w:tcBorders>
              <w:top w:val="nil"/>
              <w:left w:val="nil"/>
              <w:bottom w:val="nil"/>
              <w:right w:val="nil"/>
            </w:tcBorders>
            <w:shd w:val="clear" w:color="000000" w:fill="F2F2F2"/>
            <w:noWrap/>
            <w:vAlign w:val="bottom"/>
            <w:hideMark/>
          </w:tcPr>
          <w:p w14:paraId="2F3AFCF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0506436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5C54937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33A94B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00CC5F6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B745A3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79B5D67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4FF2249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1771C07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1F2783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DFBAD8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4B3CE71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7A794B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A54019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3CCEB1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762F1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1.7</w:t>
            </w:r>
          </w:p>
        </w:tc>
        <w:tc>
          <w:tcPr>
            <w:tcW w:w="596" w:type="dxa"/>
            <w:tcBorders>
              <w:top w:val="nil"/>
              <w:left w:val="nil"/>
              <w:bottom w:val="nil"/>
              <w:right w:val="nil"/>
            </w:tcBorders>
            <w:shd w:val="clear" w:color="000000" w:fill="D9D9D9"/>
            <w:noWrap/>
            <w:vAlign w:val="bottom"/>
            <w:hideMark/>
          </w:tcPr>
          <w:p w14:paraId="79E10EE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4A0621B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70E3C133"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5CD7C1F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OMN</w:t>
            </w:r>
          </w:p>
        </w:tc>
        <w:tc>
          <w:tcPr>
            <w:tcW w:w="1477" w:type="dxa"/>
            <w:tcBorders>
              <w:top w:val="nil"/>
              <w:left w:val="nil"/>
              <w:bottom w:val="nil"/>
              <w:right w:val="nil"/>
            </w:tcBorders>
            <w:shd w:val="clear" w:color="auto" w:fill="D9D9D9" w:themeFill="background1" w:themeFillShade="D9"/>
            <w:noWrap/>
            <w:vAlign w:val="bottom"/>
            <w:hideMark/>
          </w:tcPr>
          <w:p w14:paraId="5C3A24A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Oman</w:t>
            </w:r>
          </w:p>
        </w:tc>
        <w:tc>
          <w:tcPr>
            <w:tcW w:w="1308" w:type="dxa"/>
            <w:tcBorders>
              <w:top w:val="nil"/>
              <w:left w:val="nil"/>
              <w:bottom w:val="nil"/>
              <w:right w:val="nil"/>
            </w:tcBorders>
            <w:shd w:val="clear" w:color="auto" w:fill="D9D9D9" w:themeFill="background1" w:themeFillShade="D9"/>
            <w:noWrap/>
            <w:vAlign w:val="bottom"/>
            <w:hideMark/>
          </w:tcPr>
          <w:p w14:paraId="3D9C4241"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Asia</w:t>
            </w:r>
          </w:p>
        </w:tc>
        <w:tc>
          <w:tcPr>
            <w:tcW w:w="594" w:type="dxa"/>
            <w:tcBorders>
              <w:top w:val="nil"/>
              <w:left w:val="nil"/>
              <w:bottom w:val="nil"/>
              <w:right w:val="nil"/>
            </w:tcBorders>
            <w:shd w:val="clear" w:color="000000" w:fill="F2F2F2"/>
            <w:noWrap/>
            <w:vAlign w:val="bottom"/>
            <w:hideMark/>
          </w:tcPr>
          <w:p w14:paraId="2EA6849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4" w:type="dxa"/>
            <w:tcBorders>
              <w:top w:val="nil"/>
              <w:left w:val="nil"/>
              <w:bottom w:val="nil"/>
              <w:right w:val="nil"/>
            </w:tcBorders>
            <w:shd w:val="clear" w:color="000000" w:fill="F2F2F2"/>
            <w:noWrap/>
            <w:vAlign w:val="bottom"/>
            <w:hideMark/>
          </w:tcPr>
          <w:p w14:paraId="4538770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223C3FC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C66CFF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0F4606F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0C84D99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F9B41E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623B23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11BC095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75BFAFE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5CC85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222152D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7374442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4E6810B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95545D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766413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18E1E16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2.4</w:t>
            </w:r>
          </w:p>
        </w:tc>
        <w:tc>
          <w:tcPr>
            <w:tcW w:w="596" w:type="dxa"/>
            <w:tcBorders>
              <w:top w:val="nil"/>
              <w:left w:val="nil"/>
              <w:bottom w:val="nil"/>
              <w:right w:val="nil"/>
            </w:tcBorders>
            <w:shd w:val="clear" w:color="000000" w:fill="D9D9D9"/>
            <w:noWrap/>
            <w:vAlign w:val="bottom"/>
            <w:hideMark/>
          </w:tcPr>
          <w:p w14:paraId="2C92271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495" w:type="dxa"/>
            <w:tcBorders>
              <w:top w:val="nil"/>
              <w:left w:val="nil"/>
              <w:bottom w:val="nil"/>
              <w:right w:val="nil"/>
            </w:tcBorders>
            <w:shd w:val="clear" w:color="000000" w:fill="F2F2F2"/>
            <w:noWrap/>
            <w:vAlign w:val="bottom"/>
            <w:hideMark/>
          </w:tcPr>
          <w:p w14:paraId="7DF3111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4822EB1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C77A88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QAT</w:t>
            </w:r>
          </w:p>
        </w:tc>
        <w:tc>
          <w:tcPr>
            <w:tcW w:w="1477" w:type="dxa"/>
            <w:tcBorders>
              <w:top w:val="nil"/>
              <w:left w:val="nil"/>
              <w:bottom w:val="nil"/>
              <w:right w:val="nil"/>
            </w:tcBorders>
            <w:shd w:val="clear" w:color="auto" w:fill="D9D9D9" w:themeFill="background1" w:themeFillShade="D9"/>
            <w:noWrap/>
            <w:vAlign w:val="bottom"/>
            <w:hideMark/>
          </w:tcPr>
          <w:p w14:paraId="458A202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Qatar</w:t>
            </w:r>
          </w:p>
        </w:tc>
        <w:tc>
          <w:tcPr>
            <w:tcW w:w="1308" w:type="dxa"/>
            <w:tcBorders>
              <w:top w:val="nil"/>
              <w:left w:val="nil"/>
              <w:bottom w:val="nil"/>
              <w:right w:val="nil"/>
            </w:tcBorders>
            <w:shd w:val="clear" w:color="auto" w:fill="D9D9D9" w:themeFill="background1" w:themeFillShade="D9"/>
            <w:noWrap/>
            <w:vAlign w:val="bottom"/>
            <w:hideMark/>
          </w:tcPr>
          <w:p w14:paraId="5EFF9C61"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Asia</w:t>
            </w:r>
          </w:p>
        </w:tc>
        <w:tc>
          <w:tcPr>
            <w:tcW w:w="594" w:type="dxa"/>
            <w:tcBorders>
              <w:top w:val="nil"/>
              <w:left w:val="nil"/>
              <w:bottom w:val="nil"/>
              <w:right w:val="nil"/>
            </w:tcBorders>
            <w:shd w:val="clear" w:color="000000" w:fill="F2F2F2"/>
            <w:noWrap/>
            <w:vAlign w:val="bottom"/>
            <w:hideMark/>
          </w:tcPr>
          <w:p w14:paraId="0F1F21E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4" w:type="dxa"/>
            <w:tcBorders>
              <w:top w:val="nil"/>
              <w:left w:val="nil"/>
              <w:bottom w:val="nil"/>
              <w:right w:val="nil"/>
            </w:tcBorders>
            <w:shd w:val="clear" w:color="000000" w:fill="F2F2F2"/>
            <w:noWrap/>
            <w:vAlign w:val="bottom"/>
            <w:hideMark/>
          </w:tcPr>
          <w:p w14:paraId="3863C37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64EFA2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EDEC9E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43F3D3A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C0B342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4DDE7B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600EF5A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38F3CF6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7C688F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24DE0C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10B5E6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2D68CC6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2875FE4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1A9D8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BDD71E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9684F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1.7</w:t>
            </w:r>
          </w:p>
        </w:tc>
        <w:tc>
          <w:tcPr>
            <w:tcW w:w="596" w:type="dxa"/>
            <w:tcBorders>
              <w:top w:val="nil"/>
              <w:left w:val="nil"/>
              <w:bottom w:val="nil"/>
              <w:right w:val="nil"/>
            </w:tcBorders>
            <w:shd w:val="clear" w:color="000000" w:fill="D9D9D9"/>
            <w:noWrap/>
            <w:vAlign w:val="bottom"/>
            <w:hideMark/>
          </w:tcPr>
          <w:p w14:paraId="31B69AB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455AD17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r>
      <w:tr w:rsidR="00306F5D" w:rsidRPr="00306F5D" w14:paraId="61592774"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7EA2C7C5"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SAU</w:t>
            </w:r>
          </w:p>
        </w:tc>
        <w:tc>
          <w:tcPr>
            <w:tcW w:w="1477" w:type="dxa"/>
            <w:tcBorders>
              <w:top w:val="nil"/>
              <w:left w:val="nil"/>
              <w:bottom w:val="nil"/>
              <w:right w:val="nil"/>
            </w:tcBorders>
            <w:shd w:val="clear" w:color="auto" w:fill="D9D9D9" w:themeFill="background1" w:themeFillShade="D9"/>
            <w:noWrap/>
            <w:vAlign w:val="bottom"/>
            <w:hideMark/>
          </w:tcPr>
          <w:p w14:paraId="45D6C3A8"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Saudi Arabia</w:t>
            </w:r>
          </w:p>
        </w:tc>
        <w:tc>
          <w:tcPr>
            <w:tcW w:w="1308" w:type="dxa"/>
            <w:tcBorders>
              <w:top w:val="nil"/>
              <w:left w:val="nil"/>
              <w:bottom w:val="nil"/>
              <w:right w:val="nil"/>
            </w:tcBorders>
            <w:shd w:val="clear" w:color="auto" w:fill="D9D9D9" w:themeFill="background1" w:themeFillShade="D9"/>
            <w:noWrap/>
            <w:vAlign w:val="bottom"/>
            <w:hideMark/>
          </w:tcPr>
          <w:p w14:paraId="5B1CDDDE"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Asia</w:t>
            </w:r>
          </w:p>
        </w:tc>
        <w:tc>
          <w:tcPr>
            <w:tcW w:w="594" w:type="dxa"/>
            <w:tcBorders>
              <w:top w:val="nil"/>
              <w:left w:val="nil"/>
              <w:bottom w:val="nil"/>
              <w:right w:val="nil"/>
            </w:tcBorders>
            <w:shd w:val="clear" w:color="000000" w:fill="F2F2F2"/>
            <w:noWrap/>
            <w:vAlign w:val="bottom"/>
            <w:hideMark/>
          </w:tcPr>
          <w:p w14:paraId="7D7885A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4" w:type="dxa"/>
            <w:tcBorders>
              <w:top w:val="nil"/>
              <w:left w:val="nil"/>
              <w:bottom w:val="nil"/>
              <w:right w:val="nil"/>
            </w:tcBorders>
            <w:shd w:val="clear" w:color="000000" w:fill="F2F2F2"/>
            <w:noWrap/>
            <w:vAlign w:val="bottom"/>
            <w:hideMark/>
          </w:tcPr>
          <w:p w14:paraId="13AD63F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DE0C90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338D0AA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44DD8A5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0211333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8E7091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0253B89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60DCE9B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15FF1D8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771C7AD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1AA0754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18C0C8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36DE01D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DFA3D4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40E676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37A279C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c>
          <w:tcPr>
            <w:tcW w:w="596" w:type="dxa"/>
            <w:tcBorders>
              <w:top w:val="nil"/>
              <w:left w:val="nil"/>
              <w:bottom w:val="nil"/>
              <w:right w:val="nil"/>
            </w:tcBorders>
            <w:shd w:val="clear" w:color="000000" w:fill="D9D9D9"/>
            <w:noWrap/>
            <w:vAlign w:val="bottom"/>
            <w:hideMark/>
          </w:tcPr>
          <w:p w14:paraId="6F2644B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2A28267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3.4</w:t>
            </w:r>
          </w:p>
        </w:tc>
      </w:tr>
      <w:tr w:rsidR="00306F5D" w:rsidRPr="00306F5D" w14:paraId="4E494D40"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344B872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TUR</w:t>
            </w:r>
          </w:p>
        </w:tc>
        <w:tc>
          <w:tcPr>
            <w:tcW w:w="1477" w:type="dxa"/>
            <w:tcBorders>
              <w:top w:val="nil"/>
              <w:left w:val="nil"/>
              <w:bottom w:val="nil"/>
              <w:right w:val="nil"/>
            </w:tcBorders>
            <w:shd w:val="clear" w:color="auto" w:fill="D9D9D9" w:themeFill="background1" w:themeFillShade="D9"/>
            <w:noWrap/>
            <w:vAlign w:val="bottom"/>
            <w:hideMark/>
          </w:tcPr>
          <w:p w14:paraId="508BA56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Turkey</w:t>
            </w:r>
          </w:p>
        </w:tc>
        <w:tc>
          <w:tcPr>
            <w:tcW w:w="1308" w:type="dxa"/>
            <w:tcBorders>
              <w:top w:val="nil"/>
              <w:left w:val="nil"/>
              <w:bottom w:val="nil"/>
              <w:right w:val="nil"/>
            </w:tcBorders>
            <w:shd w:val="clear" w:color="auto" w:fill="D9D9D9" w:themeFill="background1" w:themeFillShade="D9"/>
            <w:noWrap/>
            <w:vAlign w:val="bottom"/>
            <w:hideMark/>
          </w:tcPr>
          <w:p w14:paraId="18542A0C"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Asia</w:t>
            </w:r>
          </w:p>
        </w:tc>
        <w:tc>
          <w:tcPr>
            <w:tcW w:w="594" w:type="dxa"/>
            <w:tcBorders>
              <w:top w:val="nil"/>
              <w:left w:val="nil"/>
              <w:bottom w:val="nil"/>
              <w:right w:val="nil"/>
            </w:tcBorders>
            <w:shd w:val="clear" w:color="000000" w:fill="F2F2F2"/>
            <w:noWrap/>
            <w:vAlign w:val="bottom"/>
            <w:hideMark/>
          </w:tcPr>
          <w:p w14:paraId="6FDDBD7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28BB47E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33C2BE3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5109090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62ABDD0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764A678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F734D3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2564F07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595" w:type="dxa"/>
            <w:tcBorders>
              <w:top w:val="nil"/>
              <w:left w:val="nil"/>
              <w:bottom w:val="nil"/>
              <w:right w:val="nil"/>
            </w:tcBorders>
            <w:shd w:val="clear" w:color="000000" w:fill="F2F2F2"/>
            <w:noWrap/>
            <w:vAlign w:val="bottom"/>
            <w:hideMark/>
          </w:tcPr>
          <w:p w14:paraId="2C6B0B9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21A9207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7050137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B07443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616" w:type="dxa"/>
            <w:tcBorders>
              <w:top w:val="nil"/>
              <w:left w:val="nil"/>
              <w:bottom w:val="nil"/>
              <w:right w:val="nil"/>
            </w:tcBorders>
            <w:shd w:val="clear" w:color="000000" w:fill="D9D9D9"/>
            <w:noWrap/>
            <w:vAlign w:val="bottom"/>
            <w:hideMark/>
          </w:tcPr>
          <w:p w14:paraId="70D20F8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45A9DA4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02786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762726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6CB60F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2.3</w:t>
            </w:r>
          </w:p>
        </w:tc>
        <w:tc>
          <w:tcPr>
            <w:tcW w:w="596" w:type="dxa"/>
            <w:tcBorders>
              <w:top w:val="nil"/>
              <w:left w:val="nil"/>
              <w:bottom w:val="nil"/>
              <w:right w:val="nil"/>
            </w:tcBorders>
            <w:shd w:val="clear" w:color="000000" w:fill="D9D9D9"/>
            <w:noWrap/>
            <w:vAlign w:val="bottom"/>
            <w:hideMark/>
          </w:tcPr>
          <w:p w14:paraId="43548AA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495" w:type="dxa"/>
            <w:tcBorders>
              <w:top w:val="nil"/>
              <w:left w:val="nil"/>
              <w:bottom w:val="nil"/>
              <w:right w:val="nil"/>
            </w:tcBorders>
            <w:shd w:val="clear" w:color="000000" w:fill="F2F2F2"/>
            <w:noWrap/>
            <w:vAlign w:val="bottom"/>
            <w:hideMark/>
          </w:tcPr>
          <w:p w14:paraId="1D57D9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41B2C2F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D257A6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ARE</w:t>
            </w:r>
          </w:p>
        </w:tc>
        <w:tc>
          <w:tcPr>
            <w:tcW w:w="1477" w:type="dxa"/>
            <w:tcBorders>
              <w:top w:val="nil"/>
              <w:left w:val="nil"/>
              <w:bottom w:val="nil"/>
              <w:right w:val="nil"/>
            </w:tcBorders>
            <w:shd w:val="clear" w:color="auto" w:fill="D9D9D9" w:themeFill="background1" w:themeFillShade="D9"/>
            <w:noWrap/>
            <w:vAlign w:val="bottom"/>
            <w:hideMark/>
          </w:tcPr>
          <w:p w14:paraId="51D669D5" w14:textId="3CDA8A82" w:rsidR="00306F5D" w:rsidRPr="00306F5D" w:rsidRDefault="00306F5D" w:rsidP="00D11CE7">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U</w:t>
            </w:r>
            <w:r w:rsidR="00D11CE7">
              <w:rPr>
                <w:rFonts w:asciiTheme="majorHAnsi" w:eastAsia="Times New Roman" w:hAnsiTheme="majorHAnsi" w:cstheme="majorHAnsi"/>
                <w:color w:val="000000"/>
                <w:sz w:val="20"/>
                <w:szCs w:val="20"/>
                <w:lang w:eastAsia="en-GB"/>
              </w:rPr>
              <w:t>AE</w:t>
            </w:r>
          </w:p>
        </w:tc>
        <w:tc>
          <w:tcPr>
            <w:tcW w:w="1308" w:type="dxa"/>
            <w:tcBorders>
              <w:top w:val="nil"/>
              <w:left w:val="nil"/>
              <w:bottom w:val="nil"/>
              <w:right w:val="nil"/>
            </w:tcBorders>
            <w:shd w:val="clear" w:color="auto" w:fill="D9D9D9" w:themeFill="background1" w:themeFillShade="D9"/>
            <w:noWrap/>
            <w:vAlign w:val="bottom"/>
            <w:hideMark/>
          </w:tcPr>
          <w:p w14:paraId="29A70019"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Asia</w:t>
            </w:r>
          </w:p>
        </w:tc>
        <w:tc>
          <w:tcPr>
            <w:tcW w:w="594" w:type="dxa"/>
            <w:tcBorders>
              <w:top w:val="nil"/>
              <w:left w:val="nil"/>
              <w:bottom w:val="nil"/>
              <w:right w:val="nil"/>
            </w:tcBorders>
            <w:shd w:val="clear" w:color="000000" w:fill="F2F2F2"/>
            <w:noWrap/>
            <w:vAlign w:val="bottom"/>
            <w:hideMark/>
          </w:tcPr>
          <w:p w14:paraId="06BB924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4" w:type="dxa"/>
            <w:tcBorders>
              <w:top w:val="nil"/>
              <w:left w:val="nil"/>
              <w:bottom w:val="nil"/>
              <w:right w:val="nil"/>
            </w:tcBorders>
            <w:shd w:val="clear" w:color="000000" w:fill="F2F2F2"/>
            <w:noWrap/>
            <w:vAlign w:val="bottom"/>
            <w:hideMark/>
          </w:tcPr>
          <w:p w14:paraId="64E692E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C9F09E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C4BB62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D9D9D9"/>
            <w:noWrap/>
            <w:vAlign w:val="bottom"/>
            <w:hideMark/>
          </w:tcPr>
          <w:p w14:paraId="7F983B9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0E3374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713336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66A7089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3100BE4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0491741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B1EF08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CFDDC3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1.6</w:t>
            </w:r>
          </w:p>
        </w:tc>
        <w:tc>
          <w:tcPr>
            <w:tcW w:w="616" w:type="dxa"/>
            <w:tcBorders>
              <w:top w:val="nil"/>
              <w:left w:val="nil"/>
              <w:bottom w:val="nil"/>
              <w:right w:val="nil"/>
            </w:tcBorders>
            <w:shd w:val="clear" w:color="000000" w:fill="D9D9D9"/>
            <w:noWrap/>
            <w:vAlign w:val="bottom"/>
            <w:hideMark/>
          </w:tcPr>
          <w:p w14:paraId="41F5B87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0AB1A31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BC978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5B2A32B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CE895E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1.7</w:t>
            </w:r>
          </w:p>
        </w:tc>
        <w:tc>
          <w:tcPr>
            <w:tcW w:w="596" w:type="dxa"/>
            <w:tcBorders>
              <w:top w:val="nil"/>
              <w:left w:val="nil"/>
              <w:bottom w:val="nil"/>
              <w:right w:val="nil"/>
            </w:tcBorders>
            <w:shd w:val="clear" w:color="000000" w:fill="D9D9D9"/>
            <w:noWrap/>
            <w:vAlign w:val="bottom"/>
            <w:hideMark/>
          </w:tcPr>
          <w:p w14:paraId="01CCCA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495" w:type="dxa"/>
            <w:tcBorders>
              <w:top w:val="nil"/>
              <w:left w:val="nil"/>
              <w:bottom w:val="nil"/>
              <w:right w:val="nil"/>
            </w:tcBorders>
            <w:shd w:val="clear" w:color="000000" w:fill="F2F2F2"/>
            <w:noWrap/>
            <w:vAlign w:val="bottom"/>
            <w:hideMark/>
          </w:tcPr>
          <w:p w14:paraId="2882EC5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r>
      <w:tr w:rsidR="00306F5D" w:rsidRPr="00306F5D" w14:paraId="01ABCA25" w14:textId="77777777" w:rsidTr="002F18DD">
        <w:trPr>
          <w:trHeight w:val="255"/>
        </w:trPr>
        <w:tc>
          <w:tcPr>
            <w:tcW w:w="567" w:type="dxa"/>
            <w:tcBorders>
              <w:top w:val="single" w:sz="4" w:space="0" w:color="A6A6A6"/>
              <w:left w:val="nil"/>
              <w:bottom w:val="nil"/>
              <w:right w:val="nil"/>
            </w:tcBorders>
            <w:shd w:val="clear" w:color="auto" w:fill="D9D9D9" w:themeFill="background1" w:themeFillShade="D9"/>
            <w:noWrap/>
            <w:vAlign w:val="bottom"/>
            <w:hideMark/>
          </w:tcPr>
          <w:p w14:paraId="01EF69E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EGY</w:t>
            </w:r>
          </w:p>
        </w:tc>
        <w:tc>
          <w:tcPr>
            <w:tcW w:w="1477" w:type="dxa"/>
            <w:tcBorders>
              <w:top w:val="single" w:sz="4" w:space="0" w:color="A6A6A6"/>
              <w:left w:val="nil"/>
              <w:bottom w:val="nil"/>
              <w:right w:val="nil"/>
            </w:tcBorders>
            <w:shd w:val="clear" w:color="auto" w:fill="D9D9D9" w:themeFill="background1" w:themeFillShade="D9"/>
            <w:noWrap/>
            <w:vAlign w:val="bottom"/>
            <w:hideMark/>
          </w:tcPr>
          <w:p w14:paraId="58BDD43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Egypt</w:t>
            </w:r>
          </w:p>
        </w:tc>
        <w:tc>
          <w:tcPr>
            <w:tcW w:w="1308" w:type="dxa"/>
            <w:tcBorders>
              <w:top w:val="single" w:sz="4" w:space="0" w:color="A6A6A6"/>
              <w:left w:val="nil"/>
              <w:bottom w:val="nil"/>
              <w:right w:val="nil"/>
            </w:tcBorders>
            <w:shd w:val="clear" w:color="auto" w:fill="D9D9D9" w:themeFill="background1" w:themeFillShade="D9"/>
            <w:noWrap/>
            <w:vAlign w:val="bottom"/>
            <w:hideMark/>
          </w:tcPr>
          <w:p w14:paraId="05846A3B"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North Africa</w:t>
            </w:r>
          </w:p>
        </w:tc>
        <w:tc>
          <w:tcPr>
            <w:tcW w:w="594" w:type="dxa"/>
            <w:tcBorders>
              <w:top w:val="single" w:sz="4" w:space="0" w:color="A6A6A6"/>
              <w:left w:val="nil"/>
              <w:bottom w:val="nil"/>
              <w:right w:val="nil"/>
            </w:tcBorders>
            <w:shd w:val="clear" w:color="000000" w:fill="F2F2F2"/>
            <w:noWrap/>
            <w:vAlign w:val="bottom"/>
            <w:hideMark/>
          </w:tcPr>
          <w:p w14:paraId="43EC0EC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single" w:sz="4" w:space="0" w:color="A6A6A6"/>
              <w:left w:val="nil"/>
              <w:bottom w:val="nil"/>
              <w:right w:val="nil"/>
            </w:tcBorders>
            <w:shd w:val="clear" w:color="000000" w:fill="F2F2F2"/>
            <w:noWrap/>
            <w:vAlign w:val="bottom"/>
            <w:hideMark/>
          </w:tcPr>
          <w:p w14:paraId="51FFF51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single" w:sz="4" w:space="0" w:color="A6A6A6"/>
              <w:left w:val="nil"/>
              <w:bottom w:val="nil"/>
              <w:right w:val="nil"/>
            </w:tcBorders>
            <w:shd w:val="clear" w:color="000000" w:fill="F2F2F2"/>
            <w:noWrap/>
            <w:vAlign w:val="bottom"/>
            <w:hideMark/>
          </w:tcPr>
          <w:p w14:paraId="636A0C1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D9D9D9"/>
            <w:noWrap/>
            <w:vAlign w:val="bottom"/>
            <w:hideMark/>
          </w:tcPr>
          <w:p w14:paraId="765E593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single" w:sz="4" w:space="0" w:color="A6A6A6"/>
              <w:left w:val="nil"/>
              <w:bottom w:val="nil"/>
              <w:right w:val="nil"/>
            </w:tcBorders>
            <w:shd w:val="clear" w:color="000000" w:fill="D9D9D9"/>
            <w:noWrap/>
            <w:vAlign w:val="bottom"/>
            <w:hideMark/>
          </w:tcPr>
          <w:p w14:paraId="1C91A02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single" w:sz="4" w:space="0" w:color="A6A6A6"/>
              <w:left w:val="nil"/>
              <w:bottom w:val="nil"/>
              <w:right w:val="nil"/>
            </w:tcBorders>
            <w:shd w:val="clear" w:color="000000" w:fill="D9D9D9"/>
            <w:noWrap/>
            <w:vAlign w:val="bottom"/>
            <w:hideMark/>
          </w:tcPr>
          <w:p w14:paraId="19B98D6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7E715ED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F2F2F2"/>
            <w:noWrap/>
            <w:vAlign w:val="bottom"/>
            <w:hideMark/>
          </w:tcPr>
          <w:p w14:paraId="5E51069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single" w:sz="4" w:space="0" w:color="A6A6A6"/>
              <w:left w:val="nil"/>
              <w:bottom w:val="nil"/>
              <w:right w:val="nil"/>
            </w:tcBorders>
            <w:shd w:val="clear" w:color="000000" w:fill="F2F2F2"/>
            <w:noWrap/>
            <w:vAlign w:val="bottom"/>
            <w:hideMark/>
          </w:tcPr>
          <w:p w14:paraId="6576EBF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single" w:sz="4" w:space="0" w:color="A6A6A6"/>
              <w:left w:val="nil"/>
              <w:bottom w:val="nil"/>
              <w:right w:val="nil"/>
            </w:tcBorders>
            <w:shd w:val="clear" w:color="000000" w:fill="D9D9D9"/>
            <w:noWrap/>
            <w:vAlign w:val="bottom"/>
            <w:hideMark/>
          </w:tcPr>
          <w:p w14:paraId="1E47D23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4457DC7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single" w:sz="4" w:space="0" w:color="A6A6A6"/>
              <w:left w:val="nil"/>
              <w:bottom w:val="nil"/>
              <w:right w:val="nil"/>
            </w:tcBorders>
            <w:shd w:val="clear" w:color="000000" w:fill="F2F2F2"/>
            <w:noWrap/>
            <w:vAlign w:val="bottom"/>
            <w:hideMark/>
          </w:tcPr>
          <w:p w14:paraId="79B0ED2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single" w:sz="4" w:space="0" w:color="A6A6A6"/>
              <w:left w:val="nil"/>
              <w:bottom w:val="nil"/>
              <w:right w:val="nil"/>
            </w:tcBorders>
            <w:shd w:val="clear" w:color="000000" w:fill="D9D9D9"/>
            <w:noWrap/>
            <w:vAlign w:val="bottom"/>
            <w:hideMark/>
          </w:tcPr>
          <w:p w14:paraId="13871F6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single" w:sz="4" w:space="0" w:color="A6A6A6"/>
              <w:left w:val="nil"/>
              <w:bottom w:val="nil"/>
              <w:right w:val="nil"/>
            </w:tcBorders>
            <w:shd w:val="clear" w:color="000000" w:fill="F2F2F2"/>
            <w:noWrap/>
            <w:vAlign w:val="bottom"/>
            <w:hideMark/>
          </w:tcPr>
          <w:p w14:paraId="41CB8BD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38C10C3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single" w:sz="4" w:space="0" w:color="A6A6A6"/>
              <w:left w:val="nil"/>
              <w:bottom w:val="nil"/>
              <w:right w:val="nil"/>
            </w:tcBorders>
            <w:shd w:val="clear" w:color="000000" w:fill="F2F2F2"/>
            <w:noWrap/>
            <w:vAlign w:val="bottom"/>
            <w:hideMark/>
          </w:tcPr>
          <w:p w14:paraId="60FDF0D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single" w:sz="4" w:space="0" w:color="A6A6A6"/>
              <w:left w:val="nil"/>
              <w:bottom w:val="nil"/>
              <w:right w:val="nil"/>
            </w:tcBorders>
            <w:shd w:val="clear" w:color="000000" w:fill="D9D9D9"/>
            <w:noWrap/>
            <w:vAlign w:val="bottom"/>
            <w:hideMark/>
          </w:tcPr>
          <w:p w14:paraId="090D730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single" w:sz="4" w:space="0" w:color="A6A6A6"/>
              <w:left w:val="nil"/>
              <w:bottom w:val="nil"/>
              <w:right w:val="nil"/>
            </w:tcBorders>
            <w:shd w:val="clear" w:color="000000" w:fill="D9D9D9"/>
            <w:noWrap/>
            <w:vAlign w:val="bottom"/>
            <w:hideMark/>
          </w:tcPr>
          <w:p w14:paraId="64027DE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single" w:sz="4" w:space="0" w:color="A6A6A6"/>
              <w:left w:val="nil"/>
              <w:bottom w:val="nil"/>
              <w:right w:val="nil"/>
            </w:tcBorders>
            <w:shd w:val="clear" w:color="000000" w:fill="F2F2F2"/>
            <w:noWrap/>
            <w:vAlign w:val="bottom"/>
            <w:hideMark/>
          </w:tcPr>
          <w:p w14:paraId="4EA3EC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r>
      <w:tr w:rsidR="00306F5D" w:rsidRPr="00306F5D" w14:paraId="0F814352"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36768DF6"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MAR</w:t>
            </w:r>
          </w:p>
        </w:tc>
        <w:tc>
          <w:tcPr>
            <w:tcW w:w="1477" w:type="dxa"/>
            <w:tcBorders>
              <w:top w:val="nil"/>
              <w:left w:val="nil"/>
              <w:bottom w:val="nil"/>
              <w:right w:val="nil"/>
            </w:tcBorders>
            <w:shd w:val="clear" w:color="auto" w:fill="D9D9D9" w:themeFill="background1" w:themeFillShade="D9"/>
            <w:noWrap/>
            <w:vAlign w:val="bottom"/>
            <w:hideMark/>
          </w:tcPr>
          <w:p w14:paraId="7D30E9C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Morocco</w:t>
            </w:r>
          </w:p>
        </w:tc>
        <w:tc>
          <w:tcPr>
            <w:tcW w:w="1308" w:type="dxa"/>
            <w:tcBorders>
              <w:top w:val="nil"/>
              <w:left w:val="nil"/>
              <w:bottom w:val="nil"/>
              <w:right w:val="nil"/>
            </w:tcBorders>
            <w:shd w:val="clear" w:color="auto" w:fill="D9D9D9" w:themeFill="background1" w:themeFillShade="D9"/>
            <w:noWrap/>
            <w:vAlign w:val="bottom"/>
            <w:hideMark/>
          </w:tcPr>
          <w:p w14:paraId="5884D50D"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North Africa</w:t>
            </w:r>
          </w:p>
        </w:tc>
        <w:tc>
          <w:tcPr>
            <w:tcW w:w="594" w:type="dxa"/>
            <w:tcBorders>
              <w:top w:val="nil"/>
              <w:left w:val="nil"/>
              <w:bottom w:val="nil"/>
              <w:right w:val="nil"/>
            </w:tcBorders>
            <w:shd w:val="clear" w:color="000000" w:fill="F2F2F2"/>
            <w:noWrap/>
            <w:vAlign w:val="bottom"/>
            <w:hideMark/>
          </w:tcPr>
          <w:p w14:paraId="7AEE2D4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1E4B3F8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7CFFB8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10F11E5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0D25E79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0231781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ED9296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2C172C5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595" w:type="dxa"/>
            <w:tcBorders>
              <w:top w:val="nil"/>
              <w:left w:val="nil"/>
              <w:bottom w:val="nil"/>
              <w:right w:val="nil"/>
            </w:tcBorders>
            <w:shd w:val="clear" w:color="000000" w:fill="F2F2F2"/>
            <w:noWrap/>
            <w:vAlign w:val="bottom"/>
            <w:hideMark/>
          </w:tcPr>
          <w:p w14:paraId="100CEC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5ACAB43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D710EE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5559B1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202BC62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4A5CB4B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18E547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C4BD7C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4A12EF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c>
          <w:tcPr>
            <w:tcW w:w="596" w:type="dxa"/>
            <w:tcBorders>
              <w:top w:val="nil"/>
              <w:left w:val="nil"/>
              <w:bottom w:val="nil"/>
              <w:right w:val="nil"/>
            </w:tcBorders>
            <w:shd w:val="clear" w:color="000000" w:fill="D9D9D9"/>
            <w:noWrap/>
            <w:vAlign w:val="bottom"/>
            <w:hideMark/>
          </w:tcPr>
          <w:p w14:paraId="66931BA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3499E8B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r>
      <w:tr w:rsidR="00306F5D" w:rsidRPr="00306F5D" w14:paraId="43923EE2"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D0052E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TUN</w:t>
            </w:r>
          </w:p>
        </w:tc>
        <w:tc>
          <w:tcPr>
            <w:tcW w:w="1477" w:type="dxa"/>
            <w:tcBorders>
              <w:top w:val="nil"/>
              <w:left w:val="nil"/>
              <w:bottom w:val="nil"/>
              <w:right w:val="nil"/>
            </w:tcBorders>
            <w:shd w:val="clear" w:color="auto" w:fill="D9D9D9" w:themeFill="background1" w:themeFillShade="D9"/>
            <w:noWrap/>
            <w:vAlign w:val="bottom"/>
            <w:hideMark/>
          </w:tcPr>
          <w:p w14:paraId="4079C8B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Tunisia</w:t>
            </w:r>
          </w:p>
        </w:tc>
        <w:tc>
          <w:tcPr>
            <w:tcW w:w="1308" w:type="dxa"/>
            <w:tcBorders>
              <w:top w:val="nil"/>
              <w:left w:val="nil"/>
              <w:bottom w:val="nil"/>
              <w:right w:val="nil"/>
            </w:tcBorders>
            <w:shd w:val="clear" w:color="auto" w:fill="D9D9D9" w:themeFill="background1" w:themeFillShade="D9"/>
            <w:noWrap/>
            <w:vAlign w:val="bottom"/>
            <w:hideMark/>
          </w:tcPr>
          <w:p w14:paraId="1B15783C"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North Africa</w:t>
            </w:r>
          </w:p>
        </w:tc>
        <w:tc>
          <w:tcPr>
            <w:tcW w:w="594" w:type="dxa"/>
            <w:tcBorders>
              <w:top w:val="nil"/>
              <w:left w:val="nil"/>
              <w:bottom w:val="nil"/>
              <w:right w:val="nil"/>
            </w:tcBorders>
            <w:shd w:val="clear" w:color="000000" w:fill="F2F2F2"/>
            <w:noWrap/>
            <w:vAlign w:val="bottom"/>
            <w:hideMark/>
          </w:tcPr>
          <w:p w14:paraId="21B25D4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52B1519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79333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531001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23DDEA7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1377DAB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80DE33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47D274D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595" w:type="dxa"/>
            <w:tcBorders>
              <w:top w:val="nil"/>
              <w:left w:val="nil"/>
              <w:bottom w:val="nil"/>
              <w:right w:val="nil"/>
            </w:tcBorders>
            <w:shd w:val="clear" w:color="000000" w:fill="F2F2F2"/>
            <w:noWrap/>
            <w:vAlign w:val="bottom"/>
            <w:hideMark/>
          </w:tcPr>
          <w:p w14:paraId="6FD86CD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5CD431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3835F7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71F338D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1AD888A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7FFFC5A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24DDC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50213A5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5C868C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c>
          <w:tcPr>
            <w:tcW w:w="596" w:type="dxa"/>
            <w:tcBorders>
              <w:top w:val="nil"/>
              <w:left w:val="nil"/>
              <w:bottom w:val="nil"/>
              <w:right w:val="nil"/>
            </w:tcBorders>
            <w:shd w:val="clear" w:color="000000" w:fill="D9D9D9"/>
            <w:noWrap/>
            <w:vAlign w:val="bottom"/>
            <w:hideMark/>
          </w:tcPr>
          <w:p w14:paraId="1467C10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6B6603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r>
      <w:tr w:rsidR="00306F5D" w:rsidRPr="00306F5D" w14:paraId="010C29E2" w14:textId="77777777" w:rsidTr="002F18DD">
        <w:trPr>
          <w:trHeight w:val="255"/>
        </w:trPr>
        <w:tc>
          <w:tcPr>
            <w:tcW w:w="567" w:type="dxa"/>
            <w:tcBorders>
              <w:top w:val="single" w:sz="4" w:space="0" w:color="A6A6A6"/>
              <w:left w:val="nil"/>
              <w:bottom w:val="nil"/>
              <w:right w:val="nil"/>
            </w:tcBorders>
            <w:shd w:val="clear" w:color="auto" w:fill="D9D9D9" w:themeFill="background1" w:themeFillShade="D9"/>
            <w:noWrap/>
            <w:vAlign w:val="bottom"/>
            <w:hideMark/>
          </w:tcPr>
          <w:p w14:paraId="5C834BB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BEN</w:t>
            </w:r>
          </w:p>
        </w:tc>
        <w:tc>
          <w:tcPr>
            <w:tcW w:w="1477" w:type="dxa"/>
            <w:tcBorders>
              <w:top w:val="single" w:sz="4" w:space="0" w:color="A6A6A6"/>
              <w:left w:val="nil"/>
              <w:bottom w:val="nil"/>
              <w:right w:val="nil"/>
            </w:tcBorders>
            <w:shd w:val="clear" w:color="auto" w:fill="D9D9D9" w:themeFill="background1" w:themeFillShade="D9"/>
            <w:noWrap/>
            <w:vAlign w:val="bottom"/>
            <w:hideMark/>
          </w:tcPr>
          <w:p w14:paraId="33FD006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Benin</w:t>
            </w:r>
          </w:p>
        </w:tc>
        <w:tc>
          <w:tcPr>
            <w:tcW w:w="1308" w:type="dxa"/>
            <w:tcBorders>
              <w:top w:val="single" w:sz="4" w:space="0" w:color="A6A6A6"/>
              <w:left w:val="nil"/>
              <w:bottom w:val="nil"/>
              <w:right w:val="nil"/>
            </w:tcBorders>
            <w:shd w:val="clear" w:color="auto" w:fill="D9D9D9" w:themeFill="background1" w:themeFillShade="D9"/>
            <w:noWrap/>
            <w:vAlign w:val="bottom"/>
            <w:hideMark/>
          </w:tcPr>
          <w:p w14:paraId="0C0637FB"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Africa</w:t>
            </w:r>
          </w:p>
        </w:tc>
        <w:tc>
          <w:tcPr>
            <w:tcW w:w="594" w:type="dxa"/>
            <w:tcBorders>
              <w:top w:val="single" w:sz="4" w:space="0" w:color="A6A6A6"/>
              <w:left w:val="nil"/>
              <w:bottom w:val="nil"/>
              <w:right w:val="nil"/>
            </w:tcBorders>
            <w:shd w:val="clear" w:color="000000" w:fill="F2F2F2"/>
            <w:noWrap/>
            <w:vAlign w:val="bottom"/>
            <w:hideMark/>
          </w:tcPr>
          <w:p w14:paraId="659E5E9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single" w:sz="4" w:space="0" w:color="A6A6A6"/>
              <w:left w:val="nil"/>
              <w:bottom w:val="nil"/>
              <w:right w:val="nil"/>
            </w:tcBorders>
            <w:shd w:val="clear" w:color="000000" w:fill="F2F2F2"/>
            <w:noWrap/>
            <w:vAlign w:val="bottom"/>
            <w:hideMark/>
          </w:tcPr>
          <w:p w14:paraId="07A0A35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single" w:sz="4" w:space="0" w:color="A6A6A6"/>
              <w:left w:val="nil"/>
              <w:bottom w:val="nil"/>
              <w:right w:val="nil"/>
            </w:tcBorders>
            <w:shd w:val="clear" w:color="000000" w:fill="F2F2F2"/>
            <w:noWrap/>
            <w:vAlign w:val="bottom"/>
            <w:hideMark/>
          </w:tcPr>
          <w:p w14:paraId="38A75FE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D9D9D9"/>
            <w:noWrap/>
            <w:vAlign w:val="bottom"/>
            <w:hideMark/>
          </w:tcPr>
          <w:p w14:paraId="0817013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single" w:sz="4" w:space="0" w:color="A6A6A6"/>
              <w:left w:val="nil"/>
              <w:bottom w:val="nil"/>
              <w:right w:val="nil"/>
            </w:tcBorders>
            <w:shd w:val="clear" w:color="000000" w:fill="D9D9D9"/>
            <w:noWrap/>
            <w:vAlign w:val="bottom"/>
            <w:hideMark/>
          </w:tcPr>
          <w:p w14:paraId="7595EB0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single" w:sz="4" w:space="0" w:color="A6A6A6"/>
              <w:left w:val="nil"/>
              <w:bottom w:val="nil"/>
              <w:right w:val="nil"/>
            </w:tcBorders>
            <w:shd w:val="clear" w:color="000000" w:fill="D9D9D9"/>
            <w:noWrap/>
            <w:vAlign w:val="bottom"/>
            <w:hideMark/>
          </w:tcPr>
          <w:p w14:paraId="13663BC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5410A2E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single" w:sz="4" w:space="0" w:color="A6A6A6"/>
              <w:left w:val="nil"/>
              <w:bottom w:val="nil"/>
              <w:right w:val="nil"/>
            </w:tcBorders>
            <w:shd w:val="clear" w:color="000000" w:fill="F2F2F2"/>
            <w:noWrap/>
            <w:vAlign w:val="bottom"/>
            <w:hideMark/>
          </w:tcPr>
          <w:p w14:paraId="1D464EB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single" w:sz="4" w:space="0" w:color="A6A6A6"/>
              <w:left w:val="nil"/>
              <w:bottom w:val="nil"/>
              <w:right w:val="nil"/>
            </w:tcBorders>
            <w:shd w:val="clear" w:color="000000" w:fill="F2F2F2"/>
            <w:noWrap/>
            <w:vAlign w:val="bottom"/>
            <w:hideMark/>
          </w:tcPr>
          <w:p w14:paraId="2D45767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single" w:sz="4" w:space="0" w:color="A6A6A6"/>
              <w:left w:val="nil"/>
              <w:bottom w:val="nil"/>
              <w:right w:val="nil"/>
            </w:tcBorders>
            <w:shd w:val="clear" w:color="000000" w:fill="D9D9D9"/>
            <w:noWrap/>
            <w:vAlign w:val="bottom"/>
            <w:hideMark/>
          </w:tcPr>
          <w:p w14:paraId="5CDE02A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4C198C1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single" w:sz="4" w:space="0" w:color="A6A6A6"/>
              <w:left w:val="nil"/>
              <w:bottom w:val="nil"/>
              <w:right w:val="nil"/>
            </w:tcBorders>
            <w:shd w:val="clear" w:color="000000" w:fill="F2F2F2"/>
            <w:noWrap/>
            <w:vAlign w:val="bottom"/>
            <w:hideMark/>
          </w:tcPr>
          <w:p w14:paraId="0B1F9DF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single" w:sz="4" w:space="0" w:color="A6A6A6"/>
              <w:left w:val="nil"/>
              <w:bottom w:val="nil"/>
              <w:right w:val="nil"/>
            </w:tcBorders>
            <w:shd w:val="clear" w:color="000000" w:fill="D9D9D9"/>
            <w:noWrap/>
            <w:vAlign w:val="bottom"/>
            <w:hideMark/>
          </w:tcPr>
          <w:p w14:paraId="56FB667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single" w:sz="4" w:space="0" w:color="A6A6A6"/>
              <w:left w:val="nil"/>
              <w:bottom w:val="nil"/>
              <w:right w:val="nil"/>
            </w:tcBorders>
            <w:shd w:val="clear" w:color="000000" w:fill="F2F2F2"/>
            <w:noWrap/>
            <w:vAlign w:val="bottom"/>
            <w:hideMark/>
          </w:tcPr>
          <w:p w14:paraId="0595DDD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616D0E7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single" w:sz="4" w:space="0" w:color="A6A6A6"/>
              <w:left w:val="nil"/>
              <w:bottom w:val="nil"/>
              <w:right w:val="nil"/>
            </w:tcBorders>
            <w:shd w:val="clear" w:color="000000" w:fill="F2F2F2"/>
            <w:noWrap/>
            <w:vAlign w:val="bottom"/>
            <w:hideMark/>
          </w:tcPr>
          <w:p w14:paraId="2FD111B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single" w:sz="4" w:space="0" w:color="A6A6A6"/>
              <w:left w:val="nil"/>
              <w:bottom w:val="nil"/>
              <w:right w:val="nil"/>
            </w:tcBorders>
            <w:shd w:val="clear" w:color="000000" w:fill="D9D9D9"/>
            <w:noWrap/>
            <w:vAlign w:val="bottom"/>
            <w:hideMark/>
          </w:tcPr>
          <w:p w14:paraId="02A1B0E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2.1</w:t>
            </w:r>
          </w:p>
        </w:tc>
        <w:tc>
          <w:tcPr>
            <w:tcW w:w="596" w:type="dxa"/>
            <w:tcBorders>
              <w:top w:val="single" w:sz="4" w:space="0" w:color="A6A6A6"/>
              <w:left w:val="nil"/>
              <w:bottom w:val="nil"/>
              <w:right w:val="nil"/>
            </w:tcBorders>
            <w:shd w:val="clear" w:color="000000" w:fill="D9D9D9"/>
            <w:noWrap/>
            <w:vAlign w:val="bottom"/>
            <w:hideMark/>
          </w:tcPr>
          <w:p w14:paraId="100CB82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495" w:type="dxa"/>
            <w:tcBorders>
              <w:top w:val="single" w:sz="4" w:space="0" w:color="A6A6A6"/>
              <w:left w:val="nil"/>
              <w:bottom w:val="nil"/>
              <w:right w:val="nil"/>
            </w:tcBorders>
            <w:shd w:val="clear" w:color="000000" w:fill="F2F2F2"/>
            <w:noWrap/>
            <w:vAlign w:val="bottom"/>
            <w:hideMark/>
          </w:tcPr>
          <w:p w14:paraId="5301A46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r>
      <w:tr w:rsidR="00306F5D" w:rsidRPr="00306F5D" w14:paraId="78F3BFBD"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4AAF744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BFA</w:t>
            </w:r>
          </w:p>
        </w:tc>
        <w:tc>
          <w:tcPr>
            <w:tcW w:w="1477" w:type="dxa"/>
            <w:tcBorders>
              <w:top w:val="nil"/>
              <w:left w:val="nil"/>
              <w:bottom w:val="nil"/>
              <w:right w:val="nil"/>
            </w:tcBorders>
            <w:shd w:val="clear" w:color="auto" w:fill="D9D9D9" w:themeFill="background1" w:themeFillShade="D9"/>
            <w:noWrap/>
            <w:vAlign w:val="bottom"/>
            <w:hideMark/>
          </w:tcPr>
          <w:p w14:paraId="480BC17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Burkina Faso</w:t>
            </w:r>
          </w:p>
        </w:tc>
        <w:tc>
          <w:tcPr>
            <w:tcW w:w="1308" w:type="dxa"/>
            <w:tcBorders>
              <w:top w:val="nil"/>
              <w:left w:val="nil"/>
              <w:bottom w:val="nil"/>
              <w:right w:val="nil"/>
            </w:tcBorders>
            <w:shd w:val="clear" w:color="auto" w:fill="D9D9D9" w:themeFill="background1" w:themeFillShade="D9"/>
            <w:noWrap/>
            <w:vAlign w:val="bottom"/>
            <w:hideMark/>
          </w:tcPr>
          <w:p w14:paraId="060923EF"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Africa</w:t>
            </w:r>
          </w:p>
        </w:tc>
        <w:tc>
          <w:tcPr>
            <w:tcW w:w="594" w:type="dxa"/>
            <w:tcBorders>
              <w:top w:val="nil"/>
              <w:left w:val="nil"/>
              <w:bottom w:val="nil"/>
              <w:right w:val="nil"/>
            </w:tcBorders>
            <w:shd w:val="clear" w:color="000000" w:fill="F2F2F2"/>
            <w:noWrap/>
            <w:vAlign w:val="bottom"/>
            <w:hideMark/>
          </w:tcPr>
          <w:p w14:paraId="27B4426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4964DE5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3DB340F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20CF4F5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4C249F9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340C3B6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44FB17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1056F96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73AB4E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0DF4E27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69FBC1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38FF197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2D81C28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6610810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2327DB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60D108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3E40A08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6" w:type="dxa"/>
            <w:tcBorders>
              <w:top w:val="nil"/>
              <w:left w:val="nil"/>
              <w:bottom w:val="nil"/>
              <w:right w:val="nil"/>
            </w:tcBorders>
            <w:shd w:val="clear" w:color="000000" w:fill="D9D9D9"/>
            <w:noWrap/>
            <w:vAlign w:val="bottom"/>
            <w:hideMark/>
          </w:tcPr>
          <w:p w14:paraId="505A3F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495" w:type="dxa"/>
            <w:tcBorders>
              <w:top w:val="nil"/>
              <w:left w:val="nil"/>
              <w:bottom w:val="nil"/>
              <w:right w:val="nil"/>
            </w:tcBorders>
            <w:shd w:val="clear" w:color="000000" w:fill="F2F2F2"/>
            <w:noWrap/>
            <w:vAlign w:val="bottom"/>
            <w:hideMark/>
          </w:tcPr>
          <w:p w14:paraId="3153DA8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r>
      <w:tr w:rsidR="00306F5D" w:rsidRPr="00306F5D" w14:paraId="3047C4DC"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3A0FAD2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CMR</w:t>
            </w:r>
          </w:p>
        </w:tc>
        <w:tc>
          <w:tcPr>
            <w:tcW w:w="1477" w:type="dxa"/>
            <w:tcBorders>
              <w:top w:val="nil"/>
              <w:left w:val="nil"/>
              <w:bottom w:val="nil"/>
              <w:right w:val="nil"/>
            </w:tcBorders>
            <w:shd w:val="clear" w:color="auto" w:fill="D9D9D9" w:themeFill="background1" w:themeFillShade="D9"/>
            <w:noWrap/>
            <w:vAlign w:val="bottom"/>
            <w:hideMark/>
          </w:tcPr>
          <w:p w14:paraId="0673400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Cameroon</w:t>
            </w:r>
          </w:p>
        </w:tc>
        <w:tc>
          <w:tcPr>
            <w:tcW w:w="1308" w:type="dxa"/>
            <w:tcBorders>
              <w:top w:val="nil"/>
              <w:left w:val="nil"/>
              <w:bottom w:val="nil"/>
              <w:right w:val="nil"/>
            </w:tcBorders>
            <w:shd w:val="clear" w:color="auto" w:fill="D9D9D9" w:themeFill="background1" w:themeFillShade="D9"/>
            <w:noWrap/>
            <w:vAlign w:val="bottom"/>
            <w:hideMark/>
          </w:tcPr>
          <w:p w14:paraId="0E6C64F3"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Africa</w:t>
            </w:r>
          </w:p>
        </w:tc>
        <w:tc>
          <w:tcPr>
            <w:tcW w:w="594" w:type="dxa"/>
            <w:tcBorders>
              <w:top w:val="nil"/>
              <w:left w:val="nil"/>
              <w:bottom w:val="nil"/>
              <w:right w:val="nil"/>
            </w:tcBorders>
            <w:shd w:val="clear" w:color="000000" w:fill="F2F2F2"/>
            <w:noWrap/>
            <w:vAlign w:val="bottom"/>
            <w:hideMark/>
          </w:tcPr>
          <w:p w14:paraId="6F6983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3DDE6C8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8F624D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35EF8BD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41D3B09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712B28C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FC8983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6D85215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275C135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125FC93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7FB6916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19F406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41AF714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029AB23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3B41C5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FAFCAB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60187A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2.3</w:t>
            </w:r>
          </w:p>
        </w:tc>
        <w:tc>
          <w:tcPr>
            <w:tcW w:w="596" w:type="dxa"/>
            <w:tcBorders>
              <w:top w:val="nil"/>
              <w:left w:val="nil"/>
              <w:bottom w:val="nil"/>
              <w:right w:val="nil"/>
            </w:tcBorders>
            <w:shd w:val="clear" w:color="000000" w:fill="D9D9D9"/>
            <w:noWrap/>
            <w:vAlign w:val="bottom"/>
            <w:hideMark/>
          </w:tcPr>
          <w:p w14:paraId="03BEA5F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nil"/>
              <w:left w:val="nil"/>
              <w:bottom w:val="nil"/>
              <w:right w:val="nil"/>
            </w:tcBorders>
            <w:shd w:val="clear" w:color="000000" w:fill="F2F2F2"/>
            <w:noWrap/>
            <w:vAlign w:val="bottom"/>
            <w:hideMark/>
          </w:tcPr>
          <w:p w14:paraId="43F1DA1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r>
      <w:tr w:rsidR="00306F5D" w:rsidRPr="00306F5D" w14:paraId="6566CC5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4C5805A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CIV</w:t>
            </w:r>
          </w:p>
        </w:tc>
        <w:tc>
          <w:tcPr>
            <w:tcW w:w="1477" w:type="dxa"/>
            <w:tcBorders>
              <w:top w:val="nil"/>
              <w:left w:val="nil"/>
              <w:bottom w:val="nil"/>
              <w:right w:val="nil"/>
            </w:tcBorders>
            <w:shd w:val="clear" w:color="auto" w:fill="D9D9D9" w:themeFill="background1" w:themeFillShade="D9"/>
            <w:noWrap/>
            <w:vAlign w:val="bottom"/>
            <w:hideMark/>
          </w:tcPr>
          <w:p w14:paraId="67DEFBA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Côte d'Ivoire</w:t>
            </w:r>
          </w:p>
        </w:tc>
        <w:tc>
          <w:tcPr>
            <w:tcW w:w="1308" w:type="dxa"/>
            <w:tcBorders>
              <w:top w:val="nil"/>
              <w:left w:val="nil"/>
              <w:bottom w:val="nil"/>
              <w:right w:val="nil"/>
            </w:tcBorders>
            <w:shd w:val="clear" w:color="auto" w:fill="D9D9D9" w:themeFill="background1" w:themeFillShade="D9"/>
            <w:noWrap/>
            <w:vAlign w:val="bottom"/>
            <w:hideMark/>
          </w:tcPr>
          <w:p w14:paraId="7068A016"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Africa</w:t>
            </w:r>
          </w:p>
        </w:tc>
        <w:tc>
          <w:tcPr>
            <w:tcW w:w="594" w:type="dxa"/>
            <w:tcBorders>
              <w:top w:val="nil"/>
              <w:left w:val="nil"/>
              <w:bottom w:val="nil"/>
              <w:right w:val="nil"/>
            </w:tcBorders>
            <w:shd w:val="clear" w:color="000000" w:fill="F2F2F2"/>
            <w:noWrap/>
            <w:vAlign w:val="bottom"/>
            <w:hideMark/>
          </w:tcPr>
          <w:p w14:paraId="78D2603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39C1A09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543B1B9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A9D91E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09F2E0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459E2DE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0541A8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158BD4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306E1D8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0B6E771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7DC75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F961F7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4D41635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608C84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9C6ED4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F8A33A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63ED877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c>
          <w:tcPr>
            <w:tcW w:w="596" w:type="dxa"/>
            <w:tcBorders>
              <w:top w:val="nil"/>
              <w:left w:val="nil"/>
              <w:bottom w:val="nil"/>
              <w:right w:val="nil"/>
            </w:tcBorders>
            <w:shd w:val="clear" w:color="000000" w:fill="D9D9D9"/>
            <w:noWrap/>
            <w:vAlign w:val="bottom"/>
            <w:hideMark/>
          </w:tcPr>
          <w:p w14:paraId="2A7266E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495" w:type="dxa"/>
            <w:tcBorders>
              <w:top w:val="nil"/>
              <w:left w:val="nil"/>
              <w:bottom w:val="nil"/>
              <w:right w:val="nil"/>
            </w:tcBorders>
            <w:shd w:val="clear" w:color="000000" w:fill="F2F2F2"/>
            <w:noWrap/>
            <w:vAlign w:val="bottom"/>
            <w:hideMark/>
          </w:tcPr>
          <w:p w14:paraId="01E265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r>
      <w:tr w:rsidR="00306F5D" w:rsidRPr="00306F5D" w14:paraId="5C5A2E57"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33BB2CE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GHA</w:t>
            </w:r>
          </w:p>
        </w:tc>
        <w:tc>
          <w:tcPr>
            <w:tcW w:w="1477" w:type="dxa"/>
            <w:tcBorders>
              <w:top w:val="nil"/>
              <w:left w:val="nil"/>
              <w:bottom w:val="nil"/>
              <w:right w:val="nil"/>
            </w:tcBorders>
            <w:shd w:val="clear" w:color="auto" w:fill="D9D9D9" w:themeFill="background1" w:themeFillShade="D9"/>
            <w:noWrap/>
            <w:vAlign w:val="bottom"/>
            <w:hideMark/>
          </w:tcPr>
          <w:p w14:paraId="2EB5B8D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Ghana</w:t>
            </w:r>
          </w:p>
        </w:tc>
        <w:tc>
          <w:tcPr>
            <w:tcW w:w="1308" w:type="dxa"/>
            <w:tcBorders>
              <w:top w:val="nil"/>
              <w:left w:val="nil"/>
              <w:bottom w:val="nil"/>
              <w:right w:val="nil"/>
            </w:tcBorders>
            <w:shd w:val="clear" w:color="auto" w:fill="D9D9D9" w:themeFill="background1" w:themeFillShade="D9"/>
            <w:noWrap/>
            <w:vAlign w:val="bottom"/>
            <w:hideMark/>
          </w:tcPr>
          <w:p w14:paraId="0C7FCDD2"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Africa</w:t>
            </w:r>
          </w:p>
        </w:tc>
        <w:tc>
          <w:tcPr>
            <w:tcW w:w="594" w:type="dxa"/>
            <w:tcBorders>
              <w:top w:val="nil"/>
              <w:left w:val="nil"/>
              <w:bottom w:val="nil"/>
              <w:right w:val="nil"/>
            </w:tcBorders>
            <w:shd w:val="clear" w:color="000000" w:fill="F2F2F2"/>
            <w:noWrap/>
            <w:vAlign w:val="bottom"/>
            <w:hideMark/>
          </w:tcPr>
          <w:p w14:paraId="1E07A4F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2651647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B88DC7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6C7D84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263F34D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61DA375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B895F9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302508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17B2157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25EF3C8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65F27C0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228E23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42059BE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6C3A03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8B6226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4E52619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977DDF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2.5</w:t>
            </w:r>
          </w:p>
        </w:tc>
        <w:tc>
          <w:tcPr>
            <w:tcW w:w="596" w:type="dxa"/>
            <w:tcBorders>
              <w:top w:val="nil"/>
              <w:left w:val="nil"/>
              <w:bottom w:val="nil"/>
              <w:right w:val="nil"/>
            </w:tcBorders>
            <w:shd w:val="clear" w:color="000000" w:fill="D9D9D9"/>
            <w:noWrap/>
            <w:vAlign w:val="bottom"/>
            <w:hideMark/>
          </w:tcPr>
          <w:p w14:paraId="168A1D7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495" w:type="dxa"/>
            <w:tcBorders>
              <w:top w:val="nil"/>
              <w:left w:val="nil"/>
              <w:bottom w:val="nil"/>
              <w:right w:val="nil"/>
            </w:tcBorders>
            <w:shd w:val="clear" w:color="000000" w:fill="F2F2F2"/>
            <w:noWrap/>
            <w:vAlign w:val="bottom"/>
            <w:hideMark/>
          </w:tcPr>
          <w:p w14:paraId="4B998A4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r>
      <w:tr w:rsidR="00306F5D" w:rsidRPr="00306F5D" w14:paraId="349F9587"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AB09F1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lastRenderedPageBreak/>
              <w:t>GIN</w:t>
            </w:r>
          </w:p>
        </w:tc>
        <w:tc>
          <w:tcPr>
            <w:tcW w:w="1477" w:type="dxa"/>
            <w:tcBorders>
              <w:top w:val="nil"/>
              <w:left w:val="nil"/>
              <w:bottom w:val="nil"/>
              <w:right w:val="nil"/>
            </w:tcBorders>
            <w:shd w:val="clear" w:color="auto" w:fill="D9D9D9" w:themeFill="background1" w:themeFillShade="D9"/>
            <w:noWrap/>
            <w:vAlign w:val="bottom"/>
            <w:hideMark/>
          </w:tcPr>
          <w:p w14:paraId="34D3126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Guinea</w:t>
            </w:r>
          </w:p>
        </w:tc>
        <w:tc>
          <w:tcPr>
            <w:tcW w:w="1308" w:type="dxa"/>
            <w:tcBorders>
              <w:top w:val="nil"/>
              <w:left w:val="nil"/>
              <w:bottom w:val="nil"/>
              <w:right w:val="nil"/>
            </w:tcBorders>
            <w:shd w:val="clear" w:color="auto" w:fill="D9D9D9" w:themeFill="background1" w:themeFillShade="D9"/>
            <w:noWrap/>
            <w:vAlign w:val="bottom"/>
            <w:hideMark/>
          </w:tcPr>
          <w:p w14:paraId="2075372F"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Africa</w:t>
            </w:r>
          </w:p>
        </w:tc>
        <w:tc>
          <w:tcPr>
            <w:tcW w:w="594" w:type="dxa"/>
            <w:tcBorders>
              <w:top w:val="nil"/>
              <w:left w:val="nil"/>
              <w:bottom w:val="nil"/>
              <w:right w:val="nil"/>
            </w:tcBorders>
            <w:shd w:val="clear" w:color="000000" w:fill="F2F2F2"/>
            <w:noWrap/>
            <w:vAlign w:val="bottom"/>
            <w:hideMark/>
          </w:tcPr>
          <w:p w14:paraId="4BD2CA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09D8B7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6FB558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530CF0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32617AD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60B331D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58C293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7D155B6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37612C8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25F61F4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6E1A66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05EC135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4CAE470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54E76BE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D24262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ED8BC2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5BB7D68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c>
          <w:tcPr>
            <w:tcW w:w="596" w:type="dxa"/>
            <w:tcBorders>
              <w:top w:val="nil"/>
              <w:left w:val="nil"/>
              <w:bottom w:val="nil"/>
              <w:right w:val="nil"/>
            </w:tcBorders>
            <w:shd w:val="clear" w:color="000000" w:fill="D9D9D9"/>
            <w:noWrap/>
            <w:vAlign w:val="bottom"/>
            <w:hideMark/>
          </w:tcPr>
          <w:p w14:paraId="36AEAEB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495" w:type="dxa"/>
            <w:tcBorders>
              <w:top w:val="nil"/>
              <w:left w:val="nil"/>
              <w:bottom w:val="nil"/>
              <w:right w:val="nil"/>
            </w:tcBorders>
            <w:shd w:val="clear" w:color="000000" w:fill="F2F2F2"/>
            <w:noWrap/>
            <w:vAlign w:val="bottom"/>
            <w:hideMark/>
          </w:tcPr>
          <w:p w14:paraId="6671BE5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r>
      <w:tr w:rsidR="00306F5D" w:rsidRPr="00306F5D" w14:paraId="28DC6A70"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9381CE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NGA</w:t>
            </w:r>
          </w:p>
        </w:tc>
        <w:tc>
          <w:tcPr>
            <w:tcW w:w="1477" w:type="dxa"/>
            <w:tcBorders>
              <w:top w:val="nil"/>
              <w:left w:val="nil"/>
              <w:bottom w:val="nil"/>
              <w:right w:val="nil"/>
            </w:tcBorders>
            <w:shd w:val="clear" w:color="auto" w:fill="D9D9D9" w:themeFill="background1" w:themeFillShade="D9"/>
            <w:noWrap/>
            <w:vAlign w:val="bottom"/>
            <w:hideMark/>
          </w:tcPr>
          <w:p w14:paraId="28BABBD7"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Nigeria</w:t>
            </w:r>
          </w:p>
        </w:tc>
        <w:tc>
          <w:tcPr>
            <w:tcW w:w="1308" w:type="dxa"/>
            <w:tcBorders>
              <w:top w:val="nil"/>
              <w:left w:val="nil"/>
              <w:bottom w:val="nil"/>
              <w:right w:val="nil"/>
            </w:tcBorders>
            <w:shd w:val="clear" w:color="auto" w:fill="D9D9D9" w:themeFill="background1" w:themeFillShade="D9"/>
            <w:noWrap/>
            <w:vAlign w:val="bottom"/>
            <w:hideMark/>
          </w:tcPr>
          <w:p w14:paraId="1EC4F7BB"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Africa</w:t>
            </w:r>
          </w:p>
        </w:tc>
        <w:tc>
          <w:tcPr>
            <w:tcW w:w="594" w:type="dxa"/>
            <w:tcBorders>
              <w:top w:val="nil"/>
              <w:left w:val="nil"/>
              <w:bottom w:val="nil"/>
              <w:right w:val="nil"/>
            </w:tcBorders>
            <w:shd w:val="clear" w:color="000000" w:fill="F2F2F2"/>
            <w:noWrap/>
            <w:vAlign w:val="bottom"/>
            <w:hideMark/>
          </w:tcPr>
          <w:p w14:paraId="0560857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2EE145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28EC76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1A83F7E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53C9678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70966CE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5DBD9B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6E3C238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142D1C3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21A10A3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3A124A8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AC1253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0EBE37A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3268E43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D0906A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5E51E0C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628381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2.2</w:t>
            </w:r>
          </w:p>
        </w:tc>
        <w:tc>
          <w:tcPr>
            <w:tcW w:w="596" w:type="dxa"/>
            <w:tcBorders>
              <w:top w:val="nil"/>
              <w:left w:val="nil"/>
              <w:bottom w:val="nil"/>
              <w:right w:val="nil"/>
            </w:tcBorders>
            <w:shd w:val="clear" w:color="000000" w:fill="D9D9D9"/>
            <w:noWrap/>
            <w:vAlign w:val="bottom"/>
            <w:hideMark/>
          </w:tcPr>
          <w:p w14:paraId="4FFC740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nil"/>
              <w:left w:val="nil"/>
              <w:bottom w:val="nil"/>
              <w:right w:val="nil"/>
            </w:tcBorders>
            <w:shd w:val="clear" w:color="000000" w:fill="F2F2F2"/>
            <w:noWrap/>
            <w:vAlign w:val="bottom"/>
            <w:hideMark/>
          </w:tcPr>
          <w:p w14:paraId="22FB96F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r>
      <w:tr w:rsidR="00306F5D" w:rsidRPr="00306F5D" w14:paraId="35B0C6AB"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AEC0E3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SEN</w:t>
            </w:r>
          </w:p>
        </w:tc>
        <w:tc>
          <w:tcPr>
            <w:tcW w:w="1477" w:type="dxa"/>
            <w:tcBorders>
              <w:top w:val="nil"/>
              <w:left w:val="nil"/>
              <w:bottom w:val="nil"/>
              <w:right w:val="nil"/>
            </w:tcBorders>
            <w:shd w:val="clear" w:color="auto" w:fill="D9D9D9" w:themeFill="background1" w:themeFillShade="D9"/>
            <w:noWrap/>
            <w:vAlign w:val="bottom"/>
            <w:hideMark/>
          </w:tcPr>
          <w:p w14:paraId="3CE9874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Senegal</w:t>
            </w:r>
          </w:p>
        </w:tc>
        <w:tc>
          <w:tcPr>
            <w:tcW w:w="1308" w:type="dxa"/>
            <w:tcBorders>
              <w:top w:val="nil"/>
              <w:left w:val="nil"/>
              <w:bottom w:val="nil"/>
              <w:right w:val="nil"/>
            </w:tcBorders>
            <w:shd w:val="clear" w:color="auto" w:fill="D9D9D9" w:themeFill="background1" w:themeFillShade="D9"/>
            <w:noWrap/>
            <w:vAlign w:val="bottom"/>
            <w:hideMark/>
          </w:tcPr>
          <w:p w14:paraId="65F6A273"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Africa</w:t>
            </w:r>
          </w:p>
        </w:tc>
        <w:tc>
          <w:tcPr>
            <w:tcW w:w="594" w:type="dxa"/>
            <w:tcBorders>
              <w:top w:val="nil"/>
              <w:left w:val="nil"/>
              <w:bottom w:val="nil"/>
              <w:right w:val="nil"/>
            </w:tcBorders>
            <w:shd w:val="clear" w:color="000000" w:fill="F2F2F2"/>
            <w:noWrap/>
            <w:vAlign w:val="bottom"/>
            <w:hideMark/>
          </w:tcPr>
          <w:p w14:paraId="41C30DD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2F5BDF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588507D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028B9B6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40D58A6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5B2B25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14D63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30FF47A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4C6D83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206436A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3F91F06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5CC04E5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588994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311C785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C41A5B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D7ECD2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3490EDB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6" w:type="dxa"/>
            <w:tcBorders>
              <w:top w:val="nil"/>
              <w:left w:val="nil"/>
              <w:bottom w:val="nil"/>
              <w:right w:val="nil"/>
            </w:tcBorders>
            <w:shd w:val="clear" w:color="000000" w:fill="D9D9D9"/>
            <w:noWrap/>
            <w:vAlign w:val="bottom"/>
            <w:hideMark/>
          </w:tcPr>
          <w:p w14:paraId="36FC674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495" w:type="dxa"/>
            <w:tcBorders>
              <w:top w:val="nil"/>
              <w:left w:val="nil"/>
              <w:bottom w:val="nil"/>
              <w:right w:val="nil"/>
            </w:tcBorders>
            <w:shd w:val="clear" w:color="000000" w:fill="F2F2F2"/>
            <w:noWrap/>
            <w:vAlign w:val="bottom"/>
            <w:hideMark/>
          </w:tcPr>
          <w:p w14:paraId="0C1250C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r>
      <w:tr w:rsidR="00306F5D" w:rsidRPr="00306F5D" w14:paraId="42F285A9"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59C25DB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TGO</w:t>
            </w:r>
          </w:p>
        </w:tc>
        <w:tc>
          <w:tcPr>
            <w:tcW w:w="1477" w:type="dxa"/>
            <w:tcBorders>
              <w:top w:val="nil"/>
              <w:left w:val="nil"/>
              <w:bottom w:val="nil"/>
              <w:right w:val="nil"/>
            </w:tcBorders>
            <w:shd w:val="clear" w:color="auto" w:fill="D9D9D9" w:themeFill="background1" w:themeFillShade="D9"/>
            <w:noWrap/>
            <w:vAlign w:val="bottom"/>
            <w:hideMark/>
          </w:tcPr>
          <w:p w14:paraId="10914BC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Togo</w:t>
            </w:r>
          </w:p>
        </w:tc>
        <w:tc>
          <w:tcPr>
            <w:tcW w:w="1308" w:type="dxa"/>
            <w:tcBorders>
              <w:top w:val="nil"/>
              <w:left w:val="nil"/>
              <w:bottom w:val="nil"/>
              <w:right w:val="nil"/>
            </w:tcBorders>
            <w:shd w:val="clear" w:color="auto" w:fill="D9D9D9" w:themeFill="background1" w:themeFillShade="D9"/>
            <w:noWrap/>
            <w:vAlign w:val="bottom"/>
            <w:hideMark/>
          </w:tcPr>
          <w:p w14:paraId="31142001"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Western Africa</w:t>
            </w:r>
          </w:p>
        </w:tc>
        <w:tc>
          <w:tcPr>
            <w:tcW w:w="594" w:type="dxa"/>
            <w:tcBorders>
              <w:top w:val="nil"/>
              <w:left w:val="nil"/>
              <w:bottom w:val="nil"/>
              <w:right w:val="nil"/>
            </w:tcBorders>
            <w:shd w:val="clear" w:color="000000" w:fill="F2F2F2"/>
            <w:noWrap/>
            <w:vAlign w:val="bottom"/>
            <w:hideMark/>
          </w:tcPr>
          <w:p w14:paraId="6C1C87A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1D8BE6F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1B290DB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10FFF9D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4720E7E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546D5C3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278696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607054B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506E77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38F4E2F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5B4960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1BECFC3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6D938F4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50EBBE4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EF07C6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AE1022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551CC63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2.5</w:t>
            </w:r>
          </w:p>
        </w:tc>
        <w:tc>
          <w:tcPr>
            <w:tcW w:w="596" w:type="dxa"/>
            <w:tcBorders>
              <w:top w:val="nil"/>
              <w:left w:val="nil"/>
              <w:bottom w:val="nil"/>
              <w:right w:val="nil"/>
            </w:tcBorders>
            <w:shd w:val="clear" w:color="000000" w:fill="D9D9D9"/>
            <w:noWrap/>
            <w:vAlign w:val="bottom"/>
            <w:hideMark/>
          </w:tcPr>
          <w:p w14:paraId="4BED3E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495" w:type="dxa"/>
            <w:tcBorders>
              <w:top w:val="nil"/>
              <w:left w:val="nil"/>
              <w:bottom w:val="nil"/>
              <w:right w:val="nil"/>
            </w:tcBorders>
            <w:shd w:val="clear" w:color="000000" w:fill="F2F2F2"/>
            <w:noWrap/>
            <w:vAlign w:val="bottom"/>
            <w:hideMark/>
          </w:tcPr>
          <w:p w14:paraId="678DB8A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r>
      <w:tr w:rsidR="00306F5D" w:rsidRPr="00306F5D" w14:paraId="2917A19F"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CFE82C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ETH</w:t>
            </w:r>
          </w:p>
        </w:tc>
        <w:tc>
          <w:tcPr>
            <w:tcW w:w="1477" w:type="dxa"/>
            <w:tcBorders>
              <w:top w:val="nil"/>
              <w:left w:val="nil"/>
              <w:bottom w:val="nil"/>
              <w:right w:val="nil"/>
            </w:tcBorders>
            <w:shd w:val="clear" w:color="auto" w:fill="D9D9D9" w:themeFill="background1" w:themeFillShade="D9"/>
            <w:noWrap/>
            <w:vAlign w:val="bottom"/>
            <w:hideMark/>
          </w:tcPr>
          <w:p w14:paraId="7AECED9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Ethiopia</w:t>
            </w:r>
          </w:p>
        </w:tc>
        <w:tc>
          <w:tcPr>
            <w:tcW w:w="1308" w:type="dxa"/>
            <w:tcBorders>
              <w:top w:val="nil"/>
              <w:left w:val="nil"/>
              <w:bottom w:val="nil"/>
              <w:right w:val="nil"/>
            </w:tcBorders>
            <w:shd w:val="clear" w:color="auto" w:fill="D9D9D9" w:themeFill="background1" w:themeFillShade="D9"/>
            <w:noWrap/>
            <w:vAlign w:val="bottom"/>
            <w:hideMark/>
          </w:tcPr>
          <w:p w14:paraId="6E633163"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Eastern Africa</w:t>
            </w:r>
          </w:p>
        </w:tc>
        <w:tc>
          <w:tcPr>
            <w:tcW w:w="594" w:type="dxa"/>
            <w:tcBorders>
              <w:top w:val="nil"/>
              <w:left w:val="nil"/>
              <w:bottom w:val="nil"/>
              <w:right w:val="nil"/>
            </w:tcBorders>
            <w:shd w:val="clear" w:color="000000" w:fill="F2F2F2"/>
            <w:noWrap/>
            <w:vAlign w:val="bottom"/>
            <w:hideMark/>
          </w:tcPr>
          <w:p w14:paraId="6E6A8F1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09001D0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4666DE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89256D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311B150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7701B47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774D85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789BD0A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0CA1659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26C3760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33939D0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0FC992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616" w:type="dxa"/>
            <w:tcBorders>
              <w:top w:val="nil"/>
              <w:left w:val="nil"/>
              <w:bottom w:val="nil"/>
              <w:right w:val="nil"/>
            </w:tcBorders>
            <w:shd w:val="clear" w:color="000000" w:fill="D9D9D9"/>
            <w:noWrap/>
            <w:vAlign w:val="bottom"/>
            <w:hideMark/>
          </w:tcPr>
          <w:p w14:paraId="358CEF3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7AC2270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56163F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445860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A32847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2.3</w:t>
            </w:r>
          </w:p>
        </w:tc>
        <w:tc>
          <w:tcPr>
            <w:tcW w:w="596" w:type="dxa"/>
            <w:tcBorders>
              <w:top w:val="nil"/>
              <w:left w:val="nil"/>
              <w:bottom w:val="nil"/>
              <w:right w:val="nil"/>
            </w:tcBorders>
            <w:shd w:val="clear" w:color="000000" w:fill="D9D9D9"/>
            <w:noWrap/>
            <w:vAlign w:val="bottom"/>
            <w:hideMark/>
          </w:tcPr>
          <w:p w14:paraId="7F10BA9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495" w:type="dxa"/>
            <w:tcBorders>
              <w:top w:val="nil"/>
              <w:left w:val="nil"/>
              <w:bottom w:val="nil"/>
              <w:right w:val="nil"/>
            </w:tcBorders>
            <w:shd w:val="clear" w:color="000000" w:fill="F2F2F2"/>
            <w:noWrap/>
            <w:vAlign w:val="bottom"/>
            <w:hideMark/>
          </w:tcPr>
          <w:p w14:paraId="3FD352A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r>
      <w:tr w:rsidR="00306F5D" w:rsidRPr="00306F5D" w14:paraId="2721A8B6"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0AA0246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KEN</w:t>
            </w:r>
          </w:p>
        </w:tc>
        <w:tc>
          <w:tcPr>
            <w:tcW w:w="1477" w:type="dxa"/>
            <w:tcBorders>
              <w:top w:val="nil"/>
              <w:left w:val="nil"/>
              <w:bottom w:val="nil"/>
              <w:right w:val="nil"/>
            </w:tcBorders>
            <w:shd w:val="clear" w:color="auto" w:fill="D9D9D9" w:themeFill="background1" w:themeFillShade="D9"/>
            <w:noWrap/>
            <w:vAlign w:val="bottom"/>
            <w:hideMark/>
          </w:tcPr>
          <w:p w14:paraId="3CA0925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Kenya</w:t>
            </w:r>
          </w:p>
        </w:tc>
        <w:tc>
          <w:tcPr>
            <w:tcW w:w="1308" w:type="dxa"/>
            <w:tcBorders>
              <w:top w:val="nil"/>
              <w:left w:val="nil"/>
              <w:bottom w:val="nil"/>
              <w:right w:val="nil"/>
            </w:tcBorders>
            <w:shd w:val="clear" w:color="auto" w:fill="D9D9D9" w:themeFill="background1" w:themeFillShade="D9"/>
            <w:noWrap/>
            <w:vAlign w:val="bottom"/>
            <w:hideMark/>
          </w:tcPr>
          <w:p w14:paraId="771B5CDC"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Eastern Africa</w:t>
            </w:r>
          </w:p>
        </w:tc>
        <w:tc>
          <w:tcPr>
            <w:tcW w:w="594" w:type="dxa"/>
            <w:tcBorders>
              <w:top w:val="nil"/>
              <w:left w:val="nil"/>
              <w:bottom w:val="nil"/>
              <w:right w:val="nil"/>
            </w:tcBorders>
            <w:shd w:val="clear" w:color="000000" w:fill="F2F2F2"/>
            <w:noWrap/>
            <w:vAlign w:val="bottom"/>
            <w:hideMark/>
          </w:tcPr>
          <w:p w14:paraId="6FC65FC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285538E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873AC4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38A54E3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38B6DB8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A1025A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88060B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300A198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0E83195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5670777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33A343E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196FE50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616" w:type="dxa"/>
            <w:tcBorders>
              <w:top w:val="nil"/>
              <w:left w:val="nil"/>
              <w:bottom w:val="nil"/>
              <w:right w:val="nil"/>
            </w:tcBorders>
            <w:shd w:val="clear" w:color="000000" w:fill="D9D9D9"/>
            <w:noWrap/>
            <w:vAlign w:val="bottom"/>
            <w:hideMark/>
          </w:tcPr>
          <w:p w14:paraId="74B32D8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18E5FC3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A09AD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042F0E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5321813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6" w:type="dxa"/>
            <w:tcBorders>
              <w:top w:val="nil"/>
              <w:left w:val="nil"/>
              <w:bottom w:val="nil"/>
              <w:right w:val="nil"/>
            </w:tcBorders>
            <w:shd w:val="clear" w:color="000000" w:fill="D9D9D9"/>
            <w:noWrap/>
            <w:vAlign w:val="bottom"/>
            <w:hideMark/>
          </w:tcPr>
          <w:p w14:paraId="476657E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495" w:type="dxa"/>
            <w:tcBorders>
              <w:top w:val="nil"/>
              <w:left w:val="nil"/>
              <w:bottom w:val="nil"/>
              <w:right w:val="nil"/>
            </w:tcBorders>
            <w:shd w:val="clear" w:color="000000" w:fill="F2F2F2"/>
            <w:noWrap/>
            <w:vAlign w:val="bottom"/>
            <w:hideMark/>
          </w:tcPr>
          <w:p w14:paraId="3C47BCC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r>
      <w:tr w:rsidR="00306F5D" w:rsidRPr="00306F5D" w14:paraId="6726631D"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51520B1C"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MDG</w:t>
            </w:r>
          </w:p>
        </w:tc>
        <w:tc>
          <w:tcPr>
            <w:tcW w:w="1477" w:type="dxa"/>
            <w:tcBorders>
              <w:top w:val="nil"/>
              <w:left w:val="nil"/>
              <w:bottom w:val="nil"/>
              <w:right w:val="nil"/>
            </w:tcBorders>
            <w:shd w:val="clear" w:color="auto" w:fill="D9D9D9" w:themeFill="background1" w:themeFillShade="D9"/>
            <w:noWrap/>
            <w:vAlign w:val="bottom"/>
            <w:hideMark/>
          </w:tcPr>
          <w:p w14:paraId="53810577"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Madagascar</w:t>
            </w:r>
          </w:p>
        </w:tc>
        <w:tc>
          <w:tcPr>
            <w:tcW w:w="1308" w:type="dxa"/>
            <w:tcBorders>
              <w:top w:val="nil"/>
              <w:left w:val="nil"/>
              <w:bottom w:val="nil"/>
              <w:right w:val="nil"/>
            </w:tcBorders>
            <w:shd w:val="clear" w:color="auto" w:fill="D9D9D9" w:themeFill="background1" w:themeFillShade="D9"/>
            <w:noWrap/>
            <w:vAlign w:val="bottom"/>
            <w:hideMark/>
          </w:tcPr>
          <w:p w14:paraId="17BB8D56"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Eastern Africa</w:t>
            </w:r>
          </w:p>
        </w:tc>
        <w:tc>
          <w:tcPr>
            <w:tcW w:w="594" w:type="dxa"/>
            <w:tcBorders>
              <w:top w:val="nil"/>
              <w:left w:val="nil"/>
              <w:bottom w:val="nil"/>
              <w:right w:val="nil"/>
            </w:tcBorders>
            <w:shd w:val="clear" w:color="000000" w:fill="F2F2F2"/>
            <w:noWrap/>
            <w:vAlign w:val="bottom"/>
            <w:hideMark/>
          </w:tcPr>
          <w:p w14:paraId="1129CD5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0BB69BA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77E3FD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16403B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34EF00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FE4055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9ADCC4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1B8261F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73F4ED9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164C724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DCA054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1A38968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616" w:type="dxa"/>
            <w:tcBorders>
              <w:top w:val="nil"/>
              <w:left w:val="nil"/>
              <w:bottom w:val="nil"/>
              <w:right w:val="nil"/>
            </w:tcBorders>
            <w:shd w:val="clear" w:color="000000" w:fill="D9D9D9"/>
            <w:noWrap/>
            <w:vAlign w:val="bottom"/>
            <w:hideMark/>
          </w:tcPr>
          <w:p w14:paraId="07F3CC4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2EF096B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ED2929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4F4DA55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0CC93D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c>
          <w:tcPr>
            <w:tcW w:w="596" w:type="dxa"/>
            <w:tcBorders>
              <w:top w:val="nil"/>
              <w:left w:val="nil"/>
              <w:bottom w:val="nil"/>
              <w:right w:val="nil"/>
            </w:tcBorders>
            <w:shd w:val="clear" w:color="000000" w:fill="D9D9D9"/>
            <w:noWrap/>
            <w:vAlign w:val="bottom"/>
            <w:hideMark/>
          </w:tcPr>
          <w:p w14:paraId="73511A9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495" w:type="dxa"/>
            <w:tcBorders>
              <w:top w:val="nil"/>
              <w:left w:val="nil"/>
              <w:bottom w:val="nil"/>
              <w:right w:val="nil"/>
            </w:tcBorders>
            <w:shd w:val="clear" w:color="000000" w:fill="F2F2F2"/>
            <w:noWrap/>
            <w:vAlign w:val="bottom"/>
            <w:hideMark/>
          </w:tcPr>
          <w:p w14:paraId="0974F6A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r>
      <w:tr w:rsidR="00306F5D" w:rsidRPr="00306F5D" w14:paraId="4DF6359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46B54D91"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MWI</w:t>
            </w:r>
          </w:p>
        </w:tc>
        <w:tc>
          <w:tcPr>
            <w:tcW w:w="1477" w:type="dxa"/>
            <w:tcBorders>
              <w:top w:val="nil"/>
              <w:left w:val="nil"/>
              <w:bottom w:val="nil"/>
              <w:right w:val="nil"/>
            </w:tcBorders>
            <w:shd w:val="clear" w:color="auto" w:fill="D9D9D9" w:themeFill="background1" w:themeFillShade="D9"/>
            <w:noWrap/>
            <w:vAlign w:val="bottom"/>
            <w:hideMark/>
          </w:tcPr>
          <w:p w14:paraId="346D7B15"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Malawi</w:t>
            </w:r>
          </w:p>
        </w:tc>
        <w:tc>
          <w:tcPr>
            <w:tcW w:w="1308" w:type="dxa"/>
            <w:tcBorders>
              <w:top w:val="nil"/>
              <w:left w:val="nil"/>
              <w:bottom w:val="nil"/>
              <w:right w:val="nil"/>
            </w:tcBorders>
            <w:shd w:val="clear" w:color="auto" w:fill="D9D9D9" w:themeFill="background1" w:themeFillShade="D9"/>
            <w:noWrap/>
            <w:vAlign w:val="bottom"/>
            <w:hideMark/>
          </w:tcPr>
          <w:p w14:paraId="6717B270"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Eastern Africa</w:t>
            </w:r>
          </w:p>
        </w:tc>
        <w:tc>
          <w:tcPr>
            <w:tcW w:w="594" w:type="dxa"/>
            <w:tcBorders>
              <w:top w:val="nil"/>
              <w:left w:val="nil"/>
              <w:bottom w:val="nil"/>
              <w:right w:val="nil"/>
            </w:tcBorders>
            <w:shd w:val="clear" w:color="000000" w:fill="F2F2F2"/>
            <w:noWrap/>
            <w:vAlign w:val="bottom"/>
            <w:hideMark/>
          </w:tcPr>
          <w:p w14:paraId="13255C6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1B570D4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5A5FEB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C289D3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3D24742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D9D9D9"/>
            <w:noWrap/>
            <w:vAlign w:val="bottom"/>
            <w:hideMark/>
          </w:tcPr>
          <w:p w14:paraId="3A885A3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BFA320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685EBB1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153B6AA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237806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EA7CB6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16338F4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530C749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1FE221A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132824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49BC998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635A078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2.3</w:t>
            </w:r>
          </w:p>
        </w:tc>
        <w:tc>
          <w:tcPr>
            <w:tcW w:w="596" w:type="dxa"/>
            <w:tcBorders>
              <w:top w:val="nil"/>
              <w:left w:val="nil"/>
              <w:bottom w:val="nil"/>
              <w:right w:val="nil"/>
            </w:tcBorders>
            <w:shd w:val="clear" w:color="000000" w:fill="D9D9D9"/>
            <w:noWrap/>
            <w:vAlign w:val="bottom"/>
            <w:hideMark/>
          </w:tcPr>
          <w:p w14:paraId="0FDF0D0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495" w:type="dxa"/>
            <w:tcBorders>
              <w:top w:val="nil"/>
              <w:left w:val="nil"/>
              <w:bottom w:val="nil"/>
              <w:right w:val="nil"/>
            </w:tcBorders>
            <w:shd w:val="clear" w:color="000000" w:fill="F2F2F2"/>
            <w:noWrap/>
            <w:vAlign w:val="bottom"/>
            <w:hideMark/>
          </w:tcPr>
          <w:p w14:paraId="7B03704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r>
      <w:tr w:rsidR="00306F5D" w:rsidRPr="00306F5D" w14:paraId="56BB690A"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7973DDAA"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MUS</w:t>
            </w:r>
          </w:p>
        </w:tc>
        <w:tc>
          <w:tcPr>
            <w:tcW w:w="1477" w:type="dxa"/>
            <w:tcBorders>
              <w:top w:val="nil"/>
              <w:left w:val="nil"/>
              <w:bottom w:val="nil"/>
              <w:right w:val="nil"/>
            </w:tcBorders>
            <w:shd w:val="clear" w:color="auto" w:fill="D9D9D9" w:themeFill="background1" w:themeFillShade="D9"/>
            <w:noWrap/>
            <w:vAlign w:val="bottom"/>
            <w:hideMark/>
          </w:tcPr>
          <w:p w14:paraId="6D0BB8D8"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Mauritius</w:t>
            </w:r>
          </w:p>
        </w:tc>
        <w:tc>
          <w:tcPr>
            <w:tcW w:w="1308" w:type="dxa"/>
            <w:tcBorders>
              <w:top w:val="nil"/>
              <w:left w:val="nil"/>
              <w:bottom w:val="nil"/>
              <w:right w:val="nil"/>
            </w:tcBorders>
            <w:shd w:val="clear" w:color="auto" w:fill="D9D9D9" w:themeFill="background1" w:themeFillShade="D9"/>
            <w:noWrap/>
            <w:vAlign w:val="bottom"/>
            <w:hideMark/>
          </w:tcPr>
          <w:p w14:paraId="75BF1A7F"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Eastern Africa</w:t>
            </w:r>
          </w:p>
        </w:tc>
        <w:tc>
          <w:tcPr>
            <w:tcW w:w="594" w:type="dxa"/>
            <w:tcBorders>
              <w:top w:val="nil"/>
              <w:left w:val="nil"/>
              <w:bottom w:val="nil"/>
              <w:right w:val="nil"/>
            </w:tcBorders>
            <w:shd w:val="clear" w:color="000000" w:fill="F2F2F2"/>
            <w:noWrap/>
            <w:vAlign w:val="bottom"/>
            <w:hideMark/>
          </w:tcPr>
          <w:p w14:paraId="3F6866D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c>
          <w:tcPr>
            <w:tcW w:w="594" w:type="dxa"/>
            <w:tcBorders>
              <w:top w:val="nil"/>
              <w:left w:val="nil"/>
              <w:bottom w:val="nil"/>
              <w:right w:val="nil"/>
            </w:tcBorders>
            <w:shd w:val="clear" w:color="000000" w:fill="F2F2F2"/>
            <w:noWrap/>
            <w:vAlign w:val="bottom"/>
            <w:hideMark/>
          </w:tcPr>
          <w:p w14:paraId="233ECEF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3B972A7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31458C7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542AC4F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7D3FF3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6AF3C57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24EC2FB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13EE66B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3BE6D33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2141DE4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76F999A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616" w:type="dxa"/>
            <w:tcBorders>
              <w:top w:val="nil"/>
              <w:left w:val="nil"/>
              <w:bottom w:val="nil"/>
              <w:right w:val="nil"/>
            </w:tcBorders>
            <w:shd w:val="clear" w:color="000000" w:fill="D9D9D9"/>
            <w:noWrap/>
            <w:vAlign w:val="bottom"/>
            <w:hideMark/>
          </w:tcPr>
          <w:p w14:paraId="608823D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F2F2F2"/>
            <w:noWrap/>
            <w:vAlign w:val="bottom"/>
            <w:hideMark/>
          </w:tcPr>
          <w:p w14:paraId="61D39AF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DEBCCF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A24040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2BADBD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1.9</w:t>
            </w:r>
          </w:p>
        </w:tc>
        <w:tc>
          <w:tcPr>
            <w:tcW w:w="596" w:type="dxa"/>
            <w:tcBorders>
              <w:top w:val="nil"/>
              <w:left w:val="nil"/>
              <w:bottom w:val="nil"/>
              <w:right w:val="nil"/>
            </w:tcBorders>
            <w:shd w:val="clear" w:color="000000" w:fill="D9D9D9"/>
            <w:noWrap/>
            <w:vAlign w:val="bottom"/>
            <w:hideMark/>
          </w:tcPr>
          <w:p w14:paraId="15902DB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57363C7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r>
      <w:tr w:rsidR="00306F5D" w:rsidRPr="00306F5D" w14:paraId="665010EB"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EB99878"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MOZ</w:t>
            </w:r>
          </w:p>
        </w:tc>
        <w:tc>
          <w:tcPr>
            <w:tcW w:w="1477" w:type="dxa"/>
            <w:tcBorders>
              <w:top w:val="nil"/>
              <w:left w:val="nil"/>
              <w:bottom w:val="nil"/>
              <w:right w:val="nil"/>
            </w:tcBorders>
            <w:shd w:val="clear" w:color="auto" w:fill="D9D9D9" w:themeFill="background1" w:themeFillShade="D9"/>
            <w:noWrap/>
            <w:vAlign w:val="bottom"/>
            <w:hideMark/>
          </w:tcPr>
          <w:p w14:paraId="611B2CC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Mozambique</w:t>
            </w:r>
          </w:p>
        </w:tc>
        <w:tc>
          <w:tcPr>
            <w:tcW w:w="1308" w:type="dxa"/>
            <w:tcBorders>
              <w:top w:val="nil"/>
              <w:left w:val="nil"/>
              <w:bottom w:val="nil"/>
              <w:right w:val="nil"/>
            </w:tcBorders>
            <w:shd w:val="clear" w:color="auto" w:fill="D9D9D9" w:themeFill="background1" w:themeFillShade="D9"/>
            <w:noWrap/>
            <w:vAlign w:val="bottom"/>
            <w:hideMark/>
          </w:tcPr>
          <w:p w14:paraId="6A90B703"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Eastern Africa</w:t>
            </w:r>
          </w:p>
        </w:tc>
        <w:tc>
          <w:tcPr>
            <w:tcW w:w="594" w:type="dxa"/>
            <w:tcBorders>
              <w:top w:val="nil"/>
              <w:left w:val="nil"/>
              <w:bottom w:val="nil"/>
              <w:right w:val="nil"/>
            </w:tcBorders>
            <w:shd w:val="clear" w:color="000000" w:fill="F2F2F2"/>
            <w:noWrap/>
            <w:vAlign w:val="bottom"/>
            <w:hideMark/>
          </w:tcPr>
          <w:p w14:paraId="4CC9D23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591956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D1DE7C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2F50FF2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515A4B5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100A562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798CDF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3C218F5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595" w:type="dxa"/>
            <w:tcBorders>
              <w:top w:val="nil"/>
              <w:left w:val="nil"/>
              <w:bottom w:val="nil"/>
              <w:right w:val="nil"/>
            </w:tcBorders>
            <w:shd w:val="clear" w:color="000000" w:fill="F2F2F2"/>
            <w:noWrap/>
            <w:vAlign w:val="bottom"/>
            <w:hideMark/>
          </w:tcPr>
          <w:p w14:paraId="6E84A89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7244743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472BF17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7BDA7F8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085C159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4FB54C3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93AF98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6683BEC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673AD98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c>
          <w:tcPr>
            <w:tcW w:w="596" w:type="dxa"/>
            <w:tcBorders>
              <w:top w:val="nil"/>
              <w:left w:val="nil"/>
              <w:bottom w:val="nil"/>
              <w:right w:val="nil"/>
            </w:tcBorders>
            <w:shd w:val="clear" w:color="000000" w:fill="D9D9D9"/>
            <w:noWrap/>
            <w:vAlign w:val="bottom"/>
            <w:hideMark/>
          </w:tcPr>
          <w:p w14:paraId="57B88FF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495" w:type="dxa"/>
            <w:tcBorders>
              <w:top w:val="nil"/>
              <w:left w:val="nil"/>
              <w:bottom w:val="nil"/>
              <w:right w:val="nil"/>
            </w:tcBorders>
            <w:shd w:val="clear" w:color="000000" w:fill="F2F2F2"/>
            <w:noWrap/>
            <w:vAlign w:val="bottom"/>
            <w:hideMark/>
          </w:tcPr>
          <w:p w14:paraId="5E79160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r>
      <w:tr w:rsidR="00306F5D" w:rsidRPr="00306F5D" w14:paraId="77EE863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8A5EE8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RWA</w:t>
            </w:r>
          </w:p>
        </w:tc>
        <w:tc>
          <w:tcPr>
            <w:tcW w:w="1477" w:type="dxa"/>
            <w:tcBorders>
              <w:top w:val="nil"/>
              <w:left w:val="nil"/>
              <w:bottom w:val="nil"/>
              <w:right w:val="nil"/>
            </w:tcBorders>
            <w:shd w:val="clear" w:color="auto" w:fill="D9D9D9" w:themeFill="background1" w:themeFillShade="D9"/>
            <w:noWrap/>
            <w:vAlign w:val="bottom"/>
            <w:hideMark/>
          </w:tcPr>
          <w:p w14:paraId="00BD4F46"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Rwanda</w:t>
            </w:r>
          </w:p>
        </w:tc>
        <w:tc>
          <w:tcPr>
            <w:tcW w:w="1308" w:type="dxa"/>
            <w:tcBorders>
              <w:top w:val="nil"/>
              <w:left w:val="nil"/>
              <w:bottom w:val="nil"/>
              <w:right w:val="nil"/>
            </w:tcBorders>
            <w:shd w:val="clear" w:color="auto" w:fill="D9D9D9" w:themeFill="background1" w:themeFillShade="D9"/>
            <w:noWrap/>
            <w:vAlign w:val="bottom"/>
            <w:hideMark/>
          </w:tcPr>
          <w:p w14:paraId="7996DECF"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Eastern Africa</w:t>
            </w:r>
          </w:p>
        </w:tc>
        <w:tc>
          <w:tcPr>
            <w:tcW w:w="594" w:type="dxa"/>
            <w:tcBorders>
              <w:top w:val="nil"/>
              <w:left w:val="nil"/>
              <w:bottom w:val="nil"/>
              <w:right w:val="nil"/>
            </w:tcBorders>
            <w:shd w:val="clear" w:color="000000" w:fill="F2F2F2"/>
            <w:noWrap/>
            <w:vAlign w:val="bottom"/>
            <w:hideMark/>
          </w:tcPr>
          <w:p w14:paraId="2BEE95C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7AF3B10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1DA4D6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5ED9355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4DDF8C3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41201E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11DED28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2C4065C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595" w:type="dxa"/>
            <w:tcBorders>
              <w:top w:val="nil"/>
              <w:left w:val="nil"/>
              <w:bottom w:val="nil"/>
              <w:right w:val="nil"/>
            </w:tcBorders>
            <w:shd w:val="clear" w:color="000000" w:fill="F2F2F2"/>
            <w:noWrap/>
            <w:vAlign w:val="bottom"/>
            <w:hideMark/>
          </w:tcPr>
          <w:p w14:paraId="3D8E6FF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1C6A58A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36D7FD8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1725C50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616" w:type="dxa"/>
            <w:tcBorders>
              <w:top w:val="nil"/>
              <w:left w:val="nil"/>
              <w:bottom w:val="nil"/>
              <w:right w:val="nil"/>
            </w:tcBorders>
            <w:shd w:val="clear" w:color="000000" w:fill="D9D9D9"/>
            <w:noWrap/>
            <w:vAlign w:val="bottom"/>
            <w:hideMark/>
          </w:tcPr>
          <w:p w14:paraId="1F03DAE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F2F2F2"/>
            <w:noWrap/>
            <w:vAlign w:val="bottom"/>
            <w:hideMark/>
          </w:tcPr>
          <w:p w14:paraId="71F2CA4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A47F71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05DFF93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C68791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2.0</w:t>
            </w:r>
          </w:p>
        </w:tc>
        <w:tc>
          <w:tcPr>
            <w:tcW w:w="596" w:type="dxa"/>
            <w:tcBorders>
              <w:top w:val="nil"/>
              <w:left w:val="nil"/>
              <w:bottom w:val="nil"/>
              <w:right w:val="nil"/>
            </w:tcBorders>
            <w:shd w:val="clear" w:color="000000" w:fill="D9D9D9"/>
            <w:noWrap/>
            <w:vAlign w:val="bottom"/>
            <w:hideMark/>
          </w:tcPr>
          <w:p w14:paraId="4EFB27F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495" w:type="dxa"/>
            <w:tcBorders>
              <w:top w:val="nil"/>
              <w:left w:val="nil"/>
              <w:bottom w:val="nil"/>
              <w:right w:val="nil"/>
            </w:tcBorders>
            <w:shd w:val="clear" w:color="000000" w:fill="F2F2F2"/>
            <w:noWrap/>
            <w:vAlign w:val="bottom"/>
            <w:hideMark/>
          </w:tcPr>
          <w:p w14:paraId="14395E9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2.8</w:t>
            </w:r>
          </w:p>
        </w:tc>
      </w:tr>
      <w:tr w:rsidR="00306F5D" w:rsidRPr="00306F5D" w14:paraId="273B206F"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14A0EBFE"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TZA</w:t>
            </w:r>
          </w:p>
        </w:tc>
        <w:tc>
          <w:tcPr>
            <w:tcW w:w="1477" w:type="dxa"/>
            <w:tcBorders>
              <w:top w:val="nil"/>
              <w:left w:val="nil"/>
              <w:bottom w:val="nil"/>
              <w:right w:val="nil"/>
            </w:tcBorders>
            <w:shd w:val="clear" w:color="auto" w:fill="D9D9D9" w:themeFill="background1" w:themeFillShade="D9"/>
            <w:noWrap/>
            <w:vAlign w:val="bottom"/>
            <w:hideMark/>
          </w:tcPr>
          <w:p w14:paraId="7C8A1F4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Tanzania</w:t>
            </w:r>
          </w:p>
        </w:tc>
        <w:tc>
          <w:tcPr>
            <w:tcW w:w="1308" w:type="dxa"/>
            <w:tcBorders>
              <w:top w:val="nil"/>
              <w:left w:val="nil"/>
              <w:bottom w:val="nil"/>
              <w:right w:val="nil"/>
            </w:tcBorders>
            <w:shd w:val="clear" w:color="auto" w:fill="D9D9D9" w:themeFill="background1" w:themeFillShade="D9"/>
            <w:noWrap/>
            <w:vAlign w:val="bottom"/>
            <w:hideMark/>
          </w:tcPr>
          <w:p w14:paraId="59DFB75F"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Eastern Africa</w:t>
            </w:r>
          </w:p>
        </w:tc>
        <w:tc>
          <w:tcPr>
            <w:tcW w:w="594" w:type="dxa"/>
            <w:tcBorders>
              <w:top w:val="nil"/>
              <w:left w:val="nil"/>
              <w:bottom w:val="nil"/>
              <w:right w:val="nil"/>
            </w:tcBorders>
            <w:shd w:val="clear" w:color="000000" w:fill="F2F2F2"/>
            <w:noWrap/>
            <w:vAlign w:val="bottom"/>
            <w:hideMark/>
          </w:tcPr>
          <w:p w14:paraId="768A8EA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2.6</w:t>
            </w:r>
          </w:p>
        </w:tc>
        <w:tc>
          <w:tcPr>
            <w:tcW w:w="594" w:type="dxa"/>
            <w:tcBorders>
              <w:top w:val="nil"/>
              <w:left w:val="nil"/>
              <w:bottom w:val="nil"/>
              <w:right w:val="nil"/>
            </w:tcBorders>
            <w:shd w:val="clear" w:color="000000" w:fill="F2F2F2"/>
            <w:noWrap/>
            <w:vAlign w:val="bottom"/>
            <w:hideMark/>
          </w:tcPr>
          <w:p w14:paraId="3C8F800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82F3A9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6E8DAC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5E1EB9A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BC5D52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F8FE31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5E077E4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60839DD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344A2DB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CC8E1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616DCD0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616" w:type="dxa"/>
            <w:tcBorders>
              <w:top w:val="nil"/>
              <w:left w:val="nil"/>
              <w:bottom w:val="nil"/>
              <w:right w:val="nil"/>
            </w:tcBorders>
            <w:shd w:val="clear" w:color="000000" w:fill="D9D9D9"/>
            <w:noWrap/>
            <w:vAlign w:val="bottom"/>
            <w:hideMark/>
          </w:tcPr>
          <w:p w14:paraId="4C5FF05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17952A0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07A2D4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A26E0D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08D7EB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c>
          <w:tcPr>
            <w:tcW w:w="596" w:type="dxa"/>
            <w:tcBorders>
              <w:top w:val="nil"/>
              <w:left w:val="nil"/>
              <w:bottom w:val="nil"/>
              <w:right w:val="nil"/>
            </w:tcBorders>
            <w:shd w:val="clear" w:color="000000" w:fill="D9D9D9"/>
            <w:noWrap/>
            <w:vAlign w:val="bottom"/>
            <w:hideMark/>
          </w:tcPr>
          <w:p w14:paraId="0F42F2D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166B236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r>
      <w:tr w:rsidR="00306F5D" w:rsidRPr="00306F5D" w14:paraId="2260CFC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2258044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UGA</w:t>
            </w:r>
          </w:p>
        </w:tc>
        <w:tc>
          <w:tcPr>
            <w:tcW w:w="1477" w:type="dxa"/>
            <w:tcBorders>
              <w:top w:val="nil"/>
              <w:left w:val="nil"/>
              <w:bottom w:val="nil"/>
              <w:right w:val="nil"/>
            </w:tcBorders>
            <w:shd w:val="clear" w:color="auto" w:fill="D9D9D9" w:themeFill="background1" w:themeFillShade="D9"/>
            <w:noWrap/>
            <w:vAlign w:val="bottom"/>
            <w:hideMark/>
          </w:tcPr>
          <w:p w14:paraId="25A8523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Uganda</w:t>
            </w:r>
          </w:p>
        </w:tc>
        <w:tc>
          <w:tcPr>
            <w:tcW w:w="1308" w:type="dxa"/>
            <w:tcBorders>
              <w:top w:val="nil"/>
              <w:left w:val="nil"/>
              <w:bottom w:val="nil"/>
              <w:right w:val="nil"/>
            </w:tcBorders>
            <w:shd w:val="clear" w:color="auto" w:fill="D9D9D9" w:themeFill="background1" w:themeFillShade="D9"/>
            <w:noWrap/>
            <w:vAlign w:val="bottom"/>
            <w:hideMark/>
          </w:tcPr>
          <w:p w14:paraId="4565B8BB"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Eastern Africa</w:t>
            </w:r>
          </w:p>
        </w:tc>
        <w:tc>
          <w:tcPr>
            <w:tcW w:w="594" w:type="dxa"/>
            <w:tcBorders>
              <w:top w:val="nil"/>
              <w:left w:val="nil"/>
              <w:bottom w:val="nil"/>
              <w:right w:val="nil"/>
            </w:tcBorders>
            <w:shd w:val="clear" w:color="000000" w:fill="F2F2F2"/>
            <w:noWrap/>
            <w:vAlign w:val="bottom"/>
            <w:hideMark/>
          </w:tcPr>
          <w:p w14:paraId="6A6CA7B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56BD44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4BB80B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5846771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2252F88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6415511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0D40D5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020F6D8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24E8FDF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1963387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0E78CD0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B5F0D3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616" w:type="dxa"/>
            <w:tcBorders>
              <w:top w:val="nil"/>
              <w:left w:val="nil"/>
              <w:bottom w:val="nil"/>
              <w:right w:val="nil"/>
            </w:tcBorders>
            <w:shd w:val="clear" w:color="000000" w:fill="D9D9D9"/>
            <w:noWrap/>
            <w:vAlign w:val="bottom"/>
            <w:hideMark/>
          </w:tcPr>
          <w:p w14:paraId="188AD83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21966D2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22E67EE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7FA063C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472091A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2.3</w:t>
            </w:r>
          </w:p>
        </w:tc>
        <w:tc>
          <w:tcPr>
            <w:tcW w:w="596" w:type="dxa"/>
            <w:tcBorders>
              <w:top w:val="nil"/>
              <w:left w:val="nil"/>
              <w:bottom w:val="nil"/>
              <w:right w:val="nil"/>
            </w:tcBorders>
            <w:shd w:val="clear" w:color="000000" w:fill="D9D9D9"/>
            <w:noWrap/>
            <w:vAlign w:val="bottom"/>
            <w:hideMark/>
          </w:tcPr>
          <w:p w14:paraId="47815F4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0.8</w:t>
            </w:r>
          </w:p>
        </w:tc>
        <w:tc>
          <w:tcPr>
            <w:tcW w:w="495" w:type="dxa"/>
            <w:tcBorders>
              <w:top w:val="nil"/>
              <w:left w:val="nil"/>
              <w:bottom w:val="nil"/>
              <w:right w:val="nil"/>
            </w:tcBorders>
            <w:shd w:val="clear" w:color="000000" w:fill="F2F2F2"/>
            <w:noWrap/>
            <w:vAlign w:val="bottom"/>
            <w:hideMark/>
          </w:tcPr>
          <w:p w14:paraId="49321BC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2.9</w:t>
            </w:r>
          </w:p>
        </w:tc>
      </w:tr>
      <w:tr w:rsidR="00306F5D" w:rsidRPr="00306F5D" w14:paraId="6B640C41"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7710C6E2"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ZMB</w:t>
            </w:r>
          </w:p>
        </w:tc>
        <w:tc>
          <w:tcPr>
            <w:tcW w:w="1477" w:type="dxa"/>
            <w:tcBorders>
              <w:top w:val="nil"/>
              <w:left w:val="nil"/>
              <w:bottom w:val="nil"/>
              <w:right w:val="nil"/>
            </w:tcBorders>
            <w:shd w:val="clear" w:color="auto" w:fill="D9D9D9" w:themeFill="background1" w:themeFillShade="D9"/>
            <w:noWrap/>
            <w:vAlign w:val="bottom"/>
            <w:hideMark/>
          </w:tcPr>
          <w:p w14:paraId="59AABD0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Zambia</w:t>
            </w:r>
          </w:p>
        </w:tc>
        <w:tc>
          <w:tcPr>
            <w:tcW w:w="1308" w:type="dxa"/>
            <w:tcBorders>
              <w:top w:val="nil"/>
              <w:left w:val="nil"/>
              <w:bottom w:val="nil"/>
              <w:right w:val="nil"/>
            </w:tcBorders>
            <w:shd w:val="clear" w:color="auto" w:fill="D9D9D9" w:themeFill="background1" w:themeFillShade="D9"/>
            <w:noWrap/>
            <w:vAlign w:val="bottom"/>
            <w:hideMark/>
          </w:tcPr>
          <w:p w14:paraId="06223878"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Eastern Africa</w:t>
            </w:r>
          </w:p>
        </w:tc>
        <w:tc>
          <w:tcPr>
            <w:tcW w:w="594" w:type="dxa"/>
            <w:tcBorders>
              <w:top w:val="nil"/>
              <w:left w:val="nil"/>
              <w:bottom w:val="nil"/>
              <w:right w:val="nil"/>
            </w:tcBorders>
            <w:shd w:val="clear" w:color="000000" w:fill="F2F2F2"/>
            <w:noWrap/>
            <w:vAlign w:val="bottom"/>
            <w:hideMark/>
          </w:tcPr>
          <w:p w14:paraId="69DD0A4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5FE0A9A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8D92D4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4EABE7A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33E37F4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3995F5A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48FD9FA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5" w:type="dxa"/>
            <w:tcBorders>
              <w:top w:val="nil"/>
              <w:left w:val="nil"/>
              <w:bottom w:val="nil"/>
              <w:right w:val="nil"/>
            </w:tcBorders>
            <w:shd w:val="clear" w:color="000000" w:fill="F2F2F2"/>
            <w:noWrap/>
            <w:vAlign w:val="bottom"/>
            <w:hideMark/>
          </w:tcPr>
          <w:p w14:paraId="44E25B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3AE0000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596" w:type="dxa"/>
            <w:tcBorders>
              <w:top w:val="nil"/>
              <w:left w:val="nil"/>
              <w:bottom w:val="nil"/>
              <w:right w:val="nil"/>
            </w:tcBorders>
            <w:shd w:val="clear" w:color="000000" w:fill="D9D9D9"/>
            <w:noWrap/>
            <w:vAlign w:val="bottom"/>
            <w:hideMark/>
          </w:tcPr>
          <w:p w14:paraId="3E6ED0E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3C513A7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133D779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3821E62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F2F2F2"/>
            <w:noWrap/>
            <w:vAlign w:val="bottom"/>
            <w:hideMark/>
          </w:tcPr>
          <w:p w14:paraId="07880BA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9343EE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345D8B4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03B492C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c>
          <w:tcPr>
            <w:tcW w:w="596" w:type="dxa"/>
            <w:tcBorders>
              <w:top w:val="nil"/>
              <w:left w:val="nil"/>
              <w:bottom w:val="nil"/>
              <w:right w:val="nil"/>
            </w:tcBorders>
            <w:shd w:val="clear" w:color="000000" w:fill="D9D9D9"/>
            <w:noWrap/>
            <w:vAlign w:val="bottom"/>
            <w:hideMark/>
          </w:tcPr>
          <w:p w14:paraId="416EFB4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495" w:type="dxa"/>
            <w:tcBorders>
              <w:top w:val="nil"/>
              <w:left w:val="nil"/>
              <w:bottom w:val="nil"/>
              <w:right w:val="nil"/>
            </w:tcBorders>
            <w:shd w:val="clear" w:color="000000" w:fill="F2F2F2"/>
            <w:noWrap/>
            <w:vAlign w:val="bottom"/>
            <w:hideMark/>
          </w:tcPr>
          <w:p w14:paraId="59AA0A9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r>
      <w:tr w:rsidR="00306F5D" w:rsidRPr="00306F5D" w14:paraId="200D4658"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78370090"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ZWE</w:t>
            </w:r>
          </w:p>
        </w:tc>
        <w:tc>
          <w:tcPr>
            <w:tcW w:w="1477" w:type="dxa"/>
            <w:tcBorders>
              <w:top w:val="nil"/>
              <w:left w:val="nil"/>
              <w:bottom w:val="nil"/>
              <w:right w:val="nil"/>
            </w:tcBorders>
            <w:shd w:val="clear" w:color="auto" w:fill="D9D9D9" w:themeFill="background1" w:themeFillShade="D9"/>
            <w:noWrap/>
            <w:vAlign w:val="bottom"/>
            <w:hideMark/>
          </w:tcPr>
          <w:p w14:paraId="711D8454"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Zimbabwe</w:t>
            </w:r>
          </w:p>
        </w:tc>
        <w:tc>
          <w:tcPr>
            <w:tcW w:w="1308" w:type="dxa"/>
            <w:tcBorders>
              <w:top w:val="nil"/>
              <w:left w:val="nil"/>
              <w:bottom w:val="nil"/>
              <w:right w:val="nil"/>
            </w:tcBorders>
            <w:shd w:val="clear" w:color="auto" w:fill="D9D9D9" w:themeFill="background1" w:themeFillShade="D9"/>
            <w:noWrap/>
            <w:vAlign w:val="bottom"/>
            <w:hideMark/>
          </w:tcPr>
          <w:p w14:paraId="146A79A3"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Eastern Africa</w:t>
            </w:r>
          </w:p>
        </w:tc>
        <w:tc>
          <w:tcPr>
            <w:tcW w:w="594" w:type="dxa"/>
            <w:tcBorders>
              <w:top w:val="nil"/>
              <w:left w:val="nil"/>
              <w:bottom w:val="nil"/>
              <w:right w:val="nil"/>
            </w:tcBorders>
            <w:shd w:val="clear" w:color="000000" w:fill="F2F2F2"/>
            <w:noWrap/>
            <w:vAlign w:val="bottom"/>
            <w:hideMark/>
          </w:tcPr>
          <w:p w14:paraId="53C9241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6679E02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6C98ACD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382C16F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0E7AC20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167333E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5C9B142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4462452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nil"/>
              <w:left w:val="nil"/>
              <w:bottom w:val="nil"/>
              <w:right w:val="nil"/>
            </w:tcBorders>
            <w:shd w:val="clear" w:color="000000" w:fill="F2F2F2"/>
            <w:noWrap/>
            <w:vAlign w:val="bottom"/>
            <w:hideMark/>
          </w:tcPr>
          <w:p w14:paraId="090419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7D635F6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684EF49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380B05E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19EF153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040E8B3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CFFB6D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391530B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7CFBA11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3.3</w:t>
            </w:r>
          </w:p>
        </w:tc>
        <w:tc>
          <w:tcPr>
            <w:tcW w:w="596" w:type="dxa"/>
            <w:tcBorders>
              <w:top w:val="nil"/>
              <w:left w:val="nil"/>
              <w:bottom w:val="nil"/>
              <w:right w:val="nil"/>
            </w:tcBorders>
            <w:shd w:val="clear" w:color="000000" w:fill="D9D9D9"/>
            <w:noWrap/>
            <w:vAlign w:val="bottom"/>
            <w:hideMark/>
          </w:tcPr>
          <w:p w14:paraId="5C5F044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1.4</w:t>
            </w:r>
          </w:p>
        </w:tc>
        <w:tc>
          <w:tcPr>
            <w:tcW w:w="495" w:type="dxa"/>
            <w:tcBorders>
              <w:top w:val="nil"/>
              <w:left w:val="nil"/>
              <w:bottom w:val="nil"/>
              <w:right w:val="nil"/>
            </w:tcBorders>
            <w:shd w:val="clear" w:color="000000" w:fill="F2F2F2"/>
            <w:noWrap/>
            <w:vAlign w:val="bottom"/>
            <w:hideMark/>
          </w:tcPr>
          <w:p w14:paraId="443428C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3.2</w:t>
            </w:r>
          </w:p>
        </w:tc>
      </w:tr>
      <w:tr w:rsidR="00306F5D" w:rsidRPr="00306F5D" w14:paraId="44148DFE" w14:textId="77777777" w:rsidTr="002F18DD">
        <w:trPr>
          <w:trHeight w:val="255"/>
        </w:trPr>
        <w:tc>
          <w:tcPr>
            <w:tcW w:w="567" w:type="dxa"/>
            <w:tcBorders>
              <w:top w:val="single" w:sz="4" w:space="0" w:color="A6A6A6"/>
              <w:left w:val="nil"/>
              <w:bottom w:val="nil"/>
              <w:right w:val="nil"/>
            </w:tcBorders>
            <w:shd w:val="clear" w:color="auto" w:fill="D9D9D9" w:themeFill="background1" w:themeFillShade="D9"/>
            <w:noWrap/>
            <w:vAlign w:val="bottom"/>
            <w:hideMark/>
          </w:tcPr>
          <w:p w14:paraId="38504E99"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BWA</w:t>
            </w:r>
          </w:p>
        </w:tc>
        <w:tc>
          <w:tcPr>
            <w:tcW w:w="1477" w:type="dxa"/>
            <w:tcBorders>
              <w:top w:val="single" w:sz="4" w:space="0" w:color="A6A6A6"/>
              <w:left w:val="nil"/>
              <w:bottom w:val="nil"/>
              <w:right w:val="nil"/>
            </w:tcBorders>
            <w:shd w:val="clear" w:color="auto" w:fill="D9D9D9" w:themeFill="background1" w:themeFillShade="D9"/>
            <w:noWrap/>
            <w:vAlign w:val="bottom"/>
            <w:hideMark/>
          </w:tcPr>
          <w:p w14:paraId="7BE418FF"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Botswana</w:t>
            </w:r>
          </w:p>
        </w:tc>
        <w:tc>
          <w:tcPr>
            <w:tcW w:w="1308" w:type="dxa"/>
            <w:tcBorders>
              <w:top w:val="single" w:sz="4" w:space="0" w:color="A6A6A6"/>
              <w:left w:val="nil"/>
              <w:bottom w:val="nil"/>
              <w:right w:val="nil"/>
            </w:tcBorders>
            <w:shd w:val="clear" w:color="auto" w:fill="D9D9D9" w:themeFill="background1" w:themeFillShade="D9"/>
            <w:noWrap/>
            <w:vAlign w:val="bottom"/>
            <w:hideMark/>
          </w:tcPr>
          <w:p w14:paraId="789FF189"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Africa</w:t>
            </w:r>
          </w:p>
        </w:tc>
        <w:tc>
          <w:tcPr>
            <w:tcW w:w="594" w:type="dxa"/>
            <w:tcBorders>
              <w:top w:val="single" w:sz="4" w:space="0" w:color="A6A6A6"/>
              <w:left w:val="nil"/>
              <w:bottom w:val="nil"/>
              <w:right w:val="nil"/>
            </w:tcBorders>
            <w:shd w:val="clear" w:color="000000" w:fill="F2F2F2"/>
            <w:noWrap/>
            <w:vAlign w:val="bottom"/>
            <w:hideMark/>
          </w:tcPr>
          <w:p w14:paraId="2B01FB3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single" w:sz="4" w:space="0" w:color="A6A6A6"/>
              <w:left w:val="nil"/>
              <w:bottom w:val="nil"/>
              <w:right w:val="nil"/>
            </w:tcBorders>
            <w:shd w:val="clear" w:color="000000" w:fill="F2F2F2"/>
            <w:noWrap/>
            <w:vAlign w:val="bottom"/>
            <w:hideMark/>
          </w:tcPr>
          <w:p w14:paraId="060E92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single" w:sz="4" w:space="0" w:color="A6A6A6"/>
              <w:left w:val="nil"/>
              <w:bottom w:val="nil"/>
              <w:right w:val="nil"/>
            </w:tcBorders>
            <w:shd w:val="clear" w:color="000000" w:fill="F2F2F2"/>
            <w:noWrap/>
            <w:vAlign w:val="bottom"/>
            <w:hideMark/>
          </w:tcPr>
          <w:p w14:paraId="781E6ED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D9D9D9"/>
            <w:noWrap/>
            <w:vAlign w:val="bottom"/>
            <w:hideMark/>
          </w:tcPr>
          <w:p w14:paraId="428FD09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single" w:sz="4" w:space="0" w:color="A6A6A6"/>
              <w:left w:val="nil"/>
              <w:bottom w:val="nil"/>
              <w:right w:val="nil"/>
            </w:tcBorders>
            <w:shd w:val="clear" w:color="000000" w:fill="D9D9D9"/>
            <w:noWrap/>
            <w:vAlign w:val="bottom"/>
            <w:hideMark/>
          </w:tcPr>
          <w:p w14:paraId="2242865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single" w:sz="4" w:space="0" w:color="A6A6A6"/>
              <w:left w:val="nil"/>
              <w:bottom w:val="nil"/>
              <w:right w:val="nil"/>
            </w:tcBorders>
            <w:shd w:val="clear" w:color="000000" w:fill="D9D9D9"/>
            <w:noWrap/>
            <w:vAlign w:val="bottom"/>
            <w:hideMark/>
          </w:tcPr>
          <w:p w14:paraId="6D280AF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3438DC3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single" w:sz="4" w:space="0" w:color="A6A6A6"/>
              <w:left w:val="nil"/>
              <w:bottom w:val="nil"/>
              <w:right w:val="nil"/>
            </w:tcBorders>
            <w:shd w:val="clear" w:color="000000" w:fill="F2F2F2"/>
            <w:noWrap/>
            <w:vAlign w:val="bottom"/>
            <w:hideMark/>
          </w:tcPr>
          <w:p w14:paraId="04656FB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0.9</w:t>
            </w:r>
          </w:p>
        </w:tc>
        <w:tc>
          <w:tcPr>
            <w:tcW w:w="595" w:type="dxa"/>
            <w:tcBorders>
              <w:top w:val="single" w:sz="4" w:space="0" w:color="A6A6A6"/>
              <w:left w:val="nil"/>
              <w:bottom w:val="nil"/>
              <w:right w:val="nil"/>
            </w:tcBorders>
            <w:shd w:val="clear" w:color="000000" w:fill="F2F2F2"/>
            <w:noWrap/>
            <w:vAlign w:val="bottom"/>
            <w:hideMark/>
          </w:tcPr>
          <w:p w14:paraId="427BA6B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single" w:sz="4" w:space="0" w:color="A6A6A6"/>
              <w:left w:val="nil"/>
              <w:bottom w:val="nil"/>
              <w:right w:val="nil"/>
            </w:tcBorders>
            <w:shd w:val="clear" w:color="000000" w:fill="D9D9D9"/>
            <w:noWrap/>
            <w:vAlign w:val="bottom"/>
            <w:hideMark/>
          </w:tcPr>
          <w:p w14:paraId="1CB8395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single" w:sz="4" w:space="0" w:color="A6A6A6"/>
              <w:left w:val="nil"/>
              <w:bottom w:val="nil"/>
              <w:right w:val="nil"/>
            </w:tcBorders>
            <w:shd w:val="clear" w:color="000000" w:fill="D9D9D9"/>
            <w:noWrap/>
            <w:vAlign w:val="bottom"/>
            <w:hideMark/>
          </w:tcPr>
          <w:p w14:paraId="627B82A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single" w:sz="4" w:space="0" w:color="A6A6A6"/>
              <w:left w:val="nil"/>
              <w:bottom w:val="nil"/>
              <w:right w:val="nil"/>
            </w:tcBorders>
            <w:shd w:val="clear" w:color="000000" w:fill="F2F2F2"/>
            <w:noWrap/>
            <w:vAlign w:val="bottom"/>
            <w:hideMark/>
          </w:tcPr>
          <w:p w14:paraId="37515E7F"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single" w:sz="4" w:space="0" w:color="A6A6A6"/>
              <w:left w:val="nil"/>
              <w:bottom w:val="nil"/>
              <w:right w:val="nil"/>
            </w:tcBorders>
            <w:shd w:val="clear" w:color="000000" w:fill="D9D9D9"/>
            <w:noWrap/>
            <w:vAlign w:val="bottom"/>
            <w:hideMark/>
          </w:tcPr>
          <w:p w14:paraId="47A30FB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single" w:sz="4" w:space="0" w:color="A6A6A6"/>
              <w:left w:val="nil"/>
              <w:bottom w:val="nil"/>
              <w:right w:val="nil"/>
            </w:tcBorders>
            <w:shd w:val="clear" w:color="000000" w:fill="F2F2F2"/>
            <w:noWrap/>
            <w:vAlign w:val="bottom"/>
            <w:hideMark/>
          </w:tcPr>
          <w:p w14:paraId="559DE62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single" w:sz="4" w:space="0" w:color="A6A6A6"/>
              <w:left w:val="nil"/>
              <w:bottom w:val="nil"/>
              <w:right w:val="nil"/>
            </w:tcBorders>
            <w:shd w:val="clear" w:color="000000" w:fill="F2F2F2"/>
            <w:noWrap/>
            <w:vAlign w:val="bottom"/>
            <w:hideMark/>
          </w:tcPr>
          <w:p w14:paraId="2593FCE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single" w:sz="4" w:space="0" w:color="A6A6A6"/>
              <w:left w:val="nil"/>
              <w:bottom w:val="nil"/>
              <w:right w:val="nil"/>
            </w:tcBorders>
            <w:shd w:val="clear" w:color="000000" w:fill="F2F2F2"/>
            <w:noWrap/>
            <w:vAlign w:val="bottom"/>
            <w:hideMark/>
          </w:tcPr>
          <w:p w14:paraId="3959F85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single" w:sz="4" w:space="0" w:color="A6A6A6"/>
              <w:left w:val="nil"/>
              <w:bottom w:val="nil"/>
              <w:right w:val="nil"/>
            </w:tcBorders>
            <w:shd w:val="clear" w:color="000000" w:fill="D9D9D9"/>
            <w:noWrap/>
            <w:vAlign w:val="bottom"/>
            <w:hideMark/>
          </w:tcPr>
          <w:p w14:paraId="4B9A0EC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c>
          <w:tcPr>
            <w:tcW w:w="596" w:type="dxa"/>
            <w:tcBorders>
              <w:top w:val="single" w:sz="4" w:space="0" w:color="A6A6A6"/>
              <w:left w:val="nil"/>
              <w:bottom w:val="nil"/>
              <w:right w:val="nil"/>
            </w:tcBorders>
            <w:shd w:val="clear" w:color="000000" w:fill="D9D9D9"/>
            <w:noWrap/>
            <w:vAlign w:val="bottom"/>
            <w:hideMark/>
          </w:tcPr>
          <w:p w14:paraId="7036DAD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single" w:sz="4" w:space="0" w:color="A6A6A6"/>
              <w:left w:val="nil"/>
              <w:bottom w:val="nil"/>
              <w:right w:val="nil"/>
            </w:tcBorders>
            <w:shd w:val="clear" w:color="000000" w:fill="F2F2F2"/>
            <w:noWrap/>
            <w:vAlign w:val="bottom"/>
            <w:hideMark/>
          </w:tcPr>
          <w:p w14:paraId="03753F93"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r>
      <w:tr w:rsidR="00306F5D" w:rsidRPr="00306F5D" w14:paraId="79DE36BE"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63982DD3"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NAM</w:t>
            </w:r>
          </w:p>
        </w:tc>
        <w:tc>
          <w:tcPr>
            <w:tcW w:w="1477" w:type="dxa"/>
            <w:tcBorders>
              <w:top w:val="nil"/>
              <w:left w:val="nil"/>
              <w:bottom w:val="nil"/>
              <w:right w:val="nil"/>
            </w:tcBorders>
            <w:shd w:val="clear" w:color="auto" w:fill="D9D9D9" w:themeFill="background1" w:themeFillShade="D9"/>
            <w:noWrap/>
            <w:vAlign w:val="bottom"/>
            <w:hideMark/>
          </w:tcPr>
          <w:p w14:paraId="6022EEB6"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Namibia</w:t>
            </w:r>
          </w:p>
        </w:tc>
        <w:tc>
          <w:tcPr>
            <w:tcW w:w="1308" w:type="dxa"/>
            <w:tcBorders>
              <w:top w:val="nil"/>
              <w:left w:val="nil"/>
              <w:bottom w:val="nil"/>
              <w:right w:val="nil"/>
            </w:tcBorders>
            <w:shd w:val="clear" w:color="auto" w:fill="D9D9D9" w:themeFill="background1" w:themeFillShade="D9"/>
            <w:noWrap/>
            <w:vAlign w:val="bottom"/>
            <w:hideMark/>
          </w:tcPr>
          <w:p w14:paraId="372CAE02"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Africa</w:t>
            </w:r>
          </w:p>
        </w:tc>
        <w:tc>
          <w:tcPr>
            <w:tcW w:w="594" w:type="dxa"/>
            <w:tcBorders>
              <w:top w:val="nil"/>
              <w:left w:val="nil"/>
              <w:bottom w:val="nil"/>
              <w:right w:val="nil"/>
            </w:tcBorders>
            <w:shd w:val="clear" w:color="000000" w:fill="F2F2F2"/>
            <w:noWrap/>
            <w:vAlign w:val="bottom"/>
            <w:hideMark/>
          </w:tcPr>
          <w:p w14:paraId="481C602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03A1F22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76D3227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1CDE5C2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198299C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0.7</w:t>
            </w:r>
          </w:p>
        </w:tc>
        <w:tc>
          <w:tcPr>
            <w:tcW w:w="595" w:type="dxa"/>
            <w:tcBorders>
              <w:top w:val="nil"/>
              <w:left w:val="nil"/>
              <w:bottom w:val="nil"/>
              <w:right w:val="nil"/>
            </w:tcBorders>
            <w:shd w:val="clear" w:color="000000" w:fill="D9D9D9"/>
            <w:noWrap/>
            <w:vAlign w:val="bottom"/>
            <w:hideMark/>
          </w:tcPr>
          <w:p w14:paraId="4252AEC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7906E9D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1944F09D"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595" w:type="dxa"/>
            <w:tcBorders>
              <w:top w:val="nil"/>
              <w:left w:val="nil"/>
              <w:bottom w:val="nil"/>
              <w:right w:val="nil"/>
            </w:tcBorders>
            <w:shd w:val="clear" w:color="000000" w:fill="F2F2F2"/>
            <w:noWrap/>
            <w:vAlign w:val="bottom"/>
            <w:hideMark/>
          </w:tcPr>
          <w:p w14:paraId="04CF69E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241EF64C"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52DB959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4D07268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616" w:type="dxa"/>
            <w:tcBorders>
              <w:top w:val="nil"/>
              <w:left w:val="nil"/>
              <w:bottom w:val="nil"/>
              <w:right w:val="nil"/>
            </w:tcBorders>
            <w:shd w:val="clear" w:color="000000" w:fill="D9D9D9"/>
            <w:noWrap/>
            <w:vAlign w:val="bottom"/>
            <w:hideMark/>
          </w:tcPr>
          <w:p w14:paraId="265E3D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0.6</w:t>
            </w:r>
          </w:p>
        </w:tc>
        <w:tc>
          <w:tcPr>
            <w:tcW w:w="595" w:type="dxa"/>
            <w:tcBorders>
              <w:top w:val="nil"/>
              <w:left w:val="nil"/>
              <w:bottom w:val="nil"/>
              <w:right w:val="nil"/>
            </w:tcBorders>
            <w:shd w:val="clear" w:color="000000" w:fill="F2F2F2"/>
            <w:noWrap/>
            <w:vAlign w:val="bottom"/>
            <w:hideMark/>
          </w:tcPr>
          <w:p w14:paraId="0871AD09"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0C07DDC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24D4EFC5"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17FF1A6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c>
          <w:tcPr>
            <w:tcW w:w="596" w:type="dxa"/>
            <w:tcBorders>
              <w:top w:val="nil"/>
              <w:left w:val="nil"/>
              <w:bottom w:val="nil"/>
              <w:right w:val="nil"/>
            </w:tcBorders>
            <w:shd w:val="clear" w:color="000000" w:fill="D9D9D9"/>
            <w:noWrap/>
            <w:vAlign w:val="bottom"/>
            <w:hideMark/>
          </w:tcPr>
          <w:p w14:paraId="30A5BAD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1.3</w:t>
            </w:r>
          </w:p>
        </w:tc>
        <w:tc>
          <w:tcPr>
            <w:tcW w:w="495" w:type="dxa"/>
            <w:tcBorders>
              <w:top w:val="nil"/>
              <w:left w:val="nil"/>
              <w:bottom w:val="nil"/>
              <w:right w:val="nil"/>
            </w:tcBorders>
            <w:shd w:val="clear" w:color="000000" w:fill="F2F2F2"/>
            <w:noWrap/>
            <w:vAlign w:val="bottom"/>
            <w:hideMark/>
          </w:tcPr>
          <w:p w14:paraId="60FD8B8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3.1</w:t>
            </w:r>
          </w:p>
        </w:tc>
      </w:tr>
      <w:tr w:rsidR="00306F5D" w:rsidRPr="00306F5D" w14:paraId="1C04A431" w14:textId="77777777" w:rsidTr="002F18DD">
        <w:trPr>
          <w:trHeight w:val="255"/>
        </w:trPr>
        <w:tc>
          <w:tcPr>
            <w:tcW w:w="567" w:type="dxa"/>
            <w:tcBorders>
              <w:top w:val="nil"/>
              <w:left w:val="nil"/>
              <w:bottom w:val="nil"/>
              <w:right w:val="nil"/>
            </w:tcBorders>
            <w:shd w:val="clear" w:color="auto" w:fill="D9D9D9" w:themeFill="background1" w:themeFillShade="D9"/>
            <w:noWrap/>
            <w:vAlign w:val="bottom"/>
            <w:hideMark/>
          </w:tcPr>
          <w:p w14:paraId="5CE71786"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ZAF</w:t>
            </w:r>
          </w:p>
        </w:tc>
        <w:tc>
          <w:tcPr>
            <w:tcW w:w="1477" w:type="dxa"/>
            <w:tcBorders>
              <w:top w:val="nil"/>
              <w:left w:val="nil"/>
              <w:bottom w:val="nil"/>
              <w:right w:val="nil"/>
            </w:tcBorders>
            <w:shd w:val="clear" w:color="auto" w:fill="D9D9D9" w:themeFill="background1" w:themeFillShade="D9"/>
            <w:noWrap/>
            <w:vAlign w:val="bottom"/>
            <w:hideMark/>
          </w:tcPr>
          <w:p w14:paraId="287E5D4D" w14:textId="77777777" w:rsidR="00306F5D" w:rsidRPr="00306F5D" w:rsidRDefault="00306F5D" w:rsidP="00306F5D">
            <w:pPr>
              <w:spacing w:after="0" w:line="240" w:lineRule="auto"/>
              <w:rPr>
                <w:rFonts w:asciiTheme="majorHAnsi" w:eastAsia="Times New Roman" w:hAnsiTheme="majorHAnsi" w:cstheme="majorHAnsi"/>
                <w:color w:val="000000"/>
                <w:sz w:val="20"/>
                <w:szCs w:val="20"/>
                <w:lang w:eastAsia="en-GB"/>
              </w:rPr>
            </w:pPr>
            <w:r w:rsidRPr="00306F5D">
              <w:rPr>
                <w:rFonts w:asciiTheme="majorHAnsi" w:eastAsia="Times New Roman" w:hAnsiTheme="majorHAnsi" w:cstheme="majorHAnsi"/>
                <w:color w:val="000000"/>
                <w:sz w:val="20"/>
                <w:szCs w:val="20"/>
                <w:lang w:eastAsia="en-GB"/>
              </w:rPr>
              <w:t>South Africa</w:t>
            </w:r>
          </w:p>
        </w:tc>
        <w:tc>
          <w:tcPr>
            <w:tcW w:w="1308" w:type="dxa"/>
            <w:tcBorders>
              <w:top w:val="nil"/>
              <w:left w:val="nil"/>
              <w:bottom w:val="nil"/>
              <w:right w:val="nil"/>
            </w:tcBorders>
            <w:shd w:val="clear" w:color="auto" w:fill="D9D9D9" w:themeFill="background1" w:themeFillShade="D9"/>
            <w:noWrap/>
            <w:vAlign w:val="bottom"/>
            <w:hideMark/>
          </w:tcPr>
          <w:p w14:paraId="12CE22D9" w14:textId="77777777" w:rsidR="00306F5D" w:rsidRPr="00306F5D" w:rsidRDefault="00306F5D" w:rsidP="00306F5D">
            <w:pPr>
              <w:spacing w:after="0" w:line="240" w:lineRule="auto"/>
              <w:rPr>
                <w:rFonts w:asciiTheme="majorHAnsi" w:eastAsia="Times New Roman" w:hAnsiTheme="majorHAnsi" w:cstheme="majorHAnsi"/>
                <w:color w:val="000000"/>
                <w:sz w:val="18"/>
                <w:szCs w:val="18"/>
                <w:lang w:eastAsia="en-GB"/>
              </w:rPr>
            </w:pPr>
            <w:r w:rsidRPr="00306F5D">
              <w:rPr>
                <w:rFonts w:asciiTheme="majorHAnsi" w:eastAsia="Times New Roman" w:hAnsiTheme="majorHAnsi" w:cstheme="majorHAnsi"/>
                <w:color w:val="000000"/>
                <w:sz w:val="18"/>
                <w:szCs w:val="18"/>
                <w:lang w:eastAsia="en-GB"/>
              </w:rPr>
              <w:t>South Africa</w:t>
            </w:r>
          </w:p>
        </w:tc>
        <w:tc>
          <w:tcPr>
            <w:tcW w:w="594" w:type="dxa"/>
            <w:tcBorders>
              <w:top w:val="nil"/>
              <w:left w:val="nil"/>
              <w:bottom w:val="nil"/>
              <w:right w:val="nil"/>
            </w:tcBorders>
            <w:shd w:val="clear" w:color="000000" w:fill="F2F2F2"/>
            <w:noWrap/>
            <w:vAlign w:val="bottom"/>
            <w:hideMark/>
          </w:tcPr>
          <w:p w14:paraId="091BAA7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2.7</w:t>
            </w:r>
          </w:p>
        </w:tc>
        <w:tc>
          <w:tcPr>
            <w:tcW w:w="594" w:type="dxa"/>
            <w:tcBorders>
              <w:top w:val="nil"/>
              <w:left w:val="nil"/>
              <w:bottom w:val="nil"/>
              <w:right w:val="nil"/>
            </w:tcBorders>
            <w:shd w:val="clear" w:color="000000" w:fill="F2F2F2"/>
            <w:noWrap/>
            <w:vAlign w:val="bottom"/>
            <w:hideMark/>
          </w:tcPr>
          <w:p w14:paraId="056648B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4" w:type="dxa"/>
            <w:tcBorders>
              <w:top w:val="nil"/>
              <w:left w:val="nil"/>
              <w:bottom w:val="nil"/>
              <w:right w:val="nil"/>
            </w:tcBorders>
            <w:shd w:val="clear" w:color="000000" w:fill="F2F2F2"/>
            <w:noWrap/>
            <w:vAlign w:val="bottom"/>
            <w:hideMark/>
          </w:tcPr>
          <w:p w14:paraId="4000F0B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D9D9D9"/>
            <w:noWrap/>
            <w:vAlign w:val="bottom"/>
            <w:hideMark/>
          </w:tcPr>
          <w:p w14:paraId="7F1EB06E"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0.5</w:t>
            </w:r>
          </w:p>
        </w:tc>
        <w:tc>
          <w:tcPr>
            <w:tcW w:w="595" w:type="dxa"/>
            <w:tcBorders>
              <w:top w:val="nil"/>
              <w:left w:val="nil"/>
              <w:bottom w:val="nil"/>
              <w:right w:val="nil"/>
            </w:tcBorders>
            <w:shd w:val="clear" w:color="000000" w:fill="D9D9D9"/>
            <w:noWrap/>
            <w:vAlign w:val="bottom"/>
            <w:hideMark/>
          </w:tcPr>
          <w:p w14:paraId="57636F02"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1CA69418"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D8C1391"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5" w:type="dxa"/>
            <w:tcBorders>
              <w:top w:val="nil"/>
              <w:left w:val="nil"/>
              <w:bottom w:val="nil"/>
              <w:right w:val="nil"/>
            </w:tcBorders>
            <w:shd w:val="clear" w:color="000000" w:fill="F2F2F2"/>
            <w:noWrap/>
            <w:vAlign w:val="bottom"/>
            <w:hideMark/>
          </w:tcPr>
          <w:p w14:paraId="41D77A0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1.0</w:t>
            </w:r>
          </w:p>
        </w:tc>
        <w:tc>
          <w:tcPr>
            <w:tcW w:w="595" w:type="dxa"/>
            <w:tcBorders>
              <w:top w:val="nil"/>
              <w:left w:val="nil"/>
              <w:bottom w:val="nil"/>
              <w:right w:val="nil"/>
            </w:tcBorders>
            <w:shd w:val="clear" w:color="000000" w:fill="F2F2F2"/>
            <w:noWrap/>
            <w:vAlign w:val="bottom"/>
            <w:hideMark/>
          </w:tcPr>
          <w:p w14:paraId="0270CB3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0.2</w:t>
            </w:r>
          </w:p>
        </w:tc>
        <w:tc>
          <w:tcPr>
            <w:tcW w:w="596" w:type="dxa"/>
            <w:tcBorders>
              <w:top w:val="nil"/>
              <w:left w:val="nil"/>
              <w:bottom w:val="nil"/>
              <w:right w:val="nil"/>
            </w:tcBorders>
            <w:shd w:val="clear" w:color="000000" w:fill="D9D9D9"/>
            <w:noWrap/>
            <w:vAlign w:val="bottom"/>
            <w:hideMark/>
          </w:tcPr>
          <w:p w14:paraId="3C30B5B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595" w:type="dxa"/>
            <w:tcBorders>
              <w:top w:val="nil"/>
              <w:left w:val="nil"/>
              <w:bottom w:val="nil"/>
              <w:right w:val="nil"/>
            </w:tcBorders>
            <w:shd w:val="clear" w:color="000000" w:fill="D9D9D9"/>
            <w:noWrap/>
            <w:vAlign w:val="bottom"/>
            <w:hideMark/>
          </w:tcPr>
          <w:p w14:paraId="33B7812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0.3</w:t>
            </w:r>
          </w:p>
        </w:tc>
        <w:tc>
          <w:tcPr>
            <w:tcW w:w="616" w:type="dxa"/>
            <w:tcBorders>
              <w:top w:val="nil"/>
              <w:left w:val="nil"/>
              <w:bottom w:val="nil"/>
              <w:right w:val="nil"/>
            </w:tcBorders>
            <w:shd w:val="clear" w:color="000000" w:fill="F2F2F2"/>
            <w:noWrap/>
            <w:vAlign w:val="bottom"/>
            <w:hideMark/>
          </w:tcPr>
          <w:p w14:paraId="21E18517"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1.1</w:t>
            </w:r>
          </w:p>
        </w:tc>
        <w:tc>
          <w:tcPr>
            <w:tcW w:w="616" w:type="dxa"/>
            <w:tcBorders>
              <w:top w:val="nil"/>
              <w:left w:val="nil"/>
              <w:bottom w:val="nil"/>
              <w:right w:val="nil"/>
            </w:tcBorders>
            <w:shd w:val="clear" w:color="000000" w:fill="D9D9D9"/>
            <w:noWrap/>
            <w:vAlign w:val="bottom"/>
            <w:hideMark/>
          </w:tcPr>
          <w:p w14:paraId="63BB7C60"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5" w:type="dxa"/>
            <w:tcBorders>
              <w:top w:val="nil"/>
              <w:left w:val="nil"/>
              <w:bottom w:val="nil"/>
              <w:right w:val="nil"/>
            </w:tcBorders>
            <w:shd w:val="clear" w:color="000000" w:fill="F2F2F2"/>
            <w:noWrap/>
            <w:vAlign w:val="bottom"/>
            <w:hideMark/>
          </w:tcPr>
          <w:p w14:paraId="2A9F517B"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0.0</w:t>
            </w:r>
          </w:p>
        </w:tc>
        <w:tc>
          <w:tcPr>
            <w:tcW w:w="595" w:type="dxa"/>
            <w:tcBorders>
              <w:top w:val="nil"/>
              <w:left w:val="nil"/>
              <w:bottom w:val="nil"/>
              <w:right w:val="nil"/>
            </w:tcBorders>
            <w:shd w:val="clear" w:color="000000" w:fill="F2F2F2"/>
            <w:noWrap/>
            <w:vAlign w:val="bottom"/>
            <w:hideMark/>
          </w:tcPr>
          <w:p w14:paraId="3D05B70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0.1</w:t>
            </w:r>
          </w:p>
        </w:tc>
        <w:tc>
          <w:tcPr>
            <w:tcW w:w="724" w:type="dxa"/>
            <w:tcBorders>
              <w:top w:val="nil"/>
              <w:left w:val="nil"/>
              <w:bottom w:val="nil"/>
              <w:right w:val="nil"/>
            </w:tcBorders>
            <w:shd w:val="clear" w:color="000000" w:fill="F2F2F2"/>
            <w:noWrap/>
            <w:vAlign w:val="bottom"/>
            <w:hideMark/>
          </w:tcPr>
          <w:p w14:paraId="1F4B24C4"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0.4</w:t>
            </w:r>
          </w:p>
        </w:tc>
        <w:tc>
          <w:tcPr>
            <w:tcW w:w="596" w:type="dxa"/>
            <w:tcBorders>
              <w:top w:val="nil"/>
              <w:left w:val="nil"/>
              <w:bottom w:val="nil"/>
              <w:right w:val="nil"/>
            </w:tcBorders>
            <w:shd w:val="clear" w:color="000000" w:fill="D9D9D9"/>
            <w:noWrap/>
            <w:vAlign w:val="bottom"/>
            <w:hideMark/>
          </w:tcPr>
          <w:p w14:paraId="20CE46E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c>
          <w:tcPr>
            <w:tcW w:w="596" w:type="dxa"/>
            <w:tcBorders>
              <w:top w:val="nil"/>
              <w:left w:val="nil"/>
              <w:bottom w:val="nil"/>
              <w:right w:val="nil"/>
            </w:tcBorders>
            <w:shd w:val="clear" w:color="000000" w:fill="D9D9D9"/>
            <w:noWrap/>
            <w:vAlign w:val="bottom"/>
            <w:hideMark/>
          </w:tcPr>
          <w:p w14:paraId="2482BB46"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1.2</w:t>
            </w:r>
          </w:p>
        </w:tc>
        <w:tc>
          <w:tcPr>
            <w:tcW w:w="495" w:type="dxa"/>
            <w:tcBorders>
              <w:top w:val="nil"/>
              <w:left w:val="nil"/>
              <w:bottom w:val="nil"/>
              <w:right w:val="nil"/>
            </w:tcBorders>
            <w:shd w:val="clear" w:color="000000" w:fill="F2F2F2"/>
            <w:noWrap/>
            <w:vAlign w:val="bottom"/>
            <w:hideMark/>
          </w:tcPr>
          <w:p w14:paraId="46573E7A" w14:textId="77777777" w:rsidR="00306F5D" w:rsidRPr="00306F5D" w:rsidRDefault="00306F5D" w:rsidP="00306F5D">
            <w:pPr>
              <w:spacing w:after="0" w:line="240" w:lineRule="auto"/>
              <w:jc w:val="center"/>
              <w:rPr>
                <w:rFonts w:asciiTheme="majorHAnsi" w:eastAsia="Times New Roman" w:hAnsiTheme="majorHAnsi" w:cstheme="majorHAnsi"/>
                <w:sz w:val="20"/>
                <w:szCs w:val="20"/>
                <w:lang w:eastAsia="en-GB"/>
              </w:rPr>
            </w:pPr>
            <w:r w:rsidRPr="00306F5D">
              <w:rPr>
                <w:rFonts w:asciiTheme="majorHAnsi" w:eastAsia="Times New Roman" w:hAnsiTheme="majorHAnsi" w:cstheme="majorHAnsi"/>
                <w:sz w:val="20"/>
                <w:szCs w:val="20"/>
                <w:lang w:eastAsia="en-GB"/>
              </w:rPr>
              <w:t>3.0</w:t>
            </w:r>
          </w:p>
        </w:tc>
      </w:tr>
    </w:tbl>
    <w:p w14:paraId="6208499E" w14:textId="77777777" w:rsidR="00306F5D" w:rsidRDefault="00306F5D" w:rsidP="00F82660">
      <w:pPr>
        <w:sectPr w:rsidR="00306F5D" w:rsidSect="00F630FC">
          <w:pgSz w:w="16838" w:h="11906" w:orient="landscape"/>
          <w:pgMar w:top="737" w:right="1077" w:bottom="737" w:left="1077" w:header="709" w:footer="709" w:gutter="0"/>
          <w:cols w:space="708"/>
          <w:docGrid w:linePitch="360"/>
        </w:sectPr>
      </w:pPr>
    </w:p>
    <w:p w14:paraId="0570D81A" w14:textId="4E7A7415" w:rsidR="00B150F9" w:rsidRPr="007B1C9F" w:rsidRDefault="00B150F9" w:rsidP="00F54183">
      <w:pPr>
        <w:pStyle w:val="Heading1"/>
        <w:spacing w:after="120"/>
      </w:pPr>
      <w:r w:rsidRPr="007B1C9F">
        <w:lastRenderedPageBreak/>
        <w:t>References</w:t>
      </w:r>
    </w:p>
    <w:p w14:paraId="2C08DFBA" w14:textId="12895714" w:rsidR="00777870" w:rsidRPr="00AC4AA1" w:rsidRDefault="00777870" w:rsidP="00AC4AA1">
      <w:pPr>
        <w:pStyle w:val="EndNoteBibliography"/>
        <w:ind w:left="426" w:hanging="426"/>
        <w:rPr>
          <w:sz w:val="20"/>
          <w:szCs w:val="20"/>
        </w:rPr>
      </w:pPr>
      <w:r w:rsidRPr="00AC4AA1">
        <w:rPr>
          <w:sz w:val="20"/>
          <w:szCs w:val="20"/>
        </w:rPr>
        <w:t>1.</w:t>
      </w:r>
      <w:r w:rsidRPr="00AC4AA1">
        <w:rPr>
          <w:sz w:val="20"/>
          <w:szCs w:val="20"/>
        </w:rPr>
        <w:tab/>
        <w:t xml:space="preserve">Rao ND, Min J, Mastrucci A. Energy requirements for decent living in India, Brazil and South Africa. </w:t>
      </w:r>
      <w:r w:rsidRPr="00AC4AA1">
        <w:rPr>
          <w:i/>
          <w:sz w:val="20"/>
          <w:szCs w:val="20"/>
        </w:rPr>
        <w:t>Nature Energy</w:t>
      </w:r>
      <w:r w:rsidRPr="00AC4AA1">
        <w:rPr>
          <w:sz w:val="20"/>
          <w:szCs w:val="20"/>
        </w:rPr>
        <w:t xml:space="preserve"> 2019.</w:t>
      </w:r>
    </w:p>
    <w:p w14:paraId="53AD4D39" w14:textId="77777777" w:rsidR="00777870" w:rsidRPr="00AC4AA1" w:rsidRDefault="00777870" w:rsidP="00AC4AA1">
      <w:pPr>
        <w:pStyle w:val="EndNoteBibliography"/>
        <w:ind w:left="426" w:hanging="426"/>
        <w:rPr>
          <w:sz w:val="20"/>
          <w:szCs w:val="20"/>
        </w:rPr>
      </w:pPr>
      <w:r w:rsidRPr="00AC4AA1">
        <w:rPr>
          <w:sz w:val="20"/>
          <w:szCs w:val="20"/>
        </w:rPr>
        <w:t>2.</w:t>
      </w:r>
      <w:r w:rsidRPr="00AC4AA1">
        <w:rPr>
          <w:sz w:val="20"/>
          <w:szCs w:val="20"/>
        </w:rPr>
        <w:tab/>
        <w:t>Grubler A, Wilson C, Bento N, Boza-Kiss B, Krey V, McCollum DL</w:t>
      </w:r>
      <w:r w:rsidRPr="00AC4AA1">
        <w:rPr>
          <w:i/>
          <w:sz w:val="20"/>
          <w:szCs w:val="20"/>
        </w:rPr>
        <w:t>, et al.</w:t>
      </w:r>
      <w:r w:rsidRPr="00AC4AA1">
        <w:rPr>
          <w:sz w:val="20"/>
          <w:szCs w:val="20"/>
        </w:rPr>
        <w:t xml:space="preserve"> A low energy demand scenario for meeting the 1.5 °C target and sustainable development goals without negative emission technologies. </w:t>
      </w:r>
      <w:r w:rsidRPr="00AC4AA1">
        <w:rPr>
          <w:i/>
          <w:sz w:val="20"/>
          <w:szCs w:val="20"/>
        </w:rPr>
        <w:t>Nature Energy</w:t>
      </w:r>
      <w:r w:rsidRPr="00AC4AA1">
        <w:rPr>
          <w:sz w:val="20"/>
          <w:szCs w:val="20"/>
        </w:rPr>
        <w:t xml:space="preserve"> 2018, </w:t>
      </w:r>
      <w:r w:rsidRPr="00AC4AA1">
        <w:rPr>
          <w:b/>
          <w:sz w:val="20"/>
          <w:szCs w:val="20"/>
        </w:rPr>
        <w:t>3</w:t>
      </w:r>
      <w:r w:rsidRPr="00AC4AA1">
        <w:rPr>
          <w:sz w:val="20"/>
          <w:szCs w:val="20"/>
        </w:rPr>
        <w:t>(6)</w:t>
      </w:r>
      <w:r w:rsidRPr="00AC4AA1">
        <w:rPr>
          <w:b/>
          <w:sz w:val="20"/>
          <w:szCs w:val="20"/>
        </w:rPr>
        <w:t>:</w:t>
      </w:r>
      <w:r w:rsidRPr="00AC4AA1">
        <w:rPr>
          <w:sz w:val="20"/>
          <w:szCs w:val="20"/>
        </w:rPr>
        <w:t xml:space="preserve"> 515-527.</w:t>
      </w:r>
    </w:p>
    <w:p w14:paraId="193FE4E3" w14:textId="77777777" w:rsidR="00777870" w:rsidRPr="00AC4AA1" w:rsidRDefault="00777870" w:rsidP="00AC4AA1">
      <w:pPr>
        <w:pStyle w:val="EndNoteBibliography"/>
        <w:ind w:left="426" w:hanging="426"/>
        <w:rPr>
          <w:sz w:val="20"/>
          <w:szCs w:val="20"/>
        </w:rPr>
      </w:pPr>
      <w:r w:rsidRPr="00AC4AA1">
        <w:rPr>
          <w:sz w:val="20"/>
          <w:szCs w:val="20"/>
        </w:rPr>
        <w:t>3.</w:t>
      </w:r>
      <w:r w:rsidRPr="00AC4AA1">
        <w:rPr>
          <w:sz w:val="20"/>
          <w:szCs w:val="20"/>
        </w:rPr>
        <w:tab/>
        <w:t xml:space="preserve">Rao ND, Min J. Decent Living Standards: Material Prerequisites for Human Wellbeing. </w:t>
      </w:r>
      <w:r w:rsidRPr="00AC4AA1">
        <w:rPr>
          <w:i/>
          <w:sz w:val="20"/>
          <w:szCs w:val="20"/>
        </w:rPr>
        <w:t>Social Indicators Research</w:t>
      </w:r>
      <w:r w:rsidRPr="00AC4AA1">
        <w:rPr>
          <w:sz w:val="20"/>
          <w:szCs w:val="20"/>
        </w:rPr>
        <w:t xml:space="preserve"> 2018, </w:t>
      </w:r>
      <w:r w:rsidRPr="00AC4AA1">
        <w:rPr>
          <w:b/>
          <w:sz w:val="20"/>
          <w:szCs w:val="20"/>
        </w:rPr>
        <w:t>138</w:t>
      </w:r>
      <w:r w:rsidRPr="00AC4AA1">
        <w:rPr>
          <w:sz w:val="20"/>
          <w:szCs w:val="20"/>
        </w:rPr>
        <w:t>(1)</w:t>
      </w:r>
      <w:r w:rsidRPr="00AC4AA1">
        <w:rPr>
          <w:b/>
          <w:sz w:val="20"/>
          <w:szCs w:val="20"/>
        </w:rPr>
        <w:t>:</w:t>
      </w:r>
      <w:r w:rsidRPr="00AC4AA1">
        <w:rPr>
          <w:sz w:val="20"/>
          <w:szCs w:val="20"/>
        </w:rPr>
        <w:t xml:space="preserve"> 225-244.</w:t>
      </w:r>
    </w:p>
    <w:p w14:paraId="60CF9E20" w14:textId="77777777" w:rsidR="00777870" w:rsidRPr="00AC4AA1" w:rsidRDefault="00777870" w:rsidP="00AC4AA1">
      <w:pPr>
        <w:pStyle w:val="EndNoteBibliography"/>
        <w:ind w:left="426" w:hanging="426"/>
        <w:rPr>
          <w:sz w:val="20"/>
          <w:szCs w:val="20"/>
        </w:rPr>
      </w:pPr>
      <w:r w:rsidRPr="00AC4AA1">
        <w:rPr>
          <w:sz w:val="20"/>
          <w:szCs w:val="20"/>
        </w:rPr>
        <w:t>4.</w:t>
      </w:r>
      <w:r w:rsidRPr="00AC4AA1">
        <w:rPr>
          <w:sz w:val="20"/>
          <w:szCs w:val="20"/>
        </w:rPr>
        <w:tab/>
        <w:t xml:space="preserve">Atalla T, Gualdi S, Lanza A. A global degree days database for energy-related applications. </w:t>
      </w:r>
      <w:r w:rsidRPr="00AC4AA1">
        <w:rPr>
          <w:i/>
          <w:sz w:val="20"/>
          <w:szCs w:val="20"/>
        </w:rPr>
        <w:t>Energy</w:t>
      </w:r>
      <w:r w:rsidRPr="00AC4AA1">
        <w:rPr>
          <w:sz w:val="20"/>
          <w:szCs w:val="20"/>
        </w:rPr>
        <w:t xml:space="preserve"> 2018, </w:t>
      </w:r>
      <w:r w:rsidRPr="00AC4AA1">
        <w:rPr>
          <w:b/>
          <w:sz w:val="20"/>
          <w:szCs w:val="20"/>
        </w:rPr>
        <w:t>143:</w:t>
      </w:r>
      <w:r w:rsidRPr="00AC4AA1">
        <w:rPr>
          <w:sz w:val="20"/>
          <w:szCs w:val="20"/>
        </w:rPr>
        <w:t xml:space="preserve"> 1048-1055.</w:t>
      </w:r>
    </w:p>
    <w:p w14:paraId="1845A903" w14:textId="77777777" w:rsidR="00777870" w:rsidRPr="00AC4AA1" w:rsidRDefault="00777870" w:rsidP="00AC4AA1">
      <w:pPr>
        <w:pStyle w:val="EndNoteBibliography"/>
        <w:ind w:left="426" w:hanging="426"/>
        <w:rPr>
          <w:sz w:val="20"/>
          <w:szCs w:val="20"/>
        </w:rPr>
      </w:pPr>
      <w:r w:rsidRPr="00AC4AA1">
        <w:rPr>
          <w:sz w:val="20"/>
          <w:szCs w:val="20"/>
        </w:rPr>
        <w:t>5.</w:t>
      </w:r>
      <w:r w:rsidRPr="00AC4AA1">
        <w:rPr>
          <w:sz w:val="20"/>
          <w:szCs w:val="20"/>
        </w:rPr>
        <w:tab/>
        <w:t>Spinoni J, Vogt JV, Barbosa P, Dosio A, McCormick N, Bigano A</w:t>
      </w:r>
      <w:r w:rsidRPr="00AC4AA1">
        <w:rPr>
          <w:i/>
          <w:sz w:val="20"/>
          <w:szCs w:val="20"/>
        </w:rPr>
        <w:t>, et al.</w:t>
      </w:r>
      <w:r w:rsidRPr="00AC4AA1">
        <w:rPr>
          <w:sz w:val="20"/>
          <w:szCs w:val="20"/>
        </w:rPr>
        <w:t xml:space="preserve"> Changes of heating and cooling degree-days in Europe from 1981 to 2100. </w:t>
      </w:r>
      <w:r w:rsidRPr="00AC4AA1">
        <w:rPr>
          <w:i/>
          <w:sz w:val="20"/>
          <w:szCs w:val="20"/>
        </w:rPr>
        <w:t>International Journal of Climatology</w:t>
      </w:r>
      <w:r w:rsidRPr="00AC4AA1">
        <w:rPr>
          <w:sz w:val="20"/>
          <w:szCs w:val="20"/>
        </w:rPr>
        <w:t xml:space="preserve"> 2018, </w:t>
      </w:r>
      <w:r w:rsidRPr="00AC4AA1">
        <w:rPr>
          <w:b/>
          <w:sz w:val="20"/>
          <w:szCs w:val="20"/>
        </w:rPr>
        <w:t>38</w:t>
      </w:r>
      <w:r w:rsidRPr="00AC4AA1">
        <w:rPr>
          <w:sz w:val="20"/>
          <w:szCs w:val="20"/>
        </w:rPr>
        <w:t>(S1)</w:t>
      </w:r>
      <w:r w:rsidRPr="00AC4AA1">
        <w:rPr>
          <w:b/>
          <w:sz w:val="20"/>
          <w:szCs w:val="20"/>
        </w:rPr>
        <w:t>:</w:t>
      </w:r>
      <w:r w:rsidRPr="00AC4AA1">
        <w:rPr>
          <w:sz w:val="20"/>
          <w:szCs w:val="20"/>
        </w:rPr>
        <w:t xml:space="preserve"> e191-e208.</w:t>
      </w:r>
    </w:p>
    <w:p w14:paraId="6E5AC19E" w14:textId="77777777" w:rsidR="00777870" w:rsidRPr="00AC4AA1" w:rsidRDefault="00777870" w:rsidP="00AC4AA1">
      <w:pPr>
        <w:pStyle w:val="EndNoteBibliography"/>
        <w:ind w:left="426" w:hanging="426"/>
        <w:rPr>
          <w:sz w:val="20"/>
          <w:szCs w:val="20"/>
        </w:rPr>
      </w:pPr>
      <w:r w:rsidRPr="00AC4AA1">
        <w:rPr>
          <w:sz w:val="20"/>
          <w:szCs w:val="20"/>
        </w:rPr>
        <w:t>6.</w:t>
      </w:r>
      <w:r w:rsidRPr="00AC4AA1">
        <w:rPr>
          <w:sz w:val="20"/>
          <w:szCs w:val="20"/>
        </w:rPr>
        <w:tab/>
        <w:t xml:space="preserve">Cullen JM, Allwood JM, Borgstein EH. Reducing Energy Demand: What Are the Practical Limits? </w:t>
      </w:r>
      <w:r w:rsidRPr="00AC4AA1">
        <w:rPr>
          <w:i/>
          <w:sz w:val="20"/>
          <w:szCs w:val="20"/>
        </w:rPr>
        <w:t>Environmental Science &amp; Technology</w:t>
      </w:r>
      <w:r w:rsidRPr="00AC4AA1">
        <w:rPr>
          <w:sz w:val="20"/>
          <w:szCs w:val="20"/>
        </w:rPr>
        <w:t xml:space="preserve"> 2011, </w:t>
      </w:r>
      <w:r w:rsidRPr="00AC4AA1">
        <w:rPr>
          <w:b/>
          <w:sz w:val="20"/>
          <w:szCs w:val="20"/>
        </w:rPr>
        <w:t>45</w:t>
      </w:r>
      <w:r w:rsidRPr="00AC4AA1">
        <w:rPr>
          <w:sz w:val="20"/>
          <w:szCs w:val="20"/>
        </w:rPr>
        <w:t>(4)</w:t>
      </w:r>
      <w:r w:rsidRPr="00AC4AA1">
        <w:rPr>
          <w:b/>
          <w:sz w:val="20"/>
          <w:szCs w:val="20"/>
        </w:rPr>
        <w:t>:</w:t>
      </w:r>
      <w:r w:rsidRPr="00AC4AA1">
        <w:rPr>
          <w:sz w:val="20"/>
          <w:szCs w:val="20"/>
        </w:rPr>
        <w:t xml:space="preserve"> 1711-1718.</w:t>
      </w:r>
    </w:p>
    <w:p w14:paraId="349B12C3" w14:textId="77777777" w:rsidR="00777870" w:rsidRPr="00AC4AA1" w:rsidRDefault="00777870" w:rsidP="00AC4AA1">
      <w:pPr>
        <w:pStyle w:val="EndNoteBibliography"/>
        <w:ind w:left="426" w:hanging="426"/>
        <w:rPr>
          <w:sz w:val="20"/>
          <w:szCs w:val="20"/>
        </w:rPr>
      </w:pPr>
      <w:r w:rsidRPr="00AC4AA1">
        <w:rPr>
          <w:sz w:val="20"/>
          <w:szCs w:val="20"/>
        </w:rPr>
        <w:t>7.</w:t>
      </w:r>
      <w:r w:rsidRPr="00AC4AA1">
        <w:rPr>
          <w:sz w:val="20"/>
          <w:szCs w:val="20"/>
        </w:rPr>
        <w:tab/>
        <w:t>GBPN. Tool for Building Energy Performance Scenarios. In: Network GBP, editor. Centre for Climate Change and Sustainable Energy Policy (3CSEP), Central European University; 2012.</w:t>
      </w:r>
    </w:p>
    <w:p w14:paraId="30F1F23D" w14:textId="77777777" w:rsidR="00777870" w:rsidRPr="00AC4AA1" w:rsidRDefault="00777870" w:rsidP="00AC4AA1">
      <w:pPr>
        <w:pStyle w:val="EndNoteBibliography"/>
        <w:ind w:left="426" w:hanging="426"/>
        <w:rPr>
          <w:sz w:val="20"/>
          <w:szCs w:val="20"/>
        </w:rPr>
      </w:pPr>
      <w:r w:rsidRPr="00AC4AA1">
        <w:rPr>
          <w:sz w:val="20"/>
          <w:szCs w:val="20"/>
        </w:rPr>
        <w:t>8.</w:t>
      </w:r>
      <w:r w:rsidRPr="00AC4AA1">
        <w:rPr>
          <w:sz w:val="20"/>
          <w:szCs w:val="20"/>
        </w:rPr>
        <w:tab/>
        <w:t>DOE. Life-Cycle Assessment of Energy and Environmental Impacts of LED Lighting Products; Part I: Review of the Life-Cycle Energy Consumption of Incandescent, Compact Fluorescent, and LED Lamps: U.S. Department of Energy; 2012.</w:t>
      </w:r>
    </w:p>
    <w:p w14:paraId="7BC8D3D1" w14:textId="77777777" w:rsidR="00777870" w:rsidRPr="00AC4AA1" w:rsidRDefault="00777870" w:rsidP="00AC4AA1">
      <w:pPr>
        <w:pStyle w:val="EndNoteBibliography"/>
        <w:ind w:left="426" w:hanging="426"/>
        <w:rPr>
          <w:sz w:val="20"/>
          <w:szCs w:val="20"/>
        </w:rPr>
      </w:pPr>
      <w:r w:rsidRPr="00AC4AA1">
        <w:rPr>
          <w:sz w:val="20"/>
          <w:szCs w:val="20"/>
        </w:rPr>
        <w:t>9.</w:t>
      </w:r>
      <w:r w:rsidRPr="00AC4AA1">
        <w:rPr>
          <w:sz w:val="20"/>
          <w:szCs w:val="20"/>
        </w:rPr>
        <w:tab/>
        <w:t xml:space="preserve">Gleick PH. Basic Water Requirements for Human Activities: Meeting Basic Needs. </w:t>
      </w:r>
      <w:r w:rsidRPr="00AC4AA1">
        <w:rPr>
          <w:i/>
          <w:sz w:val="20"/>
          <w:szCs w:val="20"/>
        </w:rPr>
        <w:t>Water International</w:t>
      </w:r>
      <w:r w:rsidRPr="00AC4AA1">
        <w:rPr>
          <w:sz w:val="20"/>
          <w:szCs w:val="20"/>
        </w:rPr>
        <w:t xml:space="preserve"> 1996, </w:t>
      </w:r>
      <w:r w:rsidRPr="00AC4AA1">
        <w:rPr>
          <w:b/>
          <w:sz w:val="20"/>
          <w:szCs w:val="20"/>
        </w:rPr>
        <w:t>21</w:t>
      </w:r>
      <w:r w:rsidRPr="00AC4AA1">
        <w:rPr>
          <w:sz w:val="20"/>
          <w:szCs w:val="20"/>
        </w:rPr>
        <w:t>(2)</w:t>
      </w:r>
      <w:r w:rsidRPr="00AC4AA1">
        <w:rPr>
          <w:b/>
          <w:sz w:val="20"/>
          <w:szCs w:val="20"/>
        </w:rPr>
        <w:t>:</w:t>
      </w:r>
      <w:r w:rsidRPr="00AC4AA1">
        <w:rPr>
          <w:sz w:val="20"/>
          <w:szCs w:val="20"/>
        </w:rPr>
        <w:t xml:space="preserve"> 83-92.</w:t>
      </w:r>
    </w:p>
    <w:p w14:paraId="4DA5A94B" w14:textId="77777777" w:rsidR="00777870" w:rsidRPr="00AC4AA1" w:rsidRDefault="00777870" w:rsidP="00AC4AA1">
      <w:pPr>
        <w:pStyle w:val="EndNoteBibliography"/>
        <w:ind w:left="426" w:hanging="426"/>
        <w:rPr>
          <w:sz w:val="20"/>
          <w:szCs w:val="20"/>
        </w:rPr>
      </w:pPr>
      <w:r w:rsidRPr="00AC4AA1">
        <w:rPr>
          <w:sz w:val="20"/>
          <w:szCs w:val="20"/>
        </w:rPr>
        <w:t>10.</w:t>
      </w:r>
      <w:r w:rsidRPr="00AC4AA1">
        <w:rPr>
          <w:sz w:val="20"/>
          <w:szCs w:val="20"/>
        </w:rPr>
        <w:tab/>
        <w:t xml:space="preserve">Plappally AK, Lienhard V JH. Energy requirements for water production, treatment, end use, reclamation, and disposal. </w:t>
      </w:r>
      <w:r w:rsidRPr="00AC4AA1">
        <w:rPr>
          <w:i/>
          <w:sz w:val="20"/>
          <w:szCs w:val="20"/>
        </w:rPr>
        <w:t>Renewable and Sustainable Energy Reviews</w:t>
      </w:r>
      <w:r w:rsidRPr="00AC4AA1">
        <w:rPr>
          <w:sz w:val="20"/>
          <w:szCs w:val="20"/>
        </w:rPr>
        <w:t xml:space="preserve"> 2012, </w:t>
      </w:r>
      <w:r w:rsidRPr="00AC4AA1">
        <w:rPr>
          <w:b/>
          <w:sz w:val="20"/>
          <w:szCs w:val="20"/>
        </w:rPr>
        <w:t>16</w:t>
      </w:r>
      <w:r w:rsidRPr="00AC4AA1">
        <w:rPr>
          <w:sz w:val="20"/>
          <w:szCs w:val="20"/>
        </w:rPr>
        <w:t>(7)</w:t>
      </w:r>
      <w:r w:rsidRPr="00AC4AA1">
        <w:rPr>
          <w:b/>
          <w:sz w:val="20"/>
          <w:szCs w:val="20"/>
        </w:rPr>
        <w:t>:</w:t>
      </w:r>
      <w:r w:rsidRPr="00AC4AA1">
        <w:rPr>
          <w:sz w:val="20"/>
          <w:szCs w:val="20"/>
        </w:rPr>
        <w:t xml:space="preserve"> 4818-4848.</w:t>
      </w:r>
    </w:p>
    <w:p w14:paraId="679756FE" w14:textId="77777777" w:rsidR="00777870" w:rsidRPr="00AC4AA1" w:rsidRDefault="00777870" w:rsidP="00AC4AA1">
      <w:pPr>
        <w:pStyle w:val="EndNoteBibliography"/>
        <w:ind w:left="426" w:hanging="426"/>
        <w:rPr>
          <w:sz w:val="20"/>
          <w:szCs w:val="20"/>
        </w:rPr>
      </w:pPr>
      <w:r w:rsidRPr="00AC4AA1">
        <w:rPr>
          <w:sz w:val="20"/>
          <w:szCs w:val="20"/>
        </w:rPr>
        <w:t>11.</w:t>
      </w:r>
      <w:r w:rsidRPr="00AC4AA1">
        <w:rPr>
          <w:sz w:val="20"/>
          <w:szCs w:val="20"/>
        </w:rPr>
        <w:tab/>
        <w:t xml:space="preserve">Mo W, Zhang Q, Mihelcic JR, Hokanson DR. Embodied energy comparison of surface water and groundwater supply options. </w:t>
      </w:r>
      <w:r w:rsidRPr="00AC4AA1">
        <w:rPr>
          <w:i/>
          <w:sz w:val="20"/>
          <w:szCs w:val="20"/>
        </w:rPr>
        <w:t>Water Research</w:t>
      </w:r>
      <w:r w:rsidRPr="00AC4AA1">
        <w:rPr>
          <w:sz w:val="20"/>
          <w:szCs w:val="20"/>
        </w:rPr>
        <w:t xml:space="preserve"> 2011, </w:t>
      </w:r>
      <w:r w:rsidRPr="00AC4AA1">
        <w:rPr>
          <w:b/>
          <w:sz w:val="20"/>
          <w:szCs w:val="20"/>
        </w:rPr>
        <w:t>45</w:t>
      </w:r>
      <w:r w:rsidRPr="00AC4AA1">
        <w:rPr>
          <w:sz w:val="20"/>
          <w:szCs w:val="20"/>
        </w:rPr>
        <w:t>(17)</w:t>
      </w:r>
      <w:r w:rsidRPr="00AC4AA1">
        <w:rPr>
          <w:b/>
          <w:sz w:val="20"/>
          <w:szCs w:val="20"/>
        </w:rPr>
        <w:t>:</w:t>
      </w:r>
      <w:r w:rsidRPr="00AC4AA1">
        <w:rPr>
          <w:sz w:val="20"/>
          <w:szCs w:val="20"/>
        </w:rPr>
        <w:t xml:space="preserve"> 5577-5586.</w:t>
      </w:r>
    </w:p>
    <w:p w14:paraId="78FEB5C7" w14:textId="77777777" w:rsidR="00777870" w:rsidRPr="00AC4AA1" w:rsidRDefault="00777870" w:rsidP="00AC4AA1">
      <w:pPr>
        <w:pStyle w:val="EndNoteBibliography"/>
        <w:ind w:left="426" w:hanging="426"/>
        <w:rPr>
          <w:sz w:val="20"/>
          <w:szCs w:val="20"/>
        </w:rPr>
      </w:pPr>
      <w:r w:rsidRPr="00AC4AA1">
        <w:rPr>
          <w:sz w:val="20"/>
          <w:szCs w:val="20"/>
        </w:rPr>
        <w:t>12.</w:t>
      </w:r>
      <w:r w:rsidRPr="00AC4AA1">
        <w:rPr>
          <w:sz w:val="20"/>
          <w:szCs w:val="20"/>
        </w:rPr>
        <w:tab/>
        <w:t xml:space="preserve">Godskesen B, Hauschild M, Rygaard M, Zambrano K, Albrechtsen HJ. Life-cycle and freshwater withdrawal impact assessment of water supply technologies. </w:t>
      </w:r>
      <w:r w:rsidRPr="00AC4AA1">
        <w:rPr>
          <w:i/>
          <w:sz w:val="20"/>
          <w:szCs w:val="20"/>
        </w:rPr>
        <w:t>Water Research</w:t>
      </w:r>
      <w:r w:rsidRPr="00AC4AA1">
        <w:rPr>
          <w:sz w:val="20"/>
          <w:szCs w:val="20"/>
        </w:rPr>
        <w:t xml:space="preserve"> 2013, </w:t>
      </w:r>
      <w:r w:rsidRPr="00AC4AA1">
        <w:rPr>
          <w:b/>
          <w:sz w:val="20"/>
          <w:szCs w:val="20"/>
        </w:rPr>
        <w:t>47</w:t>
      </w:r>
      <w:r w:rsidRPr="00AC4AA1">
        <w:rPr>
          <w:sz w:val="20"/>
          <w:szCs w:val="20"/>
        </w:rPr>
        <w:t>(7)</w:t>
      </w:r>
      <w:r w:rsidRPr="00AC4AA1">
        <w:rPr>
          <w:b/>
          <w:sz w:val="20"/>
          <w:szCs w:val="20"/>
        </w:rPr>
        <w:t>:</w:t>
      </w:r>
      <w:r w:rsidRPr="00AC4AA1">
        <w:rPr>
          <w:sz w:val="20"/>
          <w:szCs w:val="20"/>
        </w:rPr>
        <w:t xml:space="preserve"> 2363-2374.</w:t>
      </w:r>
    </w:p>
    <w:p w14:paraId="3F3294C1" w14:textId="77777777" w:rsidR="00777870" w:rsidRPr="00AC4AA1" w:rsidRDefault="00777870" w:rsidP="00AC4AA1">
      <w:pPr>
        <w:pStyle w:val="EndNoteBibliography"/>
        <w:ind w:left="426" w:hanging="426"/>
        <w:rPr>
          <w:sz w:val="20"/>
          <w:szCs w:val="20"/>
        </w:rPr>
      </w:pPr>
      <w:r w:rsidRPr="00AC4AA1">
        <w:rPr>
          <w:sz w:val="20"/>
          <w:szCs w:val="20"/>
        </w:rPr>
        <w:t>13.</w:t>
      </w:r>
      <w:r w:rsidRPr="00AC4AA1">
        <w:rPr>
          <w:sz w:val="20"/>
          <w:szCs w:val="20"/>
        </w:rPr>
        <w:tab/>
        <w:t xml:space="preserve">Rothausen SGSA, Conway D. Greenhouse-gas emissions from energy use in the water sector. </w:t>
      </w:r>
      <w:r w:rsidRPr="00AC4AA1">
        <w:rPr>
          <w:i/>
          <w:sz w:val="20"/>
          <w:szCs w:val="20"/>
        </w:rPr>
        <w:t>Nature Climate Change</w:t>
      </w:r>
      <w:r w:rsidRPr="00AC4AA1">
        <w:rPr>
          <w:sz w:val="20"/>
          <w:szCs w:val="20"/>
        </w:rPr>
        <w:t xml:space="preserve"> 2011, </w:t>
      </w:r>
      <w:r w:rsidRPr="00AC4AA1">
        <w:rPr>
          <w:b/>
          <w:sz w:val="20"/>
          <w:szCs w:val="20"/>
        </w:rPr>
        <w:t>1</w:t>
      </w:r>
      <w:r w:rsidRPr="00AC4AA1">
        <w:rPr>
          <w:sz w:val="20"/>
          <w:szCs w:val="20"/>
        </w:rPr>
        <w:t>(4)</w:t>
      </w:r>
      <w:r w:rsidRPr="00AC4AA1">
        <w:rPr>
          <w:b/>
          <w:sz w:val="20"/>
          <w:szCs w:val="20"/>
        </w:rPr>
        <w:t>:</w:t>
      </w:r>
      <w:r w:rsidRPr="00AC4AA1">
        <w:rPr>
          <w:sz w:val="20"/>
          <w:szCs w:val="20"/>
        </w:rPr>
        <w:t xml:space="preserve"> 210-219.</w:t>
      </w:r>
    </w:p>
    <w:p w14:paraId="32DEB534" w14:textId="77777777" w:rsidR="00777870" w:rsidRPr="00AC4AA1" w:rsidRDefault="00777870" w:rsidP="00AC4AA1">
      <w:pPr>
        <w:pStyle w:val="EndNoteBibliography"/>
        <w:ind w:left="426" w:hanging="426"/>
        <w:rPr>
          <w:sz w:val="20"/>
          <w:szCs w:val="20"/>
        </w:rPr>
      </w:pPr>
      <w:r w:rsidRPr="00AC4AA1">
        <w:rPr>
          <w:sz w:val="20"/>
          <w:szCs w:val="20"/>
        </w:rPr>
        <w:t>14.</w:t>
      </w:r>
      <w:r w:rsidRPr="00AC4AA1">
        <w:rPr>
          <w:sz w:val="20"/>
          <w:szCs w:val="20"/>
        </w:rPr>
        <w:tab/>
        <w:t xml:space="preserve">Ramesh T, Prakash R, Shukla KK. Life cycle energy analysis of buildings: An overview. </w:t>
      </w:r>
      <w:r w:rsidRPr="00AC4AA1">
        <w:rPr>
          <w:i/>
          <w:sz w:val="20"/>
          <w:szCs w:val="20"/>
        </w:rPr>
        <w:t>Energy and Buildings</w:t>
      </w:r>
      <w:r w:rsidRPr="00AC4AA1">
        <w:rPr>
          <w:sz w:val="20"/>
          <w:szCs w:val="20"/>
        </w:rPr>
        <w:t xml:space="preserve"> 2010, </w:t>
      </w:r>
      <w:r w:rsidRPr="00AC4AA1">
        <w:rPr>
          <w:b/>
          <w:sz w:val="20"/>
          <w:szCs w:val="20"/>
        </w:rPr>
        <w:t>42</w:t>
      </w:r>
      <w:r w:rsidRPr="00AC4AA1">
        <w:rPr>
          <w:sz w:val="20"/>
          <w:szCs w:val="20"/>
        </w:rPr>
        <w:t>(10)</w:t>
      </w:r>
      <w:r w:rsidRPr="00AC4AA1">
        <w:rPr>
          <w:b/>
          <w:sz w:val="20"/>
          <w:szCs w:val="20"/>
        </w:rPr>
        <w:t>:</w:t>
      </w:r>
      <w:r w:rsidRPr="00AC4AA1">
        <w:rPr>
          <w:sz w:val="20"/>
          <w:szCs w:val="20"/>
        </w:rPr>
        <w:t xml:space="preserve"> 1592-1600.</w:t>
      </w:r>
    </w:p>
    <w:p w14:paraId="49DD6707" w14:textId="77777777" w:rsidR="00777870" w:rsidRPr="00AC4AA1" w:rsidRDefault="00777870" w:rsidP="00AC4AA1">
      <w:pPr>
        <w:pStyle w:val="EndNoteBibliography"/>
        <w:ind w:left="426" w:hanging="426"/>
        <w:rPr>
          <w:sz w:val="20"/>
          <w:szCs w:val="20"/>
        </w:rPr>
      </w:pPr>
      <w:r w:rsidRPr="00AC4AA1">
        <w:rPr>
          <w:sz w:val="20"/>
          <w:szCs w:val="20"/>
        </w:rPr>
        <w:t>15.</w:t>
      </w:r>
      <w:r w:rsidRPr="00AC4AA1">
        <w:rPr>
          <w:sz w:val="20"/>
          <w:szCs w:val="20"/>
        </w:rPr>
        <w:tab/>
        <w:t xml:space="preserve">Cabeza LF, Rincón L, Vilariño V, Pérez G, Castell A. Life cycle assessment (LCA) and life cycle energy analysis (LCEA) of buildings and the building sector: A review. </w:t>
      </w:r>
      <w:r w:rsidRPr="00AC4AA1">
        <w:rPr>
          <w:i/>
          <w:sz w:val="20"/>
          <w:szCs w:val="20"/>
        </w:rPr>
        <w:t>Renewable and Sustainable Energy Reviews</w:t>
      </w:r>
      <w:r w:rsidRPr="00AC4AA1">
        <w:rPr>
          <w:sz w:val="20"/>
          <w:szCs w:val="20"/>
        </w:rPr>
        <w:t xml:space="preserve"> 2014, </w:t>
      </w:r>
      <w:r w:rsidRPr="00AC4AA1">
        <w:rPr>
          <w:b/>
          <w:sz w:val="20"/>
          <w:szCs w:val="20"/>
        </w:rPr>
        <w:t>29:</w:t>
      </w:r>
      <w:r w:rsidRPr="00AC4AA1">
        <w:rPr>
          <w:sz w:val="20"/>
          <w:szCs w:val="20"/>
        </w:rPr>
        <w:t xml:space="preserve"> 394-416.</w:t>
      </w:r>
    </w:p>
    <w:p w14:paraId="225CAC4E" w14:textId="77777777" w:rsidR="00777870" w:rsidRPr="00AC4AA1" w:rsidRDefault="00777870" w:rsidP="00AC4AA1">
      <w:pPr>
        <w:pStyle w:val="EndNoteBibliography"/>
        <w:ind w:left="426" w:hanging="426"/>
        <w:rPr>
          <w:sz w:val="20"/>
          <w:szCs w:val="20"/>
        </w:rPr>
      </w:pPr>
      <w:r w:rsidRPr="00AC4AA1">
        <w:rPr>
          <w:sz w:val="20"/>
          <w:szCs w:val="20"/>
        </w:rPr>
        <w:t>16.</w:t>
      </w:r>
      <w:r w:rsidRPr="00AC4AA1">
        <w:rPr>
          <w:sz w:val="20"/>
          <w:szCs w:val="20"/>
        </w:rPr>
        <w:tab/>
        <w:t xml:space="preserve">Nässén J, Hedenus F, Karlsson S, Holmberg J. Concrete vs. wood in buildings – An energy system approach. </w:t>
      </w:r>
      <w:r w:rsidRPr="00AC4AA1">
        <w:rPr>
          <w:i/>
          <w:sz w:val="20"/>
          <w:szCs w:val="20"/>
        </w:rPr>
        <w:t>Building and Environment</w:t>
      </w:r>
      <w:r w:rsidRPr="00AC4AA1">
        <w:rPr>
          <w:sz w:val="20"/>
          <w:szCs w:val="20"/>
        </w:rPr>
        <w:t xml:space="preserve"> 2012, </w:t>
      </w:r>
      <w:r w:rsidRPr="00AC4AA1">
        <w:rPr>
          <w:b/>
          <w:sz w:val="20"/>
          <w:szCs w:val="20"/>
        </w:rPr>
        <w:t>51</w:t>
      </w:r>
      <w:r w:rsidRPr="00AC4AA1">
        <w:rPr>
          <w:sz w:val="20"/>
          <w:szCs w:val="20"/>
        </w:rPr>
        <w:t>(Supplement C)</w:t>
      </w:r>
      <w:r w:rsidRPr="00AC4AA1">
        <w:rPr>
          <w:b/>
          <w:sz w:val="20"/>
          <w:szCs w:val="20"/>
        </w:rPr>
        <w:t>:</w:t>
      </w:r>
      <w:r w:rsidRPr="00AC4AA1">
        <w:rPr>
          <w:sz w:val="20"/>
          <w:szCs w:val="20"/>
        </w:rPr>
        <w:t xml:space="preserve"> 361-369.</w:t>
      </w:r>
    </w:p>
    <w:p w14:paraId="74EC776F" w14:textId="77777777" w:rsidR="00777870" w:rsidRPr="00AC4AA1" w:rsidRDefault="00777870" w:rsidP="00AC4AA1">
      <w:pPr>
        <w:pStyle w:val="EndNoteBibliography"/>
        <w:ind w:left="426" w:hanging="426"/>
        <w:rPr>
          <w:sz w:val="20"/>
          <w:szCs w:val="20"/>
        </w:rPr>
      </w:pPr>
      <w:r w:rsidRPr="00AC4AA1">
        <w:rPr>
          <w:sz w:val="20"/>
          <w:szCs w:val="20"/>
        </w:rPr>
        <w:t>17.</w:t>
      </w:r>
      <w:r w:rsidRPr="00AC4AA1">
        <w:rPr>
          <w:sz w:val="20"/>
          <w:szCs w:val="20"/>
        </w:rPr>
        <w:tab/>
        <w:t xml:space="preserve">Gustavsson L, Pingoud K, Sathre R. Carbon Dioxide Balance of Wood Substitution: Comparing Concrete- and Wood-Framed Buildings. </w:t>
      </w:r>
      <w:r w:rsidRPr="00AC4AA1">
        <w:rPr>
          <w:i/>
          <w:sz w:val="20"/>
          <w:szCs w:val="20"/>
        </w:rPr>
        <w:t>Mitigation and Adaptation Strategies for Global Change</w:t>
      </w:r>
      <w:r w:rsidRPr="00AC4AA1">
        <w:rPr>
          <w:sz w:val="20"/>
          <w:szCs w:val="20"/>
        </w:rPr>
        <w:t xml:space="preserve"> 2006, </w:t>
      </w:r>
      <w:r w:rsidRPr="00AC4AA1">
        <w:rPr>
          <w:b/>
          <w:sz w:val="20"/>
          <w:szCs w:val="20"/>
        </w:rPr>
        <w:t>11</w:t>
      </w:r>
      <w:r w:rsidRPr="00AC4AA1">
        <w:rPr>
          <w:sz w:val="20"/>
          <w:szCs w:val="20"/>
        </w:rPr>
        <w:t>(3)</w:t>
      </w:r>
      <w:r w:rsidRPr="00AC4AA1">
        <w:rPr>
          <w:b/>
          <w:sz w:val="20"/>
          <w:szCs w:val="20"/>
        </w:rPr>
        <w:t>:</w:t>
      </w:r>
      <w:r w:rsidRPr="00AC4AA1">
        <w:rPr>
          <w:sz w:val="20"/>
          <w:szCs w:val="20"/>
        </w:rPr>
        <w:t xml:space="preserve"> 667-691.</w:t>
      </w:r>
    </w:p>
    <w:p w14:paraId="4EB8EC04" w14:textId="77777777" w:rsidR="00777870" w:rsidRPr="00AC4AA1" w:rsidRDefault="00777870" w:rsidP="00AC4AA1">
      <w:pPr>
        <w:pStyle w:val="EndNoteBibliography"/>
        <w:ind w:left="426" w:hanging="426"/>
        <w:rPr>
          <w:sz w:val="20"/>
          <w:szCs w:val="20"/>
        </w:rPr>
      </w:pPr>
      <w:r w:rsidRPr="00AC4AA1">
        <w:rPr>
          <w:sz w:val="20"/>
          <w:szCs w:val="20"/>
        </w:rPr>
        <w:t>18.</w:t>
      </w:r>
      <w:r w:rsidRPr="00AC4AA1">
        <w:rPr>
          <w:sz w:val="20"/>
          <w:szCs w:val="20"/>
        </w:rPr>
        <w:tab/>
        <w:t xml:space="preserve">Gustavsson L, Sathre R. Energy and CO2 analysis of wood substitution in construction. </w:t>
      </w:r>
      <w:r w:rsidRPr="00AC4AA1">
        <w:rPr>
          <w:i/>
          <w:sz w:val="20"/>
          <w:szCs w:val="20"/>
        </w:rPr>
        <w:t>Climatic Change</w:t>
      </w:r>
      <w:r w:rsidRPr="00AC4AA1">
        <w:rPr>
          <w:sz w:val="20"/>
          <w:szCs w:val="20"/>
        </w:rPr>
        <w:t xml:space="preserve"> 2011, </w:t>
      </w:r>
      <w:r w:rsidRPr="00AC4AA1">
        <w:rPr>
          <w:b/>
          <w:sz w:val="20"/>
          <w:szCs w:val="20"/>
        </w:rPr>
        <w:t>105</w:t>
      </w:r>
      <w:r w:rsidRPr="00AC4AA1">
        <w:rPr>
          <w:sz w:val="20"/>
          <w:szCs w:val="20"/>
        </w:rPr>
        <w:t>(1)</w:t>
      </w:r>
      <w:r w:rsidRPr="00AC4AA1">
        <w:rPr>
          <w:b/>
          <w:sz w:val="20"/>
          <w:szCs w:val="20"/>
        </w:rPr>
        <w:t>:</w:t>
      </w:r>
      <w:r w:rsidRPr="00AC4AA1">
        <w:rPr>
          <w:sz w:val="20"/>
          <w:szCs w:val="20"/>
        </w:rPr>
        <w:t xml:space="preserve"> 129-153.</w:t>
      </w:r>
    </w:p>
    <w:p w14:paraId="01366F09" w14:textId="77777777" w:rsidR="00777870" w:rsidRPr="00AC4AA1" w:rsidRDefault="00777870" w:rsidP="00AC4AA1">
      <w:pPr>
        <w:pStyle w:val="EndNoteBibliography"/>
        <w:ind w:left="426" w:hanging="426"/>
        <w:rPr>
          <w:sz w:val="20"/>
          <w:szCs w:val="20"/>
        </w:rPr>
      </w:pPr>
      <w:r w:rsidRPr="00AC4AA1">
        <w:rPr>
          <w:sz w:val="20"/>
          <w:szCs w:val="20"/>
        </w:rPr>
        <w:t>19.</w:t>
      </w:r>
      <w:r w:rsidRPr="00AC4AA1">
        <w:rPr>
          <w:sz w:val="20"/>
          <w:szCs w:val="20"/>
        </w:rPr>
        <w:tab/>
        <w:t xml:space="preserve">Purnell P. Material Nature versus Structural Nurture: The Embodied Carbon of Fundamental Structural Elements. </w:t>
      </w:r>
      <w:r w:rsidRPr="00AC4AA1">
        <w:rPr>
          <w:i/>
          <w:sz w:val="20"/>
          <w:szCs w:val="20"/>
        </w:rPr>
        <w:t>Environmental Science &amp; Technology</w:t>
      </w:r>
      <w:r w:rsidRPr="00AC4AA1">
        <w:rPr>
          <w:sz w:val="20"/>
          <w:szCs w:val="20"/>
        </w:rPr>
        <w:t xml:space="preserve"> 2012, </w:t>
      </w:r>
      <w:r w:rsidRPr="00AC4AA1">
        <w:rPr>
          <w:b/>
          <w:sz w:val="20"/>
          <w:szCs w:val="20"/>
        </w:rPr>
        <w:t>46</w:t>
      </w:r>
      <w:r w:rsidRPr="00AC4AA1">
        <w:rPr>
          <w:sz w:val="20"/>
          <w:szCs w:val="20"/>
        </w:rPr>
        <w:t>(1)</w:t>
      </w:r>
      <w:r w:rsidRPr="00AC4AA1">
        <w:rPr>
          <w:b/>
          <w:sz w:val="20"/>
          <w:szCs w:val="20"/>
        </w:rPr>
        <w:t>:</w:t>
      </w:r>
      <w:r w:rsidRPr="00AC4AA1">
        <w:rPr>
          <w:sz w:val="20"/>
          <w:szCs w:val="20"/>
        </w:rPr>
        <w:t xml:space="preserve"> 454-461.</w:t>
      </w:r>
    </w:p>
    <w:p w14:paraId="76073198" w14:textId="77777777" w:rsidR="00777870" w:rsidRPr="00AC4AA1" w:rsidRDefault="00777870" w:rsidP="00AC4AA1">
      <w:pPr>
        <w:pStyle w:val="EndNoteBibliography"/>
        <w:ind w:left="426" w:hanging="426"/>
        <w:rPr>
          <w:sz w:val="20"/>
          <w:szCs w:val="20"/>
        </w:rPr>
      </w:pPr>
      <w:r w:rsidRPr="00AC4AA1">
        <w:rPr>
          <w:sz w:val="20"/>
          <w:szCs w:val="20"/>
        </w:rPr>
        <w:t>20.</w:t>
      </w:r>
      <w:r w:rsidRPr="00AC4AA1">
        <w:rPr>
          <w:sz w:val="20"/>
          <w:szCs w:val="20"/>
        </w:rPr>
        <w:tab/>
        <w:t>Sathre R, Dodoo A, Gustavsson L, Lippke B, Marland G, Masanet E</w:t>
      </w:r>
      <w:r w:rsidRPr="00AC4AA1">
        <w:rPr>
          <w:i/>
          <w:sz w:val="20"/>
          <w:szCs w:val="20"/>
        </w:rPr>
        <w:t>, et al.</w:t>
      </w:r>
      <w:r w:rsidRPr="00AC4AA1">
        <w:rPr>
          <w:sz w:val="20"/>
          <w:szCs w:val="20"/>
        </w:rPr>
        <w:t xml:space="preserve"> Comment on “Material Nature versus Structural Nurture: The Embodied Carbon of Fundamental Structural Elements”. </w:t>
      </w:r>
      <w:r w:rsidRPr="00AC4AA1">
        <w:rPr>
          <w:i/>
          <w:sz w:val="20"/>
          <w:szCs w:val="20"/>
        </w:rPr>
        <w:t>Environmental Science &amp; Technology</w:t>
      </w:r>
      <w:r w:rsidRPr="00AC4AA1">
        <w:rPr>
          <w:sz w:val="20"/>
          <w:szCs w:val="20"/>
        </w:rPr>
        <w:t xml:space="preserve"> 2012, </w:t>
      </w:r>
      <w:r w:rsidRPr="00AC4AA1">
        <w:rPr>
          <w:b/>
          <w:sz w:val="20"/>
          <w:szCs w:val="20"/>
        </w:rPr>
        <w:t>46</w:t>
      </w:r>
      <w:r w:rsidRPr="00AC4AA1">
        <w:rPr>
          <w:sz w:val="20"/>
          <w:szCs w:val="20"/>
        </w:rPr>
        <w:t>(6)</w:t>
      </w:r>
      <w:r w:rsidRPr="00AC4AA1">
        <w:rPr>
          <w:b/>
          <w:sz w:val="20"/>
          <w:szCs w:val="20"/>
        </w:rPr>
        <w:t>:</w:t>
      </w:r>
      <w:r w:rsidRPr="00AC4AA1">
        <w:rPr>
          <w:sz w:val="20"/>
          <w:szCs w:val="20"/>
        </w:rPr>
        <w:t xml:space="preserve"> 3595-3596.</w:t>
      </w:r>
    </w:p>
    <w:p w14:paraId="159FB0BE" w14:textId="77777777" w:rsidR="00777870" w:rsidRPr="00AC4AA1" w:rsidRDefault="00777870" w:rsidP="00AC4AA1">
      <w:pPr>
        <w:pStyle w:val="EndNoteBibliography"/>
        <w:ind w:left="426" w:hanging="426"/>
        <w:rPr>
          <w:sz w:val="20"/>
          <w:szCs w:val="20"/>
        </w:rPr>
      </w:pPr>
      <w:r w:rsidRPr="00AC4AA1">
        <w:rPr>
          <w:rFonts w:hint="eastAsia"/>
          <w:sz w:val="20"/>
          <w:szCs w:val="20"/>
        </w:rPr>
        <w:t>21.</w:t>
      </w:r>
      <w:r w:rsidRPr="00AC4AA1">
        <w:rPr>
          <w:rFonts w:hint="eastAsia"/>
          <w:sz w:val="20"/>
          <w:szCs w:val="20"/>
        </w:rPr>
        <w:tab/>
        <w:t>IEA/UN. 2018 Global Status Report: towards a zero</w:t>
      </w:r>
      <w:r w:rsidRPr="00AC4AA1">
        <w:rPr>
          <w:rFonts w:hint="eastAsia"/>
          <w:sz w:val="20"/>
          <w:szCs w:val="20"/>
        </w:rPr>
        <w:t>‐</w:t>
      </w:r>
      <w:r w:rsidRPr="00AC4AA1">
        <w:rPr>
          <w:rFonts w:hint="eastAsia"/>
          <w:sz w:val="20"/>
          <w:szCs w:val="20"/>
        </w:rPr>
        <w:t>emission,</w:t>
      </w:r>
      <w:r w:rsidRPr="00AC4AA1">
        <w:rPr>
          <w:sz w:val="20"/>
          <w:szCs w:val="20"/>
        </w:rPr>
        <w:t xml:space="preserve"> efficient and resilient buildings and construction sector: International Energy Agency and the United Nations Environment Programme; 2018.</w:t>
      </w:r>
    </w:p>
    <w:p w14:paraId="5C6B75E5" w14:textId="77777777" w:rsidR="00777870" w:rsidRPr="00AC4AA1" w:rsidRDefault="00777870" w:rsidP="00AC4AA1">
      <w:pPr>
        <w:pStyle w:val="EndNoteBibliography"/>
        <w:ind w:left="426" w:hanging="426"/>
        <w:rPr>
          <w:sz w:val="20"/>
          <w:szCs w:val="20"/>
        </w:rPr>
      </w:pPr>
      <w:r w:rsidRPr="00AC4AA1">
        <w:rPr>
          <w:sz w:val="20"/>
          <w:szCs w:val="20"/>
        </w:rPr>
        <w:lastRenderedPageBreak/>
        <w:t>22.</w:t>
      </w:r>
      <w:r w:rsidRPr="00AC4AA1">
        <w:rPr>
          <w:sz w:val="20"/>
          <w:szCs w:val="20"/>
        </w:rPr>
        <w:tab/>
        <w:t xml:space="preserve">Pellegrini P, Fernández RJ. Crop intensification, land use, and on-farm energy-use efficiency during the worldwide spread of the green revolution. </w:t>
      </w:r>
      <w:r w:rsidRPr="00AC4AA1">
        <w:rPr>
          <w:i/>
          <w:sz w:val="20"/>
          <w:szCs w:val="20"/>
        </w:rPr>
        <w:t>Proceedings of the National Academy of Sciences</w:t>
      </w:r>
      <w:r w:rsidRPr="00AC4AA1">
        <w:rPr>
          <w:sz w:val="20"/>
          <w:szCs w:val="20"/>
        </w:rPr>
        <w:t xml:space="preserve"> 2018, </w:t>
      </w:r>
      <w:r w:rsidRPr="00AC4AA1">
        <w:rPr>
          <w:b/>
          <w:sz w:val="20"/>
          <w:szCs w:val="20"/>
        </w:rPr>
        <w:t>115</w:t>
      </w:r>
      <w:r w:rsidRPr="00AC4AA1">
        <w:rPr>
          <w:sz w:val="20"/>
          <w:szCs w:val="20"/>
        </w:rPr>
        <w:t>(10)</w:t>
      </w:r>
      <w:r w:rsidRPr="00AC4AA1">
        <w:rPr>
          <w:b/>
          <w:sz w:val="20"/>
          <w:szCs w:val="20"/>
        </w:rPr>
        <w:t>:</w:t>
      </w:r>
      <w:r w:rsidRPr="00AC4AA1">
        <w:rPr>
          <w:sz w:val="20"/>
          <w:szCs w:val="20"/>
        </w:rPr>
        <w:t xml:space="preserve"> 2335-2340.</w:t>
      </w:r>
    </w:p>
    <w:p w14:paraId="389E4C7A" w14:textId="77777777" w:rsidR="00777870" w:rsidRPr="00AC4AA1" w:rsidRDefault="00777870" w:rsidP="00AC4AA1">
      <w:pPr>
        <w:pStyle w:val="EndNoteBibliography"/>
        <w:ind w:left="426" w:hanging="426"/>
        <w:rPr>
          <w:sz w:val="20"/>
          <w:szCs w:val="20"/>
        </w:rPr>
      </w:pPr>
      <w:r w:rsidRPr="00AC4AA1">
        <w:rPr>
          <w:sz w:val="20"/>
          <w:szCs w:val="20"/>
        </w:rPr>
        <w:t>23.</w:t>
      </w:r>
      <w:r w:rsidRPr="00AC4AA1">
        <w:rPr>
          <w:sz w:val="20"/>
          <w:szCs w:val="20"/>
        </w:rPr>
        <w:tab/>
        <w:t xml:space="preserve">Woods J, Williams A, Hughes JK, Black M, Murphy R. Energy and the food system. 2010, </w:t>
      </w:r>
      <w:r w:rsidRPr="00AC4AA1">
        <w:rPr>
          <w:b/>
          <w:sz w:val="20"/>
          <w:szCs w:val="20"/>
        </w:rPr>
        <w:t>365</w:t>
      </w:r>
      <w:r w:rsidRPr="00AC4AA1">
        <w:rPr>
          <w:sz w:val="20"/>
          <w:szCs w:val="20"/>
        </w:rPr>
        <w:t>(1554)</w:t>
      </w:r>
      <w:r w:rsidRPr="00AC4AA1">
        <w:rPr>
          <w:b/>
          <w:sz w:val="20"/>
          <w:szCs w:val="20"/>
        </w:rPr>
        <w:t>:</w:t>
      </w:r>
      <w:r w:rsidRPr="00AC4AA1">
        <w:rPr>
          <w:sz w:val="20"/>
          <w:szCs w:val="20"/>
        </w:rPr>
        <w:t xml:space="preserve"> 2991-3006.</w:t>
      </w:r>
    </w:p>
    <w:p w14:paraId="341518E4" w14:textId="77777777" w:rsidR="00777870" w:rsidRPr="00AC4AA1" w:rsidRDefault="00777870" w:rsidP="00AC4AA1">
      <w:pPr>
        <w:pStyle w:val="EndNoteBibliography"/>
        <w:ind w:left="426" w:hanging="426"/>
        <w:rPr>
          <w:sz w:val="20"/>
          <w:szCs w:val="20"/>
        </w:rPr>
      </w:pPr>
      <w:r w:rsidRPr="00AC4AA1">
        <w:rPr>
          <w:sz w:val="20"/>
          <w:szCs w:val="20"/>
        </w:rPr>
        <w:t>24.</w:t>
      </w:r>
      <w:r w:rsidRPr="00AC4AA1">
        <w:rPr>
          <w:sz w:val="20"/>
          <w:szCs w:val="20"/>
        </w:rPr>
        <w:tab/>
        <w:t xml:space="preserve">Springmann M, Godfray HCJ, Rayner M, Scarborough P. Analysis and valuation of the health and climate change cobenefits of dietary change. </w:t>
      </w:r>
      <w:r w:rsidRPr="00AC4AA1">
        <w:rPr>
          <w:i/>
          <w:sz w:val="20"/>
          <w:szCs w:val="20"/>
        </w:rPr>
        <w:t>Proceedings of the National Academy of Sciences</w:t>
      </w:r>
      <w:r w:rsidRPr="00AC4AA1">
        <w:rPr>
          <w:sz w:val="20"/>
          <w:szCs w:val="20"/>
        </w:rPr>
        <w:t xml:space="preserve"> 2016, </w:t>
      </w:r>
      <w:r w:rsidRPr="00AC4AA1">
        <w:rPr>
          <w:b/>
          <w:sz w:val="20"/>
          <w:szCs w:val="20"/>
        </w:rPr>
        <w:t>113</w:t>
      </w:r>
      <w:r w:rsidRPr="00AC4AA1">
        <w:rPr>
          <w:sz w:val="20"/>
          <w:szCs w:val="20"/>
        </w:rPr>
        <w:t>(15)</w:t>
      </w:r>
      <w:r w:rsidRPr="00AC4AA1">
        <w:rPr>
          <w:b/>
          <w:sz w:val="20"/>
          <w:szCs w:val="20"/>
        </w:rPr>
        <w:t>:</w:t>
      </w:r>
      <w:r w:rsidRPr="00AC4AA1">
        <w:rPr>
          <w:sz w:val="20"/>
          <w:szCs w:val="20"/>
        </w:rPr>
        <w:t xml:space="preserve"> 4146-4151.</w:t>
      </w:r>
    </w:p>
    <w:p w14:paraId="6C26ADA5" w14:textId="77777777" w:rsidR="00777870" w:rsidRPr="00AC4AA1" w:rsidRDefault="00777870" w:rsidP="00AC4AA1">
      <w:pPr>
        <w:pStyle w:val="EndNoteBibliography"/>
        <w:ind w:left="426" w:hanging="426"/>
        <w:rPr>
          <w:sz w:val="20"/>
          <w:szCs w:val="20"/>
        </w:rPr>
      </w:pPr>
      <w:r w:rsidRPr="00AC4AA1">
        <w:rPr>
          <w:sz w:val="20"/>
          <w:szCs w:val="20"/>
        </w:rPr>
        <w:t>25.</w:t>
      </w:r>
      <w:r w:rsidRPr="00AC4AA1">
        <w:rPr>
          <w:sz w:val="20"/>
          <w:szCs w:val="20"/>
        </w:rPr>
        <w:tab/>
        <w:t>Willett W, Rockström J, Loken B, Springmann M, Lang T, Vermeulen S</w:t>
      </w:r>
      <w:r w:rsidRPr="00AC4AA1">
        <w:rPr>
          <w:i/>
          <w:sz w:val="20"/>
          <w:szCs w:val="20"/>
        </w:rPr>
        <w:t>, et al.</w:t>
      </w:r>
      <w:r w:rsidRPr="00AC4AA1">
        <w:rPr>
          <w:sz w:val="20"/>
          <w:szCs w:val="20"/>
        </w:rPr>
        <w:t xml:space="preserve"> Food in the Anthropocene: the EAT–Lancet Commission on healthy diets from sustainable food systems. </w:t>
      </w:r>
      <w:r w:rsidRPr="00AC4AA1">
        <w:rPr>
          <w:i/>
          <w:sz w:val="20"/>
          <w:szCs w:val="20"/>
        </w:rPr>
        <w:t>The Lancet</w:t>
      </w:r>
      <w:r w:rsidRPr="00AC4AA1">
        <w:rPr>
          <w:sz w:val="20"/>
          <w:szCs w:val="20"/>
        </w:rPr>
        <w:t xml:space="preserve"> 2019, </w:t>
      </w:r>
      <w:r w:rsidRPr="00AC4AA1">
        <w:rPr>
          <w:b/>
          <w:sz w:val="20"/>
          <w:szCs w:val="20"/>
        </w:rPr>
        <w:t>393</w:t>
      </w:r>
      <w:r w:rsidRPr="00AC4AA1">
        <w:rPr>
          <w:sz w:val="20"/>
          <w:szCs w:val="20"/>
        </w:rPr>
        <w:t>(10170)</w:t>
      </w:r>
      <w:r w:rsidRPr="00AC4AA1">
        <w:rPr>
          <w:b/>
          <w:sz w:val="20"/>
          <w:szCs w:val="20"/>
        </w:rPr>
        <w:t>:</w:t>
      </w:r>
      <w:r w:rsidRPr="00AC4AA1">
        <w:rPr>
          <w:sz w:val="20"/>
          <w:szCs w:val="20"/>
        </w:rPr>
        <w:t xml:space="preserve"> 447-492.</w:t>
      </w:r>
    </w:p>
    <w:p w14:paraId="6087D6CB" w14:textId="77777777" w:rsidR="00777870" w:rsidRPr="00AC4AA1" w:rsidRDefault="00777870" w:rsidP="00AC4AA1">
      <w:pPr>
        <w:pStyle w:val="EndNoteBibliography"/>
        <w:ind w:left="426" w:hanging="426"/>
        <w:rPr>
          <w:sz w:val="20"/>
          <w:szCs w:val="20"/>
        </w:rPr>
      </w:pPr>
      <w:r w:rsidRPr="00AC4AA1">
        <w:rPr>
          <w:sz w:val="20"/>
          <w:szCs w:val="20"/>
        </w:rPr>
        <w:t>26.</w:t>
      </w:r>
      <w:r w:rsidRPr="00AC4AA1">
        <w:rPr>
          <w:sz w:val="20"/>
          <w:szCs w:val="20"/>
        </w:rPr>
        <w:tab/>
        <w:t xml:space="preserve">Tilman D, Clark M. Global diets link environmental sustainability and human health. </w:t>
      </w:r>
      <w:r w:rsidRPr="00AC4AA1">
        <w:rPr>
          <w:i/>
          <w:sz w:val="20"/>
          <w:szCs w:val="20"/>
        </w:rPr>
        <w:t>Nature</w:t>
      </w:r>
      <w:r w:rsidRPr="00AC4AA1">
        <w:rPr>
          <w:sz w:val="20"/>
          <w:szCs w:val="20"/>
        </w:rPr>
        <w:t xml:space="preserve"> 2014, </w:t>
      </w:r>
      <w:r w:rsidRPr="00AC4AA1">
        <w:rPr>
          <w:b/>
          <w:sz w:val="20"/>
          <w:szCs w:val="20"/>
        </w:rPr>
        <w:t>515:</w:t>
      </w:r>
      <w:r w:rsidRPr="00AC4AA1">
        <w:rPr>
          <w:sz w:val="20"/>
          <w:szCs w:val="20"/>
        </w:rPr>
        <w:t xml:space="preserve"> 518.</w:t>
      </w:r>
    </w:p>
    <w:p w14:paraId="50CA15DC" w14:textId="77777777" w:rsidR="00777870" w:rsidRPr="00AC4AA1" w:rsidRDefault="00777870" w:rsidP="00AC4AA1">
      <w:pPr>
        <w:pStyle w:val="EndNoteBibliography"/>
        <w:ind w:left="426" w:hanging="426"/>
        <w:rPr>
          <w:sz w:val="20"/>
          <w:szCs w:val="20"/>
        </w:rPr>
      </w:pPr>
      <w:r w:rsidRPr="00AC4AA1">
        <w:rPr>
          <w:sz w:val="20"/>
          <w:szCs w:val="20"/>
        </w:rPr>
        <w:t>27.</w:t>
      </w:r>
      <w:r w:rsidRPr="00AC4AA1">
        <w:rPr>
          <w:sz w:val="20"/>
          <w:szCs w:val="20"/>
        </w:rPr>
        <w:tab/>
        <w:t>FAO. Energy-smart food for people and climate. Rome: Food and Agriculture Organization of the United Nations; 2011.</w:t>
      </w:r>
    </w:p>
    <w:p w14:paraId="259A2148" w14:textId="77777777" w:rsidR="00777870" w:rsidRPr="00AC4AA1" w:rsidRDefault="00777870" w:rsidP="00AC4AA1">
      <w:pPr>
        <w:pStyle w:val="EndNoteBibliography"/>
        <w:ind w:left="426" w:hanging="426"/>
        <w:rPr>
          <w:sz w:val="20"/>
          <w:szCs w:val="20"/>
        </w:rPr>
      </w:pPr>
      <w:r w:rsidRPr="00AC4AA1">
        <w:rPr>
          <w:sz w:val="20"/>
          <w:szCs w:val="20"/>
        </w:rPr>
        <w:t>28.</w:t>
      </w:r>
      <w:r w:rsidRPr="00AC4AA1">
        <w:rPr>
          <w:sz w:val="20"/>
          <w:szCs w:val="20"/>
        </w:rPr>
        <w:tab/>
        <w:t>Pelletier N, Audsley E, Brodt S, Garnett T, Henriksson P, Kendall A</w:t>
      </w:r>
      <w:r w:rsidRPr="00AC4AA1">
        <w:rPr>
          <w:i/>
          <w:sz w:val="20"/>
          <w:szCs w:val="20"/>
        </w:rPr>
        <w:t>, et al.</w:t>
      </w:r>
      <w:r w:rsidRPr="00AC4AA1">
        <w:rPr>
          <w:sz w:val="20"/>
          <w:szCs w:val="20"/>
        </w:rPr>
        <w:t xml:space="preserve"> Energy Intensity of Agriculture and Food Systems. 2011, </w:t>
      </w:r>
      <w:r w:rsidRPr="00AC4AA1">
        <w:rPr>
          <w:b/>
          <w:sz w:val="20"/>
          <w:szCs w:val="20"/>
        </w:rPr>
        <w:t>36</w:t>
      </w:r>
      <w:r w:rsidRPr="00AC4AA1">
        <w:rPr>
          <w:sz w:val="20"/>
          <w:szCs w:val="20"/>
        </w:rPr>
        <w:t>(1)</w:t>
      </w:r>
      <w:r w:rsidRPr="00AC4AA1">
        <w:rPr>
          <w:b/>
          <w:sz w:val="20"/>
          <w:szCs w:val="20"/>
        </w:rPr>
        <w:t>:</w:t>
      </w:r>
      <w:r w:rsidRPr="00AC4AA1">
        <w:rPr>
          <w:sz w:val="20"/>
          <w:szCs w:val="20"/>
        </w:rPr>
        <w:t xml:space="preserve"> 223-246.</w:t>
      </w:r>
    </w:p>
    <w:p w14:paraId="579CA17C" w14:textId="6BEC0159" w:rsidR="00777870" w:rsidRPr="00AC4AA1" w:rsidRDefault="00777870" w:rsidP="00AC4AA1">
      <w:pPr>
        <w:pStyle w:val="EndNoteBibliography"/>
        <w:ind w:left="426" w:hanging="426"/>
        <w:rPr>
          <w:sz w:val="20"/>
          <w:szCs w:val="20"/>
        </w:rPr>
      </w:pPr>
      <w:r w:rsidRPr="00AC4AA1">
        <w:rPr>
          <w:sz w:val="20"/>
          <w:szCs w:val="20"/>
        </w:rPr>
        <w:t>29.</w:t>
      </w:r>
      <w:r w:rsidRPr="00AC4AA1">
        <w:rPr>
          <w:sz w:val="20"/>
          <w:szCs w:val="20"/>
        </w:rPr>
        <w:tab/>
        <w:t>imeche. Global food: waste not, want not; http://www.imeche.org/knowledge/themes/environment/global-food. 2012.</w:t>
      </w:r>
    </w:p>
    <w:p w14:paraId="0515C1E0" w14:textId="77777777" w:rsidR="00777870" w:rsidRPr="00AC4AA1" w:rsidRDefault="00777870" w:rsidP="00AC4AA1">
      <w:pPr>
        <w:pStyle w:val="EndNoteBibliography"/>
        <w:ind w:left="426" w:hanging="426"/>
        <w:rPr>
          <w:sz w:val="20"/>
          <w:szCs w:val="20"/>
        </w:rPr>
      </w:pPr>
      <w:r w:rsidRPr="00AC4AA1">
        <w:rPr>
          <w:sz w:val="20"/>
          <w:szCs w:val="20"/>
        </w:rPr>
        <w:t>30.</w:t>
      </w:r>
      <w:r w:rsidRPr="00AC4AA1">
        <w:rPr>
          <w:sz w:val="20"/>
          <w:szCs w:val="20"/>
        </w:rPr>
        <w:tab/>
        <w:t xml:space="preserve">Papargyropoulou E, Lozano R, K. Steinberger J, Wright N, Ujang Zb. The food waste hierarchy as a framework for the management of food surplus and food waste. </w:t>
      </w:r>
      <w:r w:rsidRPr="00AC4AA1">
        <w:rPr>
          <w:i/>
          <w:sz w:val="20"/>
          <w:szCs w:val="20"/>
        </w:rPr>
        <w:t>J Clean Prod</w:t>
      </w:r>
      <w:r w:rsidRPr="00AC4AA1">
        <w:rPr>
          <w:sz w:val="20"/>
          <w:szCs w:val="20"/>
        </w:rPr>
        <w:t xml:space="preserve"> 2014, </w:t>
      </w:r>
      <w:r w:rsidRPr="00AC4AA1">
        <w:rPr>
          <w:b/>
          <w:sz w:val="20"/>
          <w:szCs w:val="20"/>
        </w:rPr>
        <w:t>76:</w:t>
      </w:r>
      <w:r w:rsidRPr="00AC4AA1">
        <w:rPr>
          <w:sz w:val="20"/>
          <w:szCs w:val="20"/>
        </w:rPr>
        <w:t xml:space="preserve"> 106-115.</w:t>
      </w:r>
    </w:p>
    <w:p w14:paraId="79B1BC28" w14:textId="77777777" w:rsidR="00777870" w:rsidRPr="00AC4AA1" w:rsidRDefault="00777870" w:rsidP="00AC4AA1">
      <w:pPr>
        <w:pStyle w:val="EndNoteBibliography"/>
        <w:ind w:left="426" w:hanging="426"/>
        <w:rPr>
          <w:sz w:val="20"/>
          <w:szCs w:val="20"/>
        </w:rPr>
      </w:pPr>
      <w:r w:rsidRPr="00AC4AA1">
        <w:rPr>
          <w:sz w:val="20"/>
          <w:szCs w:val="20"/>
        </w:rPr>
        <w:t>31.</w:t>
      </w:r>
      <w:r w:rsidRPr="00AC4AA1">
        <w:rPr>
          <w:sz w:val="20"/>
          <w:szCs w:val="20"/>
        </w:rPr>
        <w:tab/>
        <w:t xml:space="preserve">Parfitt J, Barthel M, Macnaughton S. Food waste within food supply chains: quantification and potential for change to 2050. 2010, </w:t>
      </w:r>
      <w:r w:rsidRPr="00AC4AA1">
        <w:rPr>
          <w:b/>
          <w:sz w:val="20"/>
          <w:szCs w:val="20"/>
        </w:rPr>
        <w:t>365</w:t>
      </w:r>
      <w:r w:rsidRPr="00AC4AA1">
        <w:rPr>
          <w:sz w:val="20"/>
          <w:szCs w:val="20"/>
        </w:rPr>
        <w:t>(1554)</w:t>
      </w:r>
      <w:r w:rsidRPr="00AC4AA1">
        <w:rPr>
          <w:b/>
          <w:sz w:val="20"/>
          <w:szCs w:val="20"/>
        </w:rPr>
        <w:t>:</w:t>
      </w:r>
      <w:r w:rsidRPr="00AC4AA1">
        <w:rPr>
          <w:sz w:val="20"/>
          <w:szCs w:val="20"/>
        </w:rPr>
        <w:t xml:space="preserve"> 3065-3081.</w:t>
      </w:r>
    </w:p>
    <w:p w14:paraId="4799DF73" w14:textId="77777777" w:rsidR="00777870" w:rsidRPr="00AC4AA1" w:rsidRDefault="00777870" w:rsidP="00AC4AA1">
      <w:pPr>
        <w:pStyle w:val="EndNoteBibliography"/>
        <w:ind w:left="426" w:hanging="426"/>
        <w:rPr>
          <w:sz w:val="20"/>
          <w:szCs w:val="20"/>
        </w:rPr>
      </w:pPr>
      <w:r w:rsidRPr="00AC4AA1">
        <w:rPr>
          <w:sz w:val="20"/>
          <w:szCs w:val="20"/>
        </w:rPr>
        <w:t>32.</w:t>
      </w:r>
      <w:r w:rsidRPr="00AC4AA1">
        <w:rPr>
          <w:sz w:val="20"/>
          <w:szCs w:val="20"/>
        </w:rPr>
        <w:tab/>
        <w:t xml:space="preserve">Ma J, Yin F, Liu Z, Zhou X. The Eco-design and Green Manufacturing of a Refrigerator. </w:t>
      </w:r>
      <w:r w:rsidRPr="00AC4AA1">
        <w:rPr>
          <w:i/>
          <w:sz w:val="20"/>
          <w:szCs w:val="20"/>
        </w:rPr>
        <w:t>Procedia Environmental Sciences</w:t>
      </w:r>
      <w:r w:rsidRPr="00AC4AA1">
        <w:rPr>
          <w:sz w:val="20"/>
          <w:szCs w:val="20"/>
        </w:rPr>
        <w:t xml:space="preserve"> 2012, </w:t>
      </w:r>
      <w:r w:rsidRPr="00AC4AA1">
        <w:rPr>
          <w:b/>
          <w:sz w:val="20"/>
          <w:szCs w:val="20"/>
        </w:rPr>
        <w:t>16:</w:t>
      </w:r>
      <w:r w:rsidRPr="00AC4AA1">
        <w:rPr>
          <w:sz w:val="20"/>
          <w:szCs w:val="20"/>
        </w:rPr>
        <w:t xml:space="preserve"> 522-529.</w:t>
      </w:r>
    </w:p>
    <w:p w14:paraId="0DA16884" w14:textId="77777777" w:rsidR="00777870" w:rsidRPr="00AC4AA1" w:rsidRDefault="00777870" w:rsidP="00AC4AA1">
      <w:pPr>
        <w:pStyle w:val="EndNoteBibliography"/>
        <w:ind w:left="426" w:hanging="426"/>
        <w:rPr>
          <w:sz w:val="20"/>
          <w:szCs w:val="20"/>
        </w:rPr>
      </w:pPr>
      <w:r w:rsidRPr="00AC4AA1">
        <w:rPr>
          <w:sz w:val="20"/>
          <w:szCs w:val="20"/>
        </w:rPr>
        <w:t>33.</w:t>
      </w:r>
      <w:r w:rsidRPr="00AC4AA1">
        <w:rPr>
          <w:sz w:val="20"/>
          <w:szCs w:val="20"/>
        </w:rPr>
        <w:tab/>
        <w:t xml:space="preserve">Pina C, Elduque D, Javierre C, Martínez E, Jiménez E. Influence of mechanical design on the evolution of the environmental impact of an induction hob. </w:t>
      </w:r>
      <w:r w:rsidRPr="00AC4AA1">
        <w:rPr>
          <w:i/>
          <w:sz w:val="20"/>
          <w:szCs w:val="20"/>
        </w:rPr>
        <w:t>The International Journal of Life Cycle Assessment</w:t>
      </w:r>
      <w:r w:rsidRPr="00AC4AA1">
        <w:rPr>
          <w:sz w:val="20"/>
          <w:szCs w:val="20"/>
        </w:rPr>
        <w:t xml:space="preserve"> 2015, </w:t>
      </w:r>
      <w:r w:rsidRPr="00AC4AA1">
        <w:rPr>
          <w:b/>
          <w:sz w:val="20"/>
          <w:szCs w:val="20"/>
        </w:rPr>
        <w:t>20</w:t>
      </w:r>
      <w:r w:rsidRPr="00AC4AA1">
        <w:rPr>
          <w:sz w:val="20"/>
          <w:szCs w:val="20"/>
        </w:rPr>
        <w:t>(7)</w:t>
      </w:r>
      <w:r w:rsidRPr="00AC4AA1">
        <w:rPr>
          <w:b/>
          <w:sz w:val="20"/>
          <w:szCs w:val="20"/>
        </w:rPr>
        <w:t>:</w:t>
      </w:r>
      <w:r w:rsidRPr="00AC4AA1">
        <w:rPr>
          <w:sz w:val="20"/>
          <w:szCs w:val="20"/>
        </w:rPr>
        <w:t xml:space="preserve"> 937-946.</w:t>
      </w:r>
    </w:p>
    <w:p w14:paraId="6F374FBC" w14:textId="77777777" w:rsidR="00777870" w:rsidRPr="00AC4AA1" w:rsidRDefault="00777870" w:rsidP="00AC4AA1">
      <w:pPr>
        <w:pStyle w:val="EndNoteBibliography"/>
        <w:ind w:left="426" w:hanging="426"/>
        <w:rPr>
          <w:sz w:val="20"/>
          <w:szCs w:val="20"/>
        </w:rPr>
      </w:pPr>
      <w:r w:rsidRPr="00AC4AA1">
        <w:rPr>
          <w:sz w:val="20"/>
          <w:szCs w:val="20"/>
        </w:rPr>
        <w:t>34.</w:t>
      </w:r>
      <w:r w:rsidRPr="00AC4AA1">
        <w:rPr>
          <w:sz w:val="20"/>
          <w:szCs w:val="20"/>
        </w:rPr>
        <w:tab/>
        <w:t xml:space="preserve">Landi D, Consolini A, Germani M, Favi C. Comparative life cycle assessment of electric and gas ovens in the Italian context: An environmental and technical evaluation. </w:t>
      </w:r>
      <w:r w:rsidRPr="00AC4AA1">
        <w:rPr>
          <w:i/>
          <w:sz w:val="20"/>
          <w:szCs w:val="20"/>
        </w:rPr>
        <w:t>J Clean Prod</w:t>
      </w:r>
      <w:r w:rsidRPr="00AC4AA1">
        <w:rPr>
          <w:sz w:val="20"/>
          <w:szCs w:val="20"/>
        </w:rPr>
        <w:t xml:space="preserve"> 2019, </w:t>
      </w:r>
      <w:r w:rsidRPr="00AC4AA1">
        <w:rPr>
          <w:b/>
          <w:sz w:val="20"/>
          <w:szCs w:val="20"/>
        </w:rPr>
        <w:t>221:</w:t>
      </w:r>
      <w:r w:rsidRPr="00AC4AA1">
        <w:rPr>
          <w:sz w:val="20"/>
          <w:szCs w:val="20"/>
        </w:rPr>
        <w:t xml:space="preserve"> 189-201.</w:t>
      </w:r>
    </w:p>
    <w:p w14:paraId="68CD0967" w14:textId="77777777" w:rsidR="00777870" w:rsidRPr="00AC4AA1" w:rsidRDefault="00777870" w:rsidP="00AC4AA1">
      <w:pPr>
        <w:pStyle w:val="EndNoteBibliography"/>
        <w:ind w:left="426" w:hanging="426"/>
        <w:rPr>
          <w:sz w:val="20"/>
          <w:szCs w:val="20"/>
        </w:rPr>
      </w:pPr>
      <w:r w:rsidRPr="00AC4AA1">
        <w:rPr>
          <w:sz w:val="20"/>
          <w:szCs w:val="20"/>
        </w:rPr>
        <w:t>35.</w:t>
      </w:r>
      <w:r w:rsidRPr="00AC4AA1">
        <w:rPr>
          <w:sz w:val="20"/>
          <w:szCs w:val="20"/>
        </w:rPr>
        <w:tab/>
        <w:t>IEA. Energy Technology Perspectives 2017: Catalysing Energy Technology Transformations OECD/IEA; 2017.</w:t>
      </w:r>
    </w:p>
    <w:p w14:paraId="4D86E9A2" w14:textId="77777777" w:rsidR="00777870" w:rsidRPr="00AC4AA1" w:rsidRDefault="00777870" w:rsidP="00AC4AA1">
      <w:pPr>
        <w:pStyle w:val="EndNoteBibliography"/>
        <w:ind w:left="426" w:hanging="426"/>
        <w:rPr>
          <w:sz w:val="20"/>
          <w:szCs w:val="20"/>
        </w:rPr>
      </w:pPr>
      <w:r w:rsidRPr="00AC4AA1">
        <w:rPr>
          <w:sz w:val="20"/>
          <w:szCs w:val="20"/>
        </w:rPr>
        <w:t>36.</w:t>
      </w:r>
      <w:r w:rsidRPr="00AC4AA1">
        <w:rPr>
          <w:sz w:val="20"/>
          <w:szCs w:val="20"/>
        </w:rPr>
        <w:tab/>
        <w:t xml:space="preserve">Chester M, Horvath A. Environmental assessment of passenger transportation should include infrastructure and supply chains. </w:t>
      </w:r>
      <w:r w:rsidRPr="00AC4AA1">
        <w:rPr>
          <w:i/>
          <w:sz w:val="20"/>
          <w:szCs w:val="20"/>
        </w:rPr>
        <w:t>Environmental Research Letters</w:t>
      </w:r>
      <w:r w:rsidRPr="00AC4AA1">
        <w:rPr>
          <w:sz w:val="20"/>
          <w:szCs w:val="20"/>
        </w:rPr>
        <w:t xml:space="preserve"> 2009, </w:t>
      </w:r>
      <w:r w:rsidRPr="00AC4AA1">
        <w:rPr>
          <w:b/>
          <w:sz w:val="20"/>
          <w:szCs w:val="20"/>
        </w:rPr>
        <w:t>4</w:t>
      </w:r>
      <w:r w:rsidRPr="00AC4AA1">
        <w:rPr>
          <w:sz w:val="20"/>
          <w:szCs w:val="20"/>
        </w:rPr>
        <w:t>(2)</w:t>
      </w:r>
      <w:r w:rsidRPr="00AC4AA1">
        <w:rPr>
          <w:b/>
          <w:sz w:val="20"/>
          <w:szCs w:val="20"/>
        </w:rPr>
        <w:t>:</w:t>
      </w:r>
      <w:r w:rsidRPr="00AC4AA1">
        <w:rPr>
          <w:sz w:val="20"/>
          <w:szCs w:val="20"/>
        </w:rPr>
        <w:t xml:space="preserve"> 024008.</w:t>
      </w:r>
    </w:p>
    <w:p w14:paraId="37A550E7" w14:textId="77777777" w:rsidR="00777870" w:rsidRPr="00AC4AA1" w:rsidRDefault="00777870" w:rsidP="00AC4AA1">
      <w:pPr>
        <w:pStyle w:val="EndNoteBibliography"/>
        <w:ind w:left="426" w:hanging="426"/>
        <w:rPr>
          <w:sz w:val="20"/>
          <w:szCs w:val="20"/>
        </w:rPr>
      </w:pPr>
      <w:r w:rsidRPr="00AC4AA1">
        <w:rPr>
          <w:sz w:val="20"/>
          <w:szCs w:val="20"/>
        </w:rPr>
        <w:t>37.</w:t>
      </w:r>
      <w:r w:rsidRPr="00AC4AA1">
        <w:rPr>
          <w:sz w:val="20"/>
          <w:szCs w:val="20"/>
        </w:rPr>
        <w:tab/>
        <w:t xml:space="preserve">Chester M, Pincetl S, Elizabeth Z, Eisenstein W, Matute J. Infrastructure and automobile shifts: positioning transit to reduce life-cycle environmental impacts for urban sustainability goals. </w:t>
      </w:r>
      <w:r w:rsidRPr="00AC4AA1">
        <w:rPr>
          <w:i/>
          <w:sz w:val="20"/>
          <w:szCs w:val="20"/>
        </w:rPr>
        <w:t>Environmental Research Letters</w:t>
      </w:r>
      <w:r w:rsidRPr="00AC4AA1">
        <w:rPr>
          <w:sz w:val="20"/>
          <w:szCs w:val="20"/>
        </w:rPr>
        <w:t xml:space="preserve"> 2013, </w:t>
      </w:r>
      <w:r w:rsidRPr="00AC4AA1">
        <w:rPr>
          <w:b/>
          <w:sz w:val="20"/>
          <w:szCs w:val="20"/>
        </w:rPr>
        <w:t>8</w:t>
      </w:r>
      <w:r w:rsidRPr="00AC4AA1">
        <w:rPr>
          <w:sz w:val="20"/>
          <w:szCs w:val="20"/>
        </w:rPr>
        <w:t>(1)</w:t>
      </w:r>
      <w:r w:rsidRPr="00AC4AA1">
        <w:rPr>
          <w:b/>
          <w:sz w:val="20"/>
          <w:szCs w:val="20"/>
        </w:rPr>
        <w:t>:</w:t>
      </w:r>
      <w:r w:rsidRPr="00AC4AA1">
        <w:rPr>
          <w:sz w:val="20"/>
          <w:szCs w:val="20"/>
        </w:rPr>
        <w:t xml:space="preserve"> 015041.</w:t>
      </w:r>
    </w:p>
    <w:p w14:paraId="1B4078F5" w14:textId="77777777" w:rsidR="00777870" w:rsidRPr="00AC4AA1" w:rsidRDefault="00777870" w:rsidP="00AC4AA1">
      <w:pPr>
        <w:pStyle w:val="EndNoteBibliography"/>
        <w:ind w:left="426" w:hanging="426"/>
        <w:rPr>
          <w:sz w:val="20"/>
          <w:szCs w:val="20"/>
        </w:rPr>
      </w:pPr>
      <w:r w:rsidRPr="00AC4AA1">
        <w:rPr>
          <w:sz w:val="20"/>
          <w:szCs w:val="20"/>
        </w:rPr>
        <w:t>38.</w:t>
      </w:r>
      <w:r w:rsidRPr="00AC4AA1">
        <w:rPr>
          <w:sz w:val="20"/>
          <w:szCs w:val="20"/>
        </w:rPr>
        <w:tab/>
        <w:t>Allwood J, Cullen J, Carruth M, Cooper D, McBrien M, Milford R</w:t>
      </w:r>
      <w:r w:rsidRPr="00AC4AA1">
        <w:rPr>
          <w:i/>
          <w:sz w:val="20"/>
          <w:szCs w:val="20"/>
        </w:rPr>
        <w:t>, et al.</w:t>
      </w:r>
      <w:r w:rsidRPr="00AC4AA1">
        <w:rPr>
          <w:sz w:val="20"/>
          <w:szCs w:val="20"/>
        </w:rPr>
        <w:t xml:space="preserve"> </w:t>
      </w:r>
      <w:r w:rsidRPr="00AC4AA1">
        <w:rPr>
          <w:i/>
          <w:sz w:val="20"/>
          <w:szCs w:val="20"/>
        </w:rPr>
        <w:t>Sustainable materials: with both eyes open</w:t>
      </w:r>
      <w:r w:rsidRPr="00AC4AA1">
        <w:rPr>
          <w:sz w:val="20"/>
          <w:szCs w:val="20"/>
        </w:rPr>
        <w:t>. Citeseer, 2012.</w:t>
      </w:r>
    </w:p>
    <w:p w14:paraId="4B9DD1DE" w14:textId="77777777" w:rsidR="00777870" w:rsidRPr="00AC4AA1" w:rsidRDefault="00777870" w:rsidP="00AC4AA1">
      <w:pPr>
        <w:pStyle w:val="EndNoteBibliography"/>
        <w:ind w:left="426" w:hanging="426"/>
        <w:rPr>
          <w:sz w:val="20"/>
          <w:szCs w:val="20"/>
        </w:rPr>
      </w:pPr>
      <w:r w:rsidRPr="00AC4AA1">
        <w:rPr>
          <w:sz w:val="20"/>
          <w:szCs w:val="20"/>
        </w:rPr>
        <w:t>39.</w:t>
      </w:r>
      <w:r w:rsidRPr="00AC4AA1">
        <w:rPr>
          <w:sz w:val="20"/>
          <w:szCs w:val="20"/>
        </w:rPr>
        <w:tab/>
        <w:t xml:space="preserve">Millward-Hopkins J, Zwirner O, Purnell P, Velis CA, Iacovidou E, Brown A. Resource recovery and low carbon transitions: The hidden impacts of substituting cement with imported ‘waste’ materials from coal and steel production. </w:t>
      </w:r>
      <w:r w:rsidRPr="00AC4AA1">
        <w:rPr>
          <w:i/>
          <w:sz w:val="20"/>
          <w:szCs w:val="20"/>
        </w:rPr>
        <w:t>Global Environmental Change</w:t>
      </w:r>
      <w:r w:rsidRPr="00AC4AA1">
        <w:rPr>
          <w:sz w:val="20"/>
          <w:szCs w:val="20"/>
        </w:rPr>
        <w:t xml:space="preserve"> 2018, </w:t>
      </w:r>
      <w:r w:rsidRPr="00AC4AA1">
        <w:rPr>
          <w:b/>
          <w:sz w:val="20"/>
          <w:szCs w:val="20"/>
        </w:rPr>
        <w:t>53:</w:t>
      </w:r>
      <w:r w:rsidRPr="00AC4AA1">
        <w:rPr>
          <w:sz w:val="20"/>
          <w:szCs w:val="20"/>
        </w:rPr>
        <w:t xml:space="preserve"> 146-156.</w:t>
      </w:r>
    </w:p>
    <w:p w14:paraId="6CFC7CEE" w14:textId="77777777" w:rsidR="00777870" w:rsidRPr="00AC4AA1" w:rsidRDefault="00777870" w:rsidP="00AC4AA1">
      <w:pPr>
        <w:pStyle w:val="EndNoteBibliography"/>
        <w:ind w:left="426" w:hanging="426"/>
        <w:rPr>
          <w:sz w:val="20"/>
          <w:szCs w:val="20"/>
        </w:rPr>
      </w:pPr>
      <w:r w:rsidRPr="00AC4AA1">
        <w:rPr>
          <w:sz w:val="20"/>
          <w:szCs w:val="20"/>
        </w:rPr>
        <w:t>40.</w:t>
      </w:r>
      <w:r w:rsidRPr="00AC4AA1">
        <w:rPr>
          <w:sz w:val="20"/>
          <w:szCs w:val="20"/>
        </w:rPr>
        <w:tab/>
        <w:t xml:space="preserve">Chester M, Horvath A. High-speed rail with emerging automobiles and aircraft can reduce environmental impacts in California’s future. </w:t>
      </w:r>
      <w:r w:rsidRPr="00AC4AA1">
        <w:rPr>
          <w:i/>
          <w:sz w:val="20"/>
          <w:szCs w:val="20"/>
        </w:rPr>
        <w:t>Environmental Research Letters</w:t>
      </w:r>
      <w:r w:rsidRPr="00AC4AA1">
        <w:rPr>
          <w:sz w:val="20"/>
          <w:szCs w:val="20"/>
        </w:rPr>
        <w:t xml:space="preserve"> 2012, </w:t>
      </w:r>
      <w:r w:rsidRPr="00AC4AA1">
        <w:rPr>
          <w:b/>
          <w:sz w:val="20"/>
          <w:szCs w:val="20"/>
        </w:rPr>
        <w:t>7</w:t>
      </w:r>
      <w:r w:rsidRPr="00AC4AA1">
        <w:rPr>
          <w:sz w:val="20"/>
          <w:szCs w:val="20"/>
        </w:rPr>
        <w:t>(3)</w:t>
      </w:r>
      <w:r w:rsidRPr="00AC4AA1">
        <w:rPr>
          <w:b/>
          <w:sz w:val="20"/>
          <w:szCs w:val="20"/>
        </w:rPr>
        <w:t>:</w:t>
      </w:r>
      <w:r w:rsidRPr="00AC4AA1">
        <w:rPr>
          <w:sz w:val="20"/>
          <w:szCs w:val="20"/>
        </w:rPr>
        <w:t xml:space="preserve"> 034012.</w:t>
      </w:r>
    </w:p>
    <w:p w14:paraId="3EBAB01B" w14:textId="77777777" w:rsidR="00777870" w:rsidRPr="00AC4AA1" w:rsidRDefault="00777870" w:rsidP="00AC4AA1">
      <w:pPr>
        <w:pStyle w:val="EndNoteBibliography"/>
        <w:ind w:left="426" w:hanging="426"/>
        <w:rPr>
          <w:sz w:val="20"/>
          <w:szCs w:val="20"/>
        </w:rPr>
      </w:pPr>
      <w:r w:rsidRPr="00AC4AA1">
        <w:rPr>
          <w:sz w:val="20"/>
          <w:szCs w:val="20"/>
        </w:rPr>
        <w:t>41.</w:t>
      </w:r>
      <w:r w:rsidRPr="00AC4AA1">
        <w:rPr>
          <w:sz w:val="20"/>
          <w:szCs w:val="20"/>
        </w:rPr>
        <w:tab/>
        <w:t>Ercan M, Malmodin J, Bergmark P, Kimfalk E, Nilsson E. Life Cycle Assessment of a Smartphone.  ICT for Sustainability 2016; 2016 2016/08: Atlantis Press; 2016.</w:t>
      </w:r>
    </w:p>
    <w:p w14:paraId="448A4530" w14:textId="77777777" w:rsidR="00777870" w:rsidRPr="00AC4AA1" w:rsidRDefault="00777870" w:rsidP="00AC4AA1">
      <w:pPr>
        <w:pStyle w:val="EndNoteBibliography"/>
        <w:ind w:left="426" w:hanging="426"/>
        <w:rPr>
          <w:sz w:val="20"/>
          <w:szCs w:val="20"/>
        </w:rPr>
      </w:pPr>
      <w:r w:rsidRPr="00AC4AA1">
        <w:rPr>
          <w:sz w:val="20"/>
          <w:szCs w:val="20"/>
        </w:rPr>
        <w:t>42.</w:t>
      </w:r>
      <w:r w:rsidRPr="00AC4AA1">
        <w:rPr>
          <w:sz w:val="20"/>
          <w:szCs w:val="20"/>
        </w:rPr>
        <w:tab/>
        <w:t xml:space="preserve">Proske M, Clemm C, Richter N, Fraunhofer I. Life cycle assessment of the Fairphone 2. </w:t>
      </w:r>
      <w:r w:rsidRPr="00AC4AA1">
        <w:rPr>
          <w:i/>
          <w:sz w:val="20"/>
          <w:szCs w:val="20"/>
        </w:rPr>
        <w:t>Fraunhofer IZM Berlin</w:t>
      </w:r>
      <w:r w:rsidRPr="00AC4AA1">
        <w:rPr>
          <w:sz w:val="20"/>
          <w:szCs w:val="20"/>
        </w:rPr>
        <w:t xml:space="preserve"> 2016.</w:t>
      </w:r>
    </w:p>
    <w:p w14:paraId="6E6A9C6C" w14:textId="77777777" w:rsidR="00777870" w:rsidRPr="00AC4AA1" w:rsidRDefault="00777870" w:rsidP="00AC4AA1">
      <w:pPr>
        <w:pStyle w:val="EndNoteBibliography"/>
        <w:ind w:left="426" w:hanging="426"/>
        <w:rPr>
          <w:sz w:val="20"/>
          <w:szCs w:val="20"/>
        </w:rPr>
      </w:pPr>
      <w:r w:rsidRPr="00AC4AA1">
        <w:rPr>
          <w:sz w:val="20"/>
          <w:szCs w:val="20"/>
        </w:rPr>
        <w:lastRenderedPageBreak/>
        <w:t>43.</w:t>
      </w:r>
      <w:r w:rsidRPr="00AC4AA1">
        <w:rPr>
          <w:sz w:val="20"/>
          <w:szCs w:val="20"/>
        </w:rPr>
        <w:tab/>
        <w:t xml:space="preserve">Suckling J, Lee J. Redefining scope: the true environmental impact of smartphones? </w:t>
      </w:r>
      <w:r w:rsidRPr="00AC4AA1">
        <w:rPr>
          <w:i/>
          <w:sz w:val="20"/>
          <w:szCs w:val="20"/>
        </w:rPr>
        <w:t>The International Journal of Life Cycle Assessment</w:t>
      </w:r>
      <w:r w:rsidRPr="00AC4AA1">
        <w:rPr>
          <w:sz w:val="20"/>
          <w:szCs w:val="20"/>
        </w:rPr>
        <w:t xml:space="preserve"> 2015, </w:t>
      </w:r>
      <w:r w:rsidRPr="00AC4AA1">
        <w:rPr>
          <w:b/>
          <w:sz w:val="20"/>
          <w:szCs w:val="20"/>
        </w:rPr>
        <w:t>20</w:t>
      </w:r>
      <w:r w:rsidRPr="00AC4AA1">
        <w:rPr>
          <w:sz w:val="20"/>
          <w:szCs w:val="20"/>
        </w:rPr>
        <w:t>(8)</w:t>
      </w:r>
      <w:r w:rsidRPr="00AC4AA1">
        <w:rPr>
          <w:b/>
          <w:sz w:val="20"/>
          <w:szCs w:val="20"/>
        </w:rPr>
        <w:t>:</w:t>
      </w:r>
      <w:r w:rsidRPr="00AC4AA1">
        <w:rPr>
          <w:sz w:val="20"/>
          <w:szCs w:val="20"/>
        </w:rPr>
        <w:t xml:space="preserve"> 1181-1196.</w:t>
      </w:r>
    </w:p>
    <w:p w14:paraId="566530C5" w14:textId="77777777" w:rsidR="00777870" w:rsidRPr="00AC4AA1" w:rsidRDefault="00777870" w:rsidP="00AC4AA1">
      <w:pPr>
        <w:pStyle w:val="EndNoteBibliography"/>
        <w:ind w:left="426" w:hanging="426"/>
        <w:rPr>
          <w:sz w:val="20"/>
          <w:szCs w:val="20"/>
        </w:rPr>
      </w:pPr>
      <w:r w:rsidRPr="00AC4AA1">
        <w:rPr>
          <w:sz w:val="20"/>
          <w:szCs w:val="20"/>
        </w:rPr>
        <w:t>44.</w:t>
      </w:r>
      <w:r w:rsidRPr="00AC4AA1">
        <w:rPr>
          <w:sz w:val="20"/>
          <w:szCs w:val="20"/>
        </w:rPr>
        <w:tab/>
        <w:t xml:space="preserve">Williams E. Environmental effects of information and communications technologies. </w:t>
      </w:r>
      <w:r w:rsidRPr="00AC4AA1">
        <w:rPr>
          <w:i/>
          <w:sz w:val="20"/>
          <w:szCs w:val="20"/>
        </w:rPr>
        <w:t>Nature</w:t>
      </w:r>
      <w:r w:rsidRPr="00AC4AA1">
        <w:rPr>
          <w:sz w:val="20"/>
          <w:szCs w:val="20"/>
        </w:rPr>
        <w:t xml:space="preserve"> 2011, </w:t>
      </w:r>
      <w:r w:rsidRPr="00AC4AA1">
        <w:rPr>
          <w:b/>
          <w:sz w:val="20"/>
          <w:szCs w:val="20"/>
        </w:rPr>
        <w:t>479:</w:t>
      </w:r>
      <w:r w:rsidRPr="00AC4AA1">
        <w:rPr>
          <w:sz w:val="20"/>
          <w:szCs w:val="20"/>
        </w:rPr>
        <w:t xml:space="preserve"> 354.</w:t>
      </w:r>
    </w:p>
    <w:p w14:paraId="787B698B" w14:textId="77777777" w:rsidR="00777870" w:rsidRPr="00AC4AA1" w:rsidRDefault="00777870" w:rsidP="00AC4AA1">
      <w:pPr>
        <w:pStyle w:val="EndNoteBibliography"/>
        <w:ind w:left="426" w:hanging="426"/>
        <w:rPr>
          <w:sz w:val="20"/>
          <w:szCs w:val="20"/>
        </w:rPr>
      </w:pPr>
      <w:r w:rsidRPr="00AC4AA1">
        <w:rPr>
          <w:sz w:val="20"/>
          <w:szCs w:val="20"/>
        </w:rPr>
        <w:t>45.</w:t>
      </w:r>
      <w:r w:rsidRPr="00AC4AA1">
        <w:rPr>
          <w:sz w:val="20"/>
          <w:szCs w:val="20"/>
        </w:rPr>
        <w:tab/>
        <w:t xml:space="preserve">Deng L, Babbitt CW, Williams ED. Economic-balance hybrid LCA extended with uncertainty analysis: case study of a laptop computer. </w:t>
      </w:r>
      <w:r w:rsidRPr="00AC4AA1">
        <w:rPr>
          <w:i/>
          <w:sz w:val="20"/>
          <w:szCs w:val="20"/>
        </w:rPr>
        <w:t>J Clean Prod</w:t>
      </w:r>
      <w:r w:rsidRPr="00AC4AA1">
        <w:rPr>
          <w:sz w:val="20"/>
          <w:szCs w:val="20"/>
        </w:rPr>
        <w:t xml:space="preserve"> 2011, </w:t>
      </w:r>
      <w:r w:rsidRPr="00AC4AA1">
        <w:rPr>
          <w:b/>
          <w:sz w:val="20"/>
          <w:szCs w:val="20"/>
        </w:rPr>
        <w:t>19</w:t>
      </w:r>
      <w:r w:rsidRPr="00AC4AA1">
        <w:rPr>
          <w:sz w:val="20"/>
          <w:szCs w:val="20"/>
        </w:rPr>
        <w:t>(11)</w:t>
      </w:r>
      <w:r w:rsidRPr="00AC4AA1">
        <w:rPr>
          <w:b/>
          <w:sz w:val="20"/>
          <w:szCs w:val="20"/>
        </w:rPr>
        <w:t>:</w:t>
      </w:r>
      <w:r w:rsidRPr="00AC4AA1">
        <w:rPr>
          <w:sz w:val="20"/>
          <w:szCs w:val="20"/>
        </w:rPr>
        <w:t xml:space="preserve"> 1198-1206.</w:t>
      </w:r>
    </w:p>
    <w:p w14:paraId="0CD40973" w14:textId="77777777" w:rsidR="00777870" w:rsidRPr="00AC4AA1" w:rsidRDefault="00777870" w:rsidP="00AC4AA1">
      <w:pPr>
        <w:pStyle w:val="EndNoteBibliography"/>
        <w:ind w:left="426" w:hanging="426"/>
        <w:rPr>
          <w:sz w:val="20"/>
          <w:szCs w:val="20"/>
        </w:rPr>
      </w:pPr>
      <w:r w:rsidRPr="00AC4AA1">
        <w:rPr>
          <w:sz w:val="20"/>
          <w:szCs w:val="20"/>
        </w:rPr>
        <w:t>46.</w:t>
      </w:r>
      <w:r w:rsidRPr="00AC4AA1">
        <w:rPr>
          <w:sz w:val="20"/>
          <w:szCs w:val="20"/>
        </w:rPr>
        <w:tab/>
        <w:t xml:space="preserve">Andrae A, Edler T. On Global Electricity Usage of Communication Technology: Trends to 2030. 2015, </w:t>
      </w:r>
      <w:r w:rsidRPr="00AC4AA1">
        <w:rPr>
          <w:b/>
          <w:sz w:val="20"/>
          <w:szCs w:val="20"/>
        </w:rPr>
        <w:t>6</w:t>
      </w:r>
      <w:r w:rsidRPr="00AC4AA1">
        <w:rPr>
          <w:sz w:val="20"/>
          <w:szCs w:val="20"/>
        </w:rPr>
        <w:t>(1)</w:t>
      </w:r>
      <w:r w:rsidRPr="00AC4AA1">
        <w:rPr>
          <w:b/>
          <w:sz w:val="20"/>
          <w:szCs w:val="20"/>
        </w:rPr>
        <w:t>:</w:t>
      </w:r>
      <w:r w:rsidRPr="00AC4AA1">
        <w:rPr>
          <w:sz w:val="20"/>
          <w:szCs w:val="20"/>
        </w:rPr>
        <w:t xml:space="preserve"> 117-157.</w:t>
      </w:r>
    </w:p>
    <w:p w14:paraId="58447783" w14:textId="77777777" w:rsidR="00777870" w:rsidRPr="00AC4AA1" w:rsidRDefault="00777870" w:rsidP="00AC4AA1">
      <w:pPr>
        <w:pStyle w:val="EndNoteBibliography"/>
        <w:ind w:left="426" w:hanging="426"/>
        <w:rPr>
          <w:sz w:val="20"/>
          <w:szCs w:val="20"/>
        </w:rPr>
      </w:pPr>
      <w:r w:rsidRPr="00AC4AA1">
        <w:rPr>
          <w:sz w:val="20"/>
          <w:szCs w:val="20"/>
        </w:rPr>
        <w:t>47.</w:t>
      </w:r>
      <w:r w:rsidRPr="00AC4AA1">
        <w:rPr>
          <w:sz w:val="20"/>
          <w:szCs w:val="20"/>
        </w:rPr>
        <w:tab/>
        <w:t xml:space="preserve">Jones N. How to stop data centres from gobbling up the world's electricity. </w:t>
      </w:r>
      <w:r w:rsidRPr="00AC4AA1">
        <w:rPr>
          <w:i/>
          <w:sz w:val="20"/>
          <w:szCs w:val="20"/>
        </w:rPr>
        <w:t>Nature</w:t>
      </w:r>
      <w:r w:rsidRPr="00AC4AA1">
        <w:rPr>
          <w:sz w:val="20"/>
          <w:szCs w:val="20"/>
        </w:rPr>
        <w:t xml:space="preserve"> 2018, </w:t>
      </w:r>
      <w:r w:rsidRPr="00AC4AA1">
        <w:rPr>
          <w:b/>
          <w:sz w:val="20"/>
          <w:szCs w:val="20"/>
        </w:rPr>
        <w:t>561</w:t>
      </w:r>
      <w:r w:rsidRPr="00AC4AA1">
        <w:rPr>
          <w:sz w:val="20"/>
          <w:szCs w:val="20"/>
        </w:rPr>
        <w:t>(7722)</w:t>
      </w:r>
      <w:r w:rsidRPr="00AC4AA1">
        <w:rPr>
          <w:b/>
          <w:sz w:val="20"/>
          <w:szCs w:val="20"/>
        </w:rPr>
        <w:t>:</w:t>
      </w:r>
      <w:r w:rsidRPr="00AC4AA1">
        <w:rPr>
          <w:sz w:val="20"/>
          <w:szCs w:val="20"/>
        </w:rPr>
        <w:t xml:space="preserve"> 163.</w:t>
      </w:r>
    </w:p>
    <w:p w14:paraId="0251D980" w14:textId="77777777" w:rsidR="00777870" w:rsidRPr="00AC4AA1" w:rsidRDefault="00777870" w:rsidP="00AC4AA1">
      <w:pPr>
        <w:pStyle w:val="EndNoteBibliography"/>
        <w:ind w:left="426" w:hanging="426"/>
        <w:rPr>
          <w:sz w:val="20"/>
          <w:szCs w:val="20"/>
        </w:rPr>
      </w:pPr>
      <w:r w:rsidRPr="00AC4AA1">
        <w:rPr>
          <w:sz w:val="20"/>
          <w:szCs w:val="20"/>
        </w:rPr>
        <w:t>48.</w:t>
      </w:r>
      <w:r w:rsidRPr="00AC4AA1">
        <w:rPr>
          <w:sz w:val="20"/>
          <w:szCs w:val="20"/>
        </w:rPr>
        <w:tab/>
        <w:t xml:space="preserve">Morley J, Widdicks K, Hazas M. Digitalisation, energy and data demand: The impact of Internet traffic on overall and peak electricity consumption. </w:t>
      </w:r>
      <w:r w:rsidRPr="00AC4AA1">
        <w:rPr>
          <w:i/>
          <w:sz w:val="20"/>
          <w:szCs w:val="20"/>
        </w:rPr>
        <w:t>Energy Research &amp; Social Science</w:t>
      </w:r>
      <w:r w:rsidRPr="00AC4AA1">
        <w:rPr>
          <w:sz w:val="20"/>
          <w:szCs w:val="20"/>
        </w:rPr>
        <w:t xml:space="preserve"> 2018, </w:t>
      </w:r>
      <w:r w:rsidRPr="00AC4AA1">
        <w:rPr>
          <w:b/>
          <w:sz w:val="20"/>
          <w:szCs w:val="20"/>
        </w:rPr>
        <w:t>38:</w:t>
      </w:r>
      <w:r w:rsidRPr="00AC4AA1">
        <w:rPr>
          <w:sz w:val="20"/>
          <w:szCs w:val="20"/>
        </w:rPr>
        <w:t xml:space="preserve"> 128-137.</w:t>
      </w:r>
    </w:p>
    <w:p w14:paraId="740352B9" w14:textId="77777777" w:rsidR="00777870" w:rsidRPr="00AC4AA1" w:rsidRDefault="00777870" w:rsidP="00AC4AA1">
      <w:pPr>
        <w:pStyle w:val="EndNoteBibliography"/>
        <w:ind w:left="426" w:hanging="426"/>
        <w:rPr>
          <w:sz w:val="20"/>
          <w:szCs w:val="20"/>
        </w:rPr>
      </w:pPr>
      <w:r w:rsidRPr="00AC4AA1">
        <w:rPr>
          <w:sz w:val="20"/>
          <w:szCs w:val="20"/>
        </w:rPr>
        <w:t>49.</w:t>
      </w:r>
      <w:r w:rsidRPr="00AC4AA1">
        <w:rPr>
          <w:sz w:val="20"/>
          <w:szCs w:val="20"/>
        </w:rPr>
        <w:tab/>
        <w:t xml:space="preserve">Hammond G, Jones C. Embodied energy and carbon in construction materials. </w:t>
      </w:r>
      <w:r w:rsidRPr="00AC4AA1">
        <w:rPr>
          <w:i/>
          <w:sz w:val="20"/>
          <w:szCs w:val="20"/>
        </w:rPr>
        <w:t>Proceedings of the Institution of Civil Engineers</w:t>
      </w:r>
      <w:r w:rsidRPr="00AC4AA1">
        <w:rPr>
          <w:sz w:val="20"/>
          <w:szCs w:val="20"/>
        </w:rPr>
        <w:t xml:space="preserve"> 2008, </w:t>
      </w:r>
      <w:r w:rsidRPr="00AC4AA1">
        <w:rPr>
          <w:b/>
          <w:sz w:val="20"/>
          <w:szCs w:val="20"/>
        </w:rPr>
        <w:t>161</w:t>
      </w:r>
      <w:r w:rsidRPr="00AC4AA1">
        <w:rPr>
          <w:sz w:val="20"/>
          <w:szCs w:val="20"/>
        </w:rPr>
        <w:t>(2)</w:t>
      </w:r>
      <w:r w:rsidRPr="00AC4AA1">
        <w:rPr>
          <w:b/>
          <w:sz w:val="20"/>
          <w:szCs w:val="20"/>
        </w:rPr>
        <w:t>:</w:t>
      </w:r>
      <w:r w:rsidRPr="00AC4AA1">
        <w:rPr>
          <w:sz w:val="20"/>
          <w:szCs w:val="20"/>
        </w:rPr>
        <w:t xml:space="preserve"> 87-98.</w:t>
      </w:r>
    </w:p>
    <w:p w14:paraId="40B4E385" w14:textId="77777777" w:rsidR="00777870" w:rsidRPr="00AC4AA1" w:rsidRDefault="00777870" w:rsidP="00AC4AA1">
      <w:pPr>
        <w:pStyle w:val="EndNoteBibliography"/>
        <w:ind w:left="426" w:hanging="426"/>
        <w:rPr>
          <w:sz w:val="20"/>
          <w:szCs w:val="20"/>
        </w:rPr>
      </w:pPr>
      <w:r w:rsidRPr="00AC4AA1">
        <w:rPr>
          <w:sz w:val="20"/>
          <w:szCs w:val="20"/>
        </w:rPr>
        <w:t>50.</w:t>
      </w:r>
      <w:r w:rsidRPr="00AC4AA1">
        <w:rPr>
          <w:sz w:val="20"/>
          <w:szCs w:val="20"/>
        </w:rPr>
        <w:tab/>
        <w:t xml:space="preserve">Steinberger JK, Friot D, Jolliet O, Erkman S. A spatially explicit life cycle inventory of the global textile chain. </w:t>
      </w:r>
      <w:r w:rsidRPr="00AC4AA1">
        <w:rPr>
          <w:i/>
          <w:sz w:val="20"/>
          <w:szCs w:val="20"/>
        </w:rPr>
        <w:t>The International Journal of Life Cycle Assessment</w:t>
      </w:r>
      <w:r w:rsidRPr="00AC4AA1">
        <w:rPr>
          <w:sz w:val="20"/>
          <w:szCs w:val="20"/>
        </w:rPr>
        <w:t xml:space="preserve"> 2009, </w:t>
      </w:r>
      <w:r w:rsidRPr="00AC4AA1">
        <w:rPr>
          <w:b/>
          <w:sz w:val="20"/>
          <w:szCs w:val="20"/>
        </w:rPr>
        <w:t>14</w:t>
      </w:r>
      <w:r w:rsidRPr="00AC4AA1">
        <w:rPr>
          <w:sz w:val="20"/>
          <w:szCs w:val="20"/>
        </w:rPr>
        <w:t>(5)</w:t>
      </w:r>
      <w:r w:rsidRPr="00AC4AA1">
        <w:rPr>
          <w:b/>
          <w:sz w:val="20"/>
          <w:szCs w:val="20"/>
        </w:rPr>
        <w:t>:</w:t>
      </w:r>
      <w:r w:rsidRPr="00AC4AA1">
        <w:rPr>
          <w:sz w:val="20"/>
          <w:szCs w:val="20"/>
        </w:rPr>
        <w:t xml:space="preserve"> 443-455.</w:t>
      </w:r>
    </w:p>
    <w:p w14:paraId="70BBFE3D" w14:textId="77777777" w:rsidR="00777870" w:rsidRPr="00AC4AA1" w:rsidRDefault="00777870" w:rsidP="00AC4AA1">
      <w:pPr>
        <w:pStyle w:val="EndNoteBibliography"/>
        <w:ind w:left="426" w:hanging="426"/>
        <w:rPr>
          <w:sz w:val="20"/>
          <w:szCs w:val="20"/>
        </w:rPr>
      </w:pPr>
      <w:r w:rsidRPr="00AC4AA1">
        <w:rPr>
          <w:sz w:val="20"/>
          <w:szCs w:val="20"/>
        </w:rPr>
        <w:t>51.</w:t>
      </w:r>
      <w:r w:rsidRPr="00AC4AA1">
        <w:rPr>
          <w:sz w:val="20"/>
          <w:szCs w:val="20"/>
        </w:rPr>
        <w:tab/>
        <w:t xml:space="preserve">Yamaguchi Y, Seii E, Itagaki M, Nagayama M. Evaluation of domestic washing in Japan using life cycle assessment (LCA). 2011, </w:t>
      </w:r>
      <w:r w:rsidRPr="00AC4AA1">
        <w:rPr>
          <w:b/>
          <w:sz w:val="20"/>
          <w:szCs w:val="20"/>
        </w:rPr>
        <w:t>35</w:t>
      </w:r>
      <w:r w:rsidRPr="00AC4AA1">
        <w:rPr>
          <w:sz w:val="20"/>
          <w:szCs w:val="20"/>
        </w:rPr>
        <w:t>(2)</w:t>
      </w:r>
      <w:r w:rsidRPr="00AC4AA1">
        <w:rPr>
          <w:b/>
          <w:sz w:val="20"/>
          <w:szCs w:val="20"/>
        </w:rPr>
        <w:t>:</w:t>
      </w:r>
      <w:r w:rsidRPr="00AC4AA1">
        <w:rPr>
          <w:sz w:val="20"/>
          <w:szCs w:val="20"/>
        </w:rPr>
        <w:t xml:space="preserve"> 243-253.</w:t>
      </w:r>
    </w:p>
    <w:p w14:paraId="79872C0D" w14:textId="77777777" w:rsidR="00777870" w:rsidRPr="00AC4AA1" w:rsidRDefault="00777870" w:rsidP="00AC4AA1">
      <w:pPr>
        <w:pStyle w:val="EndNoteBibliography"/>
        <w:ind w:left="426" w:hanging="426"/>
        <w:rPr>
          <w:sz w:val="20"/>
          <w:szCs w:val="20"/>
        </w:rPr>
      </w:pPr>
      <w:r w:rsidRPr="00AC4AA1">
        <w:rPr>
          <w:sz w:val="20"/>
          <w:szCs w:val="20"/>
        </w:rPr>
        <w:t>52.</w:t>
      </w:r>
      <w:r w:rsidRPr="00AC4AA1">
        <w:rPr>
          <w:sz w:val="20"/>
          <w:szCs w:val="20"/>
        </w:rPr>
        <w:tab/>
        <w:t>Fisher K, James K, Maddox P. Benefits of Reuse Case Study: Clothing: Waste and Resources Action Programme, WRAP; 2011.</w:t>
      </w:r>
    </w:p>
    <w:p w14:paraId="7BF3AF29" w14:textId="77777777" w:rsidR="00777870" w:rsidRPr="00AC4AA1" w:rsidRDefault="00777870" w:rsidP="00AC4AA1">
      <w:pPr>
        <w:pStyle w:val="EndNoteBibliography"/>
        <w:ind w:left="426" w:hanging="426"/>
        <w:rPr>
          <w:sz w:val="20"/>
          <w:szCs w:val="20"/>
        </w:rPr>
      </w:pPr>
      <w:r w:rsidRPr="00AC4AA1">
        <w:rPr>
          <w:sz w:val="20"/>
          <w:szCs w:val="20"/>
        </w:rPr>
        <w:t>53.</w:t>
      </w:r>
      <w:r w:rsidRPr="00AC4AA1">
        <w:rPr>
          <w:sz w:val="20"/>
          <w:szCs w:val="20"/>
        </w:rPr>
        <w:tab/>
        <w:t>Cooper T, Claxton S, Hill H, Holbrook K, Hughes M, Knox A</w:t>
      </w:r>
      <w:r w:rsidRPr="00AC4AA1">
        <w:rPr>
          <w:i/>
          <w:sz w:val="20"/>
          <w:szCs w:val="20"/>
        </w:rPr>
        <w:t>, et al.</w:t>
      </w:r>
      <w:r w:rsidRPr="00AC4AA1">
        <w:rPr>
          <w:sz w:val="20"/>
          <w:szCs w:val="20"/>
        </w:rPr>
        <w:t xml:space="preserve"> Clothing Longevity Protocol: WRAP; 2014.</w:t>
      </w:r>
    </w:p>
    <w:p w14:paraId="4056C926" w14:textId="77777777" w:rsidR="00777870" w:rsidRPr="00AC4AA1" w:rsidRDefault="00777870" w:rsidP="00AC4AA1">
      <w:pPr>
        <w:pStyle w:val="EndNoteBibliography"/>
        <w:ind w:left="426" w:hanging="426"/>
        <w:rPr>
          <w:sz w:val="20"/>
          <w:szCs w:val="20"/>
        </w:rPr>
      </w:pPr>
      <w:r w:rsidRPr="00AC4AA1">
        <w:rPr>
          <w:sz w:val="20"/>
          <w:szCs w:val="20"/>
        </w:rPr>
        <w:t>54.</w:t>
      </w:r>
      <w:r w:rsidRPr="00AC4AA1">
        <w:rPr>
          <w:sz w:val="20"/>
          <w:szCs w:val="20"/>
        </w:rPr>
        <w:tab/>
        <w:t xml:space="preserve">Pichler P-P, Jaccard IS, Weisz U, Weisz H. International comparison of health care carbon footprints. </w:t>
      </w:r>
      <w:r w:rsidRPr="00AC4AA1">
        <w:rPr>
          <w:i/>
          <w:sz w:val="20"/>
          <w:szCs w:val="20"/>
        </w:rPr>
        <w:t>Environmental Research Letters</w:t>
      </w:r>
      <w:r w:rsidRPr="00AC4AA1">
        <w:rPr>
          <w:sz w:val="20"/>
          <w:szCs w:val="20"/>
        </w:rPr>
        <w:t xml:space="preserve"> 2019, </w:t>
      </w:r>
      <w:r w:rsidRPr="00AC4AA1">
        <w:rPr>
          <w:b/>
          <w:sz w:val="20"/>
          <w:szCs w:val="20"/>
        </w:rPr>
        <w:t>14</w:t>
      </w:r>
      <w:r w:rsidRPr="00AC4AA1">
        <w:rPr>
          <w:sz w:val="20"/>
          <w:szCs w:val="20"/>
        </w:rPr>
        <w:t>(6)</w:t>
      </w:r>
      <w:r w:rsidRPr="00AC4AA1">
        <w:rPr>
          <w:b/>
          <w:sz w:val="20"/>
          <w:szCs w:val="20"/>
        </w:rPr>
        <w:t>:</w:t>
      </w:r>
      <w:r w:rsidRPr="00AC4AA1">
        <w:rPr>
          <w:sz w:val="20"/>
          <w:szCs w:val="20"/>
        </w:rPr>
        <w:t xml:space="preserve"> 064004.</w:t>
      </w:r>
    </w:p>
    <w:p w14:paraId="422A05CC" w14:textId="77777777" w:rsidR="00777870" w:rsidRPr="00AC4AA1" w:rsidRDefault="00777870" w:rsidP="00AC4AA1">
      <w:pPr>
        <w:pStyle w:val="EndNoteBibliography"/>
        <w:ind w:left="426" w:hanging="426"/>
        <w:rPr>
          <w:sz w:val="20"/>
          <w:szCs w:val="20"/>
        </w:rPr>
      </w:pPr>
      <w:r w:rsidRPr="00AC4AA1">
        <w:rPr>
          <w:sz w:val="20"/>
          <w:szCs w:val="20"/>
        </w:rPr>
        <w:t>55.</w:t>
      </w:r>
      <w:r w:rsidRPr="00AC4AA1">
        <w:rPr>
          <w:sz w:val="20"/>
          <w:szCs w:val="20"/>
        </w:rPr>
        <w:tab/>
        <w:t xml:space="preserve">Södersten C-J, Wood R, Hertwich EG. Environmental Impacts of Capital Formation. </w:t>
      </w:r>
      <w:r w:rsidRPr="00AC4AA1">
        <w:rPr>
          <w:i/>
          <w:sz w:val="20"/>
          <w:szCs w:val="20"/>
        </w:rPr>
        <w:t>Journal of Industrial Ecology</w:t>
      </w:r>
      <w:r w:rsidRPr="00AC4AA1">
        <w:rPr>
          <w:sz w:val="20"/>
          <w:szCs w:val="20"/>
        </w:rPr>
        <w:t xml:space="preserve"> 2018, </w:t>
      </w:r>
      <w:r w:rsidRPr="00AC4AA1">
        <w:rPr>
          <w:b/>
          <w:sz w:val="20"/>
          <w:szCs w:val="20"/>
        </w:rPr>
        <w:t>22</w:t>
      </w:r>
      <w:r w:rsidRPr="00AC4AA1">
        <w:rPr>
          <w:sz w:val="20"/>
          <w:szCs w:val="20"/>
        </w:rPr>
        <w:t>(1)</w:t>
      </w:r>
      <w:r w:rsidRPr="00AC4AA1">
        <w:rPr>
          <w:b/>
          <w:sz w:val="20"/>
          <w:szCs w:val="20"/>
        </w:rPr>
        <w:t>:</w:t>
      </w:r>
      <w:r w:rsidRPr="00AC4AA1">
        <w:rPr>
          <w:sz w:val="20"/>
          <w:szCs w:val="20"/>
        </w:rPr>
        <w:t xml:space="preserve"> 55-67.</w:t>
      </w:r>
    </w:p>
    <w:p w14:paraId="5A4996F6" w14:textId="77777777" w:rsidR="00777870" w:rsidRPr="00AC4AA1" w:rsidRDefault="00777870" w:rsidP="00AC4AA1">
      <w:pPr>
        <w:pStyle w:val="EndNoteBibliography"/>
        <w:ind w:left="426" w:hanging="426"/>
        <w:rPr>
          <w:sz w:val="20"/>
          <w:szCs w:val="20"/>
        </w:rPr>
      </w:pPr>
      <w:r w:rsidRPr="00AC4AA1">
        <w:rPr>
          <w:sz w:val="20"/>
          <w:szCs w:val="20"/>
        </w:rPr>
        <w:t>56.</w:t>
      </w:r>
      <w:r w:rsidRPr="00AC4AA1">
        <w:rPr>
          <w:sz w:val="20"/>
          <w:szCs w:val="20"/>
        </w:rPr>
        <w:tab/>
        <w:t xml:space="preserve">Goldemberg J, Johansson TB, Amulya KNR, Williams RH. Basic Needs and Much More with One Kilowatt per Capita. </w:t>
      </w:r>
      <w:r w:rsidRPr="00AC4AA1">
        <w:rPr>
          <w:i/>
          <w:sz w:val="20"/>
          <w:szCs w:val="20"/>
        </w:rPr>
        <w:t>Ambio</w:t>
      </w:r>
      <w:r w:rsidRPr="00AC4AA1">
        <w:rPr>
          <w:sz w:val="20"/>
          <w:szCs w:val="20"/>
        </w:rPr>
        <w:t xml:space="preserve"> 1985, </w:t>
      </w:r>
      <w:r w:rsidRPr="00AC4AA1">
        <w:rPr>
          <w:b/>
          <w:sz w:val="20"/>
          <w:szCs w:val="20"/>
        </w:rPr>
        <w:t>14</w:t>
      </w:r>
      <w:r w:rsidRPr="00AC4AA1">
        <w:rPr>
          <w:sz w:val="20"/>
          <w:szCs w:val="20"/>
        </w:rPr>
        <w:t>(4/5)</w:t>
      </w:r>
      <w:r w:rsidRPr="00AC4AA1">
        <w:rPr>
          <w:b/>
          <w:sz w:val="20"/>
          <w:szCs w:val="20"/>
        </w:rPr>
        <w:t>:</w:t>
      </w:r>
      <w:r w:rsidRPr="00AC4AA1">
        <w:rPr>
          <w:sz w:val="20"/>
          <w:szCs w:val="20"/>
        </w:rPr>
        <w:t xml:space="preserve"> 190-200.</w:t>
      </w:r>
    </w:p>
    <w:p w14:paraId="0C72F9AC" w14:textId="77777777" w:rsidR="00777870" w:rsidRPr="00AC4AA1" w:rsidRDefault="00777870" w:rsidP="00AC4AA1">
      <w:pPr>
        <w:pStyle w:val="EndNoteBibliography"/>
        <w:ind w:left="426" w:hanging="426"/>
        <w:rPr>
          <w:sz w:val="20"/>
          <w:szCs w:val="20"/>
        </w:rPr>
      </w:pPr>
      <w:r w:rsidRPr="00AC4AA1">
        <w:rPr>
          <w:sz w:val="20"/>
          <w:szCs w:val="20"/>
        </w:rPr>
        <w:t>57.</w:t>
      </w:r>
      <w:r w:rsidRPr="00AC4AA1">
        <w:rPr>
          <w:sz w:val="20"/>
          <w:szCs w:val="20"/>
        </w:rPr>
        <w:tab/>
        <w:t>Hertwich EG, Gibon T, Bouman EA, Arvesen A, Suh S, Heath GA</w:t>
      </w:r>
      <w:r w:rsidRPr="00AC4AA1">
        <w:rPr>
          <w:i/>
          <w:sz w:val="20"/>
          <w:szCs w:val="20"/>
        </w:rPr>
        <w:t>, et al.</w:t>
      </w:r>
      <w:r w:rsidRPr="00AC4AA1">
        <w:rPr>
          <w:sz w:val="20"/>
          <w:szCs w:val="20"/>
        </w:rPr>
        <w:t xml:space="preserve"> Integrated life-cycle assessment of electricity-supply scenarios confirms global environmental benefit of low-carbon technologies. </w:t>
      </w:r>
      <w:r w:rsidRPr="00AC4AA1">
        <w:rPr>
          <w:i/>
          <w:sz w:val="20"/>
          <w:szCs w:val="20"/>
        </w:rPr>
        <w:t>Proceedings of the National Academy of Sciences</w:t>
      </w:r>
      <w:r w:rsidRPr="00AC4AA1">
        <w:rPr>
          <w:sz w:val="20"/>
          <w:szCs w:val="20"/>
        </w:rPr>
        <w:t xml:space="preserve"> 2015, </w:t>
      </w:r>
      <w:r w:rsidRPr="00AC4AA1">
        <w:rPr>
          <w:b/>
          <w:sz w:val="20"/>
          <w:szCs w:val="20"/>
        </w:rPr>
        <w:t>112</w:t>
      </w:r>
      <w:r w:rsidRPr="00AC4AA1">
        <w:rPr>
          <w:sz w:val="20"/>
          <w:szCs w:val="20"/>
        </w:rPr>
        <w:t>(20)</w:t>
      </w:r>
      <w:r w:rsidRPr="00AC4AA1">
        <w:rPr>
          <w:b/>
          <w:sz w:val="20"/>
          <w:szCs w:val="20"/>
        </w:rPr>
        <w:t>:</w:t>
      </w:r>
      <w:r w:rsidRPr="00AC4AA1">
        <w:rPr>
          <w:sz w:val="20"/>
          <w:szCs w:val="20"/>
        </w:rPr>
        <w:t xml:space="preserve"> 6277-6282.</w:t>
      </w:r>
    </w:p>
    <w:p w14:paraId="7E37B16E" w14:textId="3A6F1866" w:rsidR="00B150F9" w:rsidRPr="00AC4AA1" w:rsidRDefault="00777870" w:rsidP="00AC4AA1">
      <w:pPr>
        <w:pStyle w:val="EndNoteBibliography"/>
        <w:ind w:left="426" w:hanging="426"/>
        <w:rPr>
          <w:sz w:val="20"/>
          <w:szCs w:val="20"/>
        </w:rPr>
      </w:pPr>
      <w:r w:rsidRPr="00AC4AA1">
        <w:rPr>
          <w:sz w:val="20"/>
          <w:szCs w:val="20"/>
        </w:rPr>
        <w:t>58.</w:t>
      </w:r>
      <w:r w:rsidRPr="00AC4AA1">
        <w:rPr>
          <w:sz w:val="20"/>
          <w:szCs w:val="20"/>
        </w:rPr>
        <w:tab/>
        <w:t xml:space="preserve">Turconi R, Boldrin A, Astrup T. Life cycle assessment (LCA) of electricity generation technologies: Overview, comparability and limitations. </w:t>
      </w:r>
      <w:r w:rsidRPr="00AC4AA1">
        <w:rPr>
          <w:i/>
          <w:sz w:val="20"/>
          <w:szCs w:val="20"/>
        </w:rPr>
        <w:t>Renewable and Sustainable Energy Reviews</w:t>
      </w:r>
      <w:r w:rsidRPr="00AC4AA1">
        <w:rPr>
          <w:sz w:val="20"/>
          <w:szCs w:val="20"/>
        </w:rPr>
        <w:t xml:space="preserve"> 2013, </w:t>
      </w:r>
      <w:r w:rsidRPr="00AC4AA1">
        <w:rPr>
          <w:b/>
          <w:sz w:val="20"/>
          <w:szCs w:val="20"/>
        </w:rPr>
        <w:t>28:</w:t>
      </w:r>
      <w:r w:rsidRPr="00AC4AA1">
        <w:rPr>
          <w:sz w:val="20"/>
          <w:szCs w:val="20"/>
        </w:rPr>
        <w:t xml:space="preserve"> 555-565.</w:t>
      </w:r>
    </w:p>
    <w:sectPr w:rsidR="00B150F9" w:rsidRPr="00AC4AA1" w:rsidSect="00457377">
      <w:pgSz w:w="11906" w:h="16838"/>
      <w:pgMar w:top="1077" w:right="1440" w:bottom="1077"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2C266" w16cex:dateUtc="2020-04-16T15:39:00Z"/>
  <w16cex:commentExtensible w16cex:durableId="2242C216" w16cex:dateUtc="2020-04-16T15:37:00Z"/>
  <w16cex:commentExtensible w16cex:durableId="2242CC95" w16cex:dateUtc="2020-04-16T16:22:00Z"/>
  <w16cex:commentExtensible w16cex:durableId="2242CA04" w16cex:dateUtc="2020-04-16T16:11:00Z"/>
  <w16cex:commentExtensible w16cex:durableId="2241C272" w16cex:dateUtc="2020-04-15T21:27:00Z"/>
  <w16cex:commentExtensible w16cex:durableId="2242D631" w16cex:dateUtc="2020-04-16T17: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22153" w14:textId="77777777" w:rsidR="00174798" w:rsidRDefault="00174798" w:rsidP="00984418">
      <w:pPr>
        <w:spacing w:after="0" w:line="240" w:lineRule="auto"/>
      </w:pPr>
      <w:r>
        <w:separator/>
      </w:r>
    </w:p>
  </w:endnote>
  <w:endnote w:type="continuationSeparator" w:id="0">
    <w:p w14:paraId="1495330E" w14:textId="77777777" w:rsidR="00174798" w:rsidRDefault="00174798" w:rsidP="0098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150232"/>
      <w:docPartObj>
        <w:docPartGallery w:val="Page Numbers (Bottom of Page)"/>
        <w:docPartUnique/>
      </w:docPartObj>
    </w:sdtPr>
    <w:sdtEndPr>
      <w:rPr>
        <w:color w:val="7F7F7F" w:themeColor="background1" w:themeShade="7F"/>
        <w:spacing w:val="60"/>
      </w:rPr>
    </w:sdtEndPr>
    <w:sdtContent>
      <w:p w14:paraId="30794EB2" w14:textId="250ECE57" w:rsidR="000A5765" w:rsidRDefault="000A5765">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7BBE">
          <w:rPr>
            <w:noProof/>
          </w:rPr>
          <w:t>33</w:t>
        </w:r>
        <w:r>
          <w:rPr>
            <w:noProof/>
          </w:rPr>
          <w:fldChar w:fldCharType="end"/>
        </w:r>
        <w:r>
          <w:t xml:space="preserve"> | </w:t>
        </w:r>
        <w:r>
          <w:rPr>
            <w:color w:val="7F7F7F" w:themeColor="background1" w:themeShade="7F"/>
            <w:spacing w:val="60"/>
          </w:rPr>
          <w:t>Page</w:t>
        </w:r>
      </w:p>
    </w:sdtContent>
  </w:sdt>
  <w:p w14:paraId="7579B81B" w14:textId="77777777" w:rsidR="000A5765" w:rsidRDefault="000A5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916FB" w14:textId="77777777" w:rsidR="00174798" w:rsidRDefault="00174798" w:rsidP="00984418">
      <w:pPr>
        <w:spacing w:after="0" w:line="240" w:lineRule="auto"/>
      </w:pPr>
      <w:r>
        <w:separator/>
      </w:r>
    </w:p>
  </w:footnote>
  <w:footnote w:type="continuationSeparator" w:id="0">
    <w:p w14:paraId="0A459C67" w14:textId="77777777" w:rsidR="00174798" w:rsidRDefault="00174798" w:rsidP="00984418">
      <w:pPr>
        <w:spacing w:after="0" w:line="240" w:lineRule="auto"/>
      </w:pPr>
      <w:r>
        <w:continuationSeparator/>
      </w:r>
    </w:p>
  </w:footnote>
  <w:footnote w:id="1">
    <w:p w14:paraId="339E2F99" w14:textId="77777777" w:rsidR="000A5765" w:rsidRPr="00236B9D" w:rsidRDefault="000A5765" w:rsidP="000F0AE9">
      <w:pPr>
        <w:pStyle w:val="FootnoteText"/>
        <w:rPr>
          <w:sz w:val="16"/>
          <w:szCs w:val="16"/>
        </w:rPr>
      </w:pPr>
      <w:r w:rsidRPr="00236B9D">
        <w:rPr>
          <w:rStyle w:val="FootnoteReference"/>
          <w:sz w:val="18"/>
          <w:szCs w:val="16"/>
        </w:rPr>
        <w:footnoteRef/>
      </w:r>
      <w:r w:rsidRPr="00236B9D">
        <w:rPr>
          <w:sz w:val="18"/>
          <w:szCs w:val="16"/>
        </w:rPr>
        <w:t xml:space="preserve"> See </w:t>
      </w:r>
      <w:hyperlink r:id="rId1" w:history="1">
        <w:r w:rsidRPr="00236B9D">
          <w:rPr>
            <w:rStyle w:val="Hyperlink"/>
            <w:sz w:val="18"/>
            <w:szCs w:val="16"/>
          </w:rPr>
          <w:t>https://www.un.org/en/sections/issues-depth/water/</w:t>
        </w:r>
      </w:hyperlink>
      <w:r w:rsidRPr="00236B9D">
        <w:rPr>
          <w:sz w:val="18"/>
          <w:szCs w:val="16"/>
        </w:rPr>
        <w:t xml:space="preserve"> (accessed 04/11/2019)</w:t>
      </w:r>
    </w:p>
  </w:footnote>
  <w:footnote w:id="2">
    <w:p w14:paraId="5A95BF99" w14:textId="760AB472" w:rsidR="000A5765" w:rsidRPr="00236B9D" w:rsidRDefault="000A5765" w:rsidP="00236B9D">
      <w:pPr>
        <w:pStyle w:val="FootnoteText"/>
        <w:rPr>
          <w:sz w:val="16"/>
          <w:szCs w:val="16"/>
        </w:rPr>
      </w:pPr>
      <w:r w:rsidRPr="00236B9D">
        <w:rPr>
          <w:rStyle w:val="FootnoteReference"/>
          <w:sz w:val="16"/>
          <w:szCs w:val="16"/>
        </w:rPr>
        <w:footnoteRef/>
      </w:r>
      <w:r w:rsidRPr="00236B9D">
        <w:rPr>
          <w:sz w:val="16"/>
          <w:szCs w:val="16"/>
        </w:rPr>
        <w:t xml:space="preserve"> See </w:t>
      </w:r>
      <w:hyperlink r:id="rId2" w:history="1">
        <w:r w:rsidRPr="00236B9D">
          <w:rPr>
            <w:rStyle w:val="Hyperlink"/>
            <w:sz w:val="16"/>
            <w:szCs w:val="16"/>
          </w:rPr>
          <w:t>https://health.gov/dietaryguidelines/2015/</w:t>
        </w:r>
      </w:hyperlink>
      <w:r w:rsidRPr="00236B9D">
        <w:rPr>
          <w:sz w:val="16"/>
          <w:szCs w:val="16"/>
        </w:rPr>
        <w:t xml:space="preserve"> (accessed 23/9/2019)</w:t>
      </w:r>
    </w:p>
  </w:footnote>
  <w:footnote w:id="3">
    <w:p w14:paraId="206B24C7" w14:textId="77777777" w:rsidR="000A5765" w:rsidRDefault="000A5765" w:rsidP="00A43A3A">
      <w:pPr>
        <w:pStyle w:val="FootnoteText"/>
      </w:pPr>
      <w:r w:rsidRPr="00236B9D">
        <w:rPr>
          <w:rStyle w:val="FootnoteReference"/>
          <w:sz w:val="16"/>
          <w:szCs w:val="16"/>
        </w:rPr>
        <w:footnoteRef/>
      </w:r>
      <w:r w:rsidRPr="00236B9D">
        <w:rPr>
          <w:sz w:val="16"/>
          <w:szCs w:val="16"/>
        </w:rPr>
        <w:t xml:space="preserve"> See </w:t>
      </w:r>
      <w:hyperlink r:id="rId3" w:anchor="P8217_125315" w:history="1">
        <w:r w:rsidRPr="00236B9D">
          <w:rPr>
            <w:rStyle w:val="Hyperlink"/>
            <w:sz w:val="16"/>
            <w:szCs w:val="16"/>
          </w:rPr>
          <w:t>http://www.fao.org/3/X9892E/X9892e05.htm#P8217_125315</w:t>
        </w:r>
      </w:hyperlink>
      <w:r w:rsidRPr="00236B9D">
        <w:rPr>
          <w:sz w:val="16"/>
          <w:szCs w:val="16"/>
        </w:rPr>
        <w:t xml:space="preserve"> (accessed 26/9/2019)</w:t>
      </w:r>
    </w:p>
  </w:footnote>
  <w:footnote w:id="4">
    <w:p w14:paraId="3457E4ED" w14:textId="77777777" w:rsidR="000A5765" w:rsidRDefault="000A5765" w:rsidP="00D511C7">
      <w:pPr>
        <w:pStyle w:val="FootnoteText"/>
      </w:pPr>
      <w:r w:rsidRPr="00236B9D">
        <w:rPr>
          <w:rStyle w:val="FootnoteReference"/>
          <w:sz w:val="18"/>
        </w:rPr>
        <w:footnoteRef/>
      </w:r>
      <w:r w:rsidRPr="00236B9D">
        <w:rPr>
          <w:sz w:val="18"/>
        </w:rPr>
        <w:t xml:space="preserve"> Note: by ‘minimise’, we do not mean ‘optimise’ in any rigorous mathematical sense</w:t>
      </w:r>
    </w:p>
  </w:footnote>
  <w:footnote w:id="5">
    <w:p w14:paraId="13BBCEAE" w14:textId="77777777" w:rsidR="000A5765" w:rsidRPr="00B5278E" w:rsidRDefault="000A5765" w:rsidP="00521BAC">
      <w:pPr>
        <w:pStyle w:val="FootnoteText"/>
      </w:pPr>
      <w:r>
        <w:rPr>
          <w:rStyle w:val="FootnoteReference"/>
        </w:rPr>
        <w:footnoteRef/>
      </w:r>
      <w:r>
        <w:t xml:space="preserve"> See </w:t>
      </w:r>
      <w:r w:rsidRPr="00B5278E">
        <w:rPr>
          <w:i/>
        </w:rPr>
        <w:t>Food surplus and waste in the UK – key facts</w:t>
      </w:r>
      <w:r>
        <w:t xml:space="preserve"> updated annually at </w:t>
      </w:r>
      <w:hyperlink r:id="rId4" w:history="1">
        <w:r>
          <w:rPr>
            <w:rStyle w:val="Hyperlink"/>
          </w:rPr>
          <w:t>http://www.wrap.org.uk/food-drink</w:t>
        </w:r>
      </w:hyperlink>
    </w:p>
  </w:footnote>
  <w:footnote w:id="6">
    <w:p w14:paraId="4419B05E" w14:textId="77777777" w:rsidR="000A5765" w:rsidRPr="004F7B93" w:rsidRDefault="000A5765" w:rsidP="00C34EE6">
      <w:pPr>
        <w:pStyle w:val="FootnoteText"/>
        <w:rPr>
          <w:sz w:val="16"/>
        </w:rPr>
      </w:pPr>
      <w:r w:rsidRPr="004F7B93">
        <w:rPr>
          <w:rStyle w:val="FootnoteReference"/>
          <w:sz w:val="16"/>
        </w:rPr>
        <w:footnoteRef/>
      </w:r>
      <w:r w:rsidRPr="004F7B93">
        <w:rPr>
          <w:sz w:val="16"/>
        </w:rPr>
        <w:t xml:space="preserve"> See Alasdair Rae’s article at </w:t>
      </w:r>
      <w:r w:rsidRPr="004F7B93">
        <w:rPr>
          <w:i/>
          <w:sz w:val="16"/>
        </w:rPr>
        <w:t>The Conversation</w:t>
      </w:r>
      <w:r w:rsidRPr="004F7B93">
        <w:rPr>
          <w:sz w:val="16"/>
        </w:rPr>
        <w:t xml:space="preserve"> (</w:t>
      </w:r>
      <w:hyperlink r:id="rId5" w:history="1">
        <w:r w:rsidRPr="004F7B93">
          <w:rPr>
            <w:rStyle w:val="Hyperlink"/>
            <w:sz w:val="16"/>
          </w:rPr>
          <w:t>https://theconversation.com/think-your-country-is-crowded-these-maps-reveal-the-truth-about-population-density-across-europe-90345</w:t>
        </w:r>
      </w:hyperlink>
      <w:r w:rsidRPr="004F7B93">
        <w:rPr>
          <w:sz w:val="16"/>
        </w:rPr>
        <w:t>; accessed 02/10/2019)</w:t>
      </w:r>
    </w:p>
  </w:footnote>
  <w:footnote w:id="7">
    <w:p w14:paraId="0FD2F57D" w14:textId="183118B7" w:rsidR="000A5765" w:rsidRPr="00186FED" w:rsidRDefault="000A5765">
      <w:pPr>
        <w:pStyle w:val="FootnoteText"/>
        <w:rPr>
          <w:sz w:val="16"/>
          <w:szCs w:val="16"/>
        </w:rPr>
      </w:pPr>
      <w:r w:rsidRPr="00186FED">
        <w:rPr>
          <w:rStyle w:val="FootnoteReference"/>
          <w:sz w:val="16"/>
          <w:szCs w:val="16"/>
        </w:rPr>
        <w:footnoteRef/>
      </w:r>
      <w:r w:rsidRPr="00186FED">
        <w:rPr>
          <w:sz w:val="16"/>
          <w:szCs w:val="16"/>
        </w:rPr>
        <w:t xml:space="preserve"> See: </w:t>
      </w:r>
      <w:hyperlink r:id="rId6" w:history="1">
        <w:r w:rsidRPr="00186FED">
          <w:rPr>
            <w:rStyle w:val="Hyperlink"/>
            <w:sz w:val="16"/>
            <w:szCs w:val="16"/>
          </w:rPr>
          <w:t>https://www.healthcaredesignmagazine.com/trends/research-theory/8-considerations-benchmarking/</w:t>
        </w:r>
      </w:hyperlink>
    </w:p>
  </w:footnote>
  <w:footnote w:id="8">
    <w:p w14:paraId="07BEC633" w14:textId="229062F5" w:rsidR="000A5765" w:rsidRPr="00E46598" w:rsidRDefault="000A5765" w:rsidP="001B4A3F">
      <w:pPr>
        <w:pStyle w:val="FootnoteText"/>
        <w:rPr>
          <w:sz w:val="18"/>
          <w:szCs w:val="18"/>
        </w:rPr>
      </w:pPr>
      <w:r w:rsidRPr="00186FED">
        <w:rPr>
          <w:rStyle w:val="FootnoteReference"/>
          <w:sz w:val="16"/>
          <w:szCs w:val="16"/>
        </w:rPr>
        <w:footnoteRef/>
      </w:r>
      <w:r w:rsidRPr="00186FED">
        <w:rPr>
          <w:sz w:val="16"/>
          <w:szCs w:val="16"/>
        </w:rPr>
        <w:t xml:space="preserve"> See: </w:t>
      </w:r>
      <w:hyperlink r:id="rId7" w:history="1">
        <w:r w:rsidRPr="00186FED">
          <w:rPr>
            <w:rStyle w:val="Hyperlink"/>
            <w:sz w:val="16"/>
            <w:szCs w:val="16"/>
          </w:rPr>
          <w:t>https://www.energystar.gov/ia/business/tools_resources/target_finder/help/Space_Use_Information.htm</w:t>
        </w:r>
      </w:hyperlink>
    </w:p>
  </w:footnote>
  <w:footnote w:id="9">
    <w:p w14:paraId="138B7503" w14:textId="2E8DD170" w:rsidR="000A5765" w:rsidRPr="00186FED" w:rsidRDefault="000A5765">
      <w:pPr>
        <w:pStyle w:val="FootnoteText"/>
        <w:rPr>
          <w:sz w:val="18"/>
          <w:szCs w:val="16"/>
        </w:rPr>
      </w:pPr>
      <w:r w:rsidRPr="00186FED">
        <w:rPr>
          <w:rStyle w:val="FootnoteReference"/>
          <w:sz w:val="18"/>
          <w:szCs w:val="16"/>
        </w:rPr>
        <w:footnoteRef/>
      </w:r>
      <w:r w:rsidRPr="00186FED">
        <w:rPr>
          <w:sz w:val="18"/>
          <w:szCs w:val="16"/>
        </w:rPr>
        <w:t xml:space="preserve"> See: </w:t>
      </w:r>
      <w:hyperlink r:id="rId8" w:history="1">
        <w:r w:rsidRPr="00186FED">
          <w:rPr>
            <w:rStyle w:val="Hyperlink"/>
            <w:sz w:val="18"/>
            <w:szCs w:val="16"/>
          </w:rPr>
          <w:t>www.carbontrust.com/resources/guides/sector-based-advice/healthcare/</w:t>
        </w:r>
      </w:hyperlink>
      <w:r w:rsidRPr="00186FED">
        <w:rPr>
          <w:sz w:val="18"/>
          <w:szCs w:val="16"/>
        </w:rPr>
        <w:t xml:space="preserve"> </w:t>
      </w:r>
    </w:p>
  </w:footnote>
  <w:footnote w:id="10">
    <w:p w14:paraId="5E657BB4" w14:textId="77777777" w:rsidR="000A5765" w:rsidRDefault="000A5765" w:rsidP="000F0AE9">
      <w:pPr>
        <w:pStyle w:val="FootnoteText"/>
      </w:pPr>
      <w:r w:rsidRPr="00186FED">
        <w:rPr>
          <w:rStyle w:val="FootnoteReference"/>
          <w:sz w:val="18"/>
          <w:szCs w:val="16"/>
        </w:rPr>
        <w:footnoteRef/>
      </w:r>
      <w:r w:rsidRPr="00186FED">
        <w:rPr>
          <w:sz w:val="18"/>
          <w:szCs w:val="16"/>
        </w:rPr>
        <w:t xml:space="preserve"> Note that these calculations essentially label much hospital equipment as </w:t>
      </w:r>
      <w:r w:rsidRPr="00186FED">
        <w:rPr>
          <w:i/>
          <w:sz w:val="18"/>
          <w:szCs w:val="16"/>
        </w:rPr>
        <w:t>infrastructure</w:t>
      </w:r>
      <w:r w:rsidRPr="00186FED">
        <w:rPr>
          <w:sz w:val="18"/>
          <w:szCs w:val="16"/>
        </w:rPr>
        <w:t xml:space="preserve"> rather than adding the associated embodied energy to the consumption sector </w:t>
      </w:r>
      <w:r w:rsidRPr="00186FED">
        <w:rPr>
          <w:i/>
          <w:sz w:val="18"/>
          <w:szCs w:val="16"/>
        </w:rPr>
        <w:t>public services</w:t>
      </w:r>
      <w:r w:rsidRPr="00186FED">
        <w:rPr>
          <w:sz w:val="18"/>
          <w:szCs w:val="16"/>
        </w:rPr>
        <w:t>, which would be more consistent with how other consumption sectors are treated. This is, however, only an issue for presentation of results and has no effect on the calculated total energy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7B4"/>
    <w:multiLevelType w:val="multilevel"/>
    <w:tmpl w:val="20048B5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DC0512"/>
    <w:multiLevelType w:val="hybridMultilevel"/>
    <w:tmpl w:val="8002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73DA6"/>
    <w:multiLevelType w:val="hybridMultilevel"/>
    <w:tmpl w:val="A8265692"/>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C1E5445"/>
    <w:multiLevelType w:val="hybridMultilevel"/>
    <w:tmpl w:val="DF1CB554"/>
    <w:lvl w:ilvl="0" w:tplc="EEAE0DF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D7009F8"/>
    <w:multiLevelType w:val="multilevel"/>
    <w:tmpl w:val="2C4008B6"/>
    <w:lvl w:ilvl="0">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2D81715E"/>
    <w:multiLevelType w:val="hybridMultilevel"/>
    <w:tmpl w:val="A03829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800182"/>
    <w:multiLevelType w:val="hybridMultilevel"/>
    <w:tmpl w:val="1E6ED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97F79"/>
    <w:multiLevelType w:val="hybridMultilevel"/>
    <w:tmpl w:val="4C9ED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79641B"/>
    <w:multiLevelType w:val="hybridMultilevel"/>
    <w:tmpl w:val="3516FA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F56530"/>
    <w:multiLevelType w:val="hybridMultilevel"/>
    <w:tmpl w:val="5A14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B4377"/>
    <w:multiLevelType w:val="hybridMultilevel"/>
    <w:tmpl w:val="E1145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CC5D26"/>
    <w:multiLevelType w:val="hybridMultilevel"/>
    <w:tmpl w:val="7C565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FD5ACF"/>
    <w:multiLevelType w:val="hybridMultilevel"/>
    <w:tmpl w:val="071A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8553B"/>
    <w:multiLevelType w:val="hybridMultilevel"/>
    <w:tmpl w:val="DBF6F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CE4CF6"/>
    <w:multiLevelType w:val="hybridMultilevel"/>
    <w:tmpl w:val="45CE3E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681102"/>
    <w:multiLevelType w:val="hybridMultilevel"/>
    <w:tmpl w:val="44A03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72699C"/>
    <w:multiLevelType w:val="hybridMultilevel"/>
    <w:tmpl w:val="90B85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2974EA"/>
    <w:multiLevelType w:val="hybridMultilevel"/>
    <w:tmpl w:val="1530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12"/>
  </w:num>
  <w:num w:numId="5">
    <w:abstractNumId w:val="13"/>
  </w:num>
  <w:num w:numId="6">
    <w:abstractNumId w:val="16"/>
  </w:num>
  <w:num w:numId="7">
    <w:abstractNumId w:val="7"/>
  </w:num>
  <w:num w:numId="8">
    <w:abstractNumId w:val="11"/>
  </w:num>
  <w:num w:numId="9">
    <w:abstractNumId w:val="6"/>
  </w:num>
  <w:num w:numId="10">
    <w:abstractNumId w:val="17"/>
  </w:num>
  <w:num w:numId="11">
    <w:abstractNumId w:val="9"/>
  </w:num>
  <w:num w:numId="12">
    <w:abstractNumId w:val="15"/>
  </w:num>
  <w:num w:numId="13">
    <w:abstractNumId w:val="0"/>
  </w:num>
  <w:num w:numId="14">
    <w:abstractNumId w:val="4"/>
  </w:num>
  <w:num w:numId="15">
    <w:abstractNumId w:val="2"/>
  </w:num>
  <w:num w:numId="16">
    <w:abstractNumId w:val="3"/>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numFmt w:val="lowerRoman"/>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ature Climate Chang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150F9"/>
    <w:rsid w:val="00001277"/>
    <w:rsid w:val="00010747"/>
    <w:rsid w:val="00013E32"/>
    <w:rsid w:val="0001402F"/>
    <w:rsid w:val="000153E7"/>
    <w:rsid w:val="00017F12"/>
    <w:rsid w:val="000202C4"/>
    <w:rsid w:val="00020B82"/>
    <w:rsid w:val="00020C75"/>
    <w:rsid w:val="00024558"/>
    <w:rsid w:val="00024CE7"/>
    <w:rsid w:val="00024D1A"/>
    <w:rsid w:val="00025416"/>
    <w:rsid w:val="000263E8"/>
    <w:rsid w:val="0002751F"/>
    <w:rsid w:val="0003123C"/>
    <w:rsid w:val="00032CBC"/>
    <w:rsid w:val="000346BC"/>
    <w:rsid w:val="000346E8"/>
    <w:rsid w:val="0003486F"/>
    <w:rsid w:val="00035622"/>
    <w:rsid w:val="000360D0"/>
    <w:rsid w:val="000413C6"/>
    <w:rsid w:val="0004248D"/>
    <w:rsid w:val="00042F70"/>
    <w:rsid w:val="000434E1"/>
    <w:rsid w:val="00045081"/>
    <w:rsid w:val="0004632B"/>
    <w:rsid w:val="00054390"/>
    <w:rsid w:val="000567A6"/>
    <w:rsid w:val="00056999"/>
    <w:rsid w:val="00056A88"/>
    <w:rsid w:val="00060C4A"/>
    <w:rsid w:val="0006112D"/>
    <w:rsid w:val="000653D0"/>
    <w:rsid w:val="00067DEB"/>
    <w:rsid w:val="00072129"/>
    <w:rsid w:val="000727C9"/>
    <w:rsid w:val="0007346F"/>
    <w:rsid w:val="0007619F"/>
    <w:rsid w:val="0007729E"/>
    <w:rsid w:val="0007794A"/>
    <w:rsid w:val="00077ADC"/>
    <w:rsid w:val="000803BD"/>
    <w:rsid w:val="00080C52"/>
    <w:rsid w:val="00084DCB"/>
    <w:rsid w:val="00085097"/>
    <w:rsid w:val="0008571B"/>
    <w:rsid w:val="00086C93"/>
    <w:rsid w:val="00091DB6"/>
    <w:rsid w:val="0009251E"/>
    <w:rsid w:val="00092D1E"/>
    <w:rsid w:val="00096FA7"/>
    <w:rsid w:val="000A0D7B"/>
    <w:rsid w:val="000A0F0D"/>
    <w:rsid w:val="000A32C7"/>
    <w:rsid w:val="000A5765"/>
    <w:rsid w:val="000A6AEB"/>
    <w:rsid w:val="000A726A"/>
    <w:rsid w:val="000B0284"/>
    <w:rsid w:val="000B1A39"/>
    <w:rsid w:val="000B3C6D"/>
    <w:rsid w:val="000B4E30"/>
    <w:rsid w:val="000B562C"/>
    <w:rsid w:val="000B7CF3"/>
    <w:rsid w:val="000B7E8C"/>
    <w:rsid w:val="000C01DB"/>
    <w:rsid w:val="000C03CC"/>
    <w:rsid w:val="000C11F3"/>
    <w:rsid w:val="000C2F8A"/>
    <w:rsid w:val="000C4B03"/>
    <w:rsid w:val="000C5F6A"/>
    <w:rsid w:val="000D0CF7"/>
    <w:rsid w:val="000D1CA7"/>
    <w:rsid w:val="000D514E"/>
    <w:rsid w:val="000D5794"/>
    <w:rsid w:val="000D58F6"/>
    <w:rsid w:val="000E3D8D"/>
    <w:rsid w:val="000E3FE0"/>
    <w:rsid w:val="000E5035"/>
    <w:rsid w:val="000F0AE9"/>
    <w:rsid w:val="000F1090"/>
    <w:rsid w:val="000F72C3"/>
    <w:rsid w:val="000F760C"/>
    <w:rsid w:val="00103466"/>
    <w:rsid w:val="001037B0"/>
    <w:rsid w:val="00103935"/>
    <w:rsid w:val="00104DF0"/>
    <w:rsid w:val="00104FAB"/>
    <w:rsid w:val="00105120"/>
    <w:rsid w:val="0010737F"/>
    <w:rsid w:val="00110150"/>
    <w:rsid w:val="00110F16"/>
    <w:rsid w:val="00111281"/>
    <w:rsid w:val="001136A0"/>
    <w:rsid w:val="00114B04"/>
    <w:rsid w:val="00115105"/>
    <w:rsid w:val="001177F5"/>
    <w:rsid w:val="001215B8"/>
    <w:rsid w:val="00123EF5"/>
    <w:rsid w:val="00124E55"/>
    <w:rsid w:val="00125350"/>
    <w:rsid w:val="0012643F"/>
    <w:rsid w:val="001308DC"/>
    <w:rsid w:val="00131795"/>
    <w:rsid w:val="0013297F"/>
    <w:rsid w:val="00133B90"/>
    <w:rsid w:val="00136279"/>
    <w:rsid w:val="00136878"/>
    <w:rsid w:val="001409CF"/>
    <w:rsid w:val="00142127"/>
    <w:rsid w:val="0014319F"/>
    <w:rsid w:val="00143AB5"/>
    <w:rsid w:val="00146554"/>
    <w:rsid w:val="00152CA6"/>
    <w:rsid w:val="001539B8"/>
    <w:rsid w:val="00156440"/>
    <w:rsid w:val="001570B5"/>
    <w:rsid w:val="001576E1"/>
    <w:rsid w:val="00157702"/>
    <w:rsid w:val="001630C7"/>
    <w:rsid w:val="001655A7"/>
    <w:rsid w:val="00167AFD"/>
    <w:rsid w:val="001716EE"/>
    <w:rsid w:val="00172D5F"/>
    <w:rsid w:val="001732CD"/>
    <w:rsid w:val="00173EDA"/>
    <w:rsid w:val="00174798"/>
    <w:rsid w:val="001802FA"/>
    <w:rsid w:val="00180B19"/>
    <w:rsid w:val="00182E45"/>
    <w:rsid w:val="00185A1C"/>
    <w:rsid w:val="00186FED"/>
    <w:rsid w:val="00187687"/>
    <w:rsid w:val="001900C3"/>
    <w:rsid w:val="001914BF"/>
    <w:rsid w:val="00191ED0"/>
    <w:rsid w:val="00195AA2"/>
    <w:rsid w:val="00196C51"/>
    <w:rsid w:val="001A2425"/>
    <w:rsid w:val="001A6CE7"/>
    <w:rsid w:val="001A7A82"/>
    <w:rsid w:val="001B0686"/>
    <w:rsid w:val="001B0CB4"/>
    <w:rsid w:val="001B0E8D"/>
    <w:rsid w:val="001B24EE"/>
    <w:rsid w:val="001B2E08"/>
    <w:rsid w:val="001B4A3F"/>
    <w:rsid w:val="001B50EE"/>
    <w:rsid w:val="001B5B5F"/>
    <w:rsid w:val="001B5BD3"/>
    <w:rsid w:val="001B6904"/>
    <w:rsid w:val="001C2E8D"/>
    <w:rsid w:val="001C41D2"/>
    <w:rsid w:val="001C486F"/>
    <w:rsid w:val="001C53FF"/>
    <w:rsid w:val="001C6278"/>
    <w:rsid w:val="001C6E99"/>
    <w:rsid w:val="001C6F75"/>
    <w:rsid w:val="001D0DB1"/>
    <w:rsid w:val="001D0F33"/>
    <w:rsid w:val="001D3282"/>
    <w:rsid w:val="001D3F71"/>
    <w:rsid w:val="001E3A9B"/>
    <w:rsid w:val="001E4DA9"/>
    <w:rsid w:val="001E79E6"/>
    <w:rsid w:val="001F6C3E"/>
    <w:rsid w:val="0020426B"/>
    <w:rsid w:val="00204623"/>
    <w:rsid w:val="00205957"/>
    <w:rsid w:val="00207C4B"/>
    <w:rsid w:val="00207F50"/>
    <w:rsid w:val="00212F92"/>
    <w:rsid w:val="002148BF"/>
    <w:rsid w:val="00214D86"/>
    <w:rsid w:val="00215A1F"/>
    <w:rsid w:val="0021693C"/>
    <w:rsid w:val="002177BD"/>
    <w:rsid w:val="00217D1B"/>
    <w:rsid w:val="002211CE"/>
    <w:rsid w:val="00222128"/>
    <w:rsid w:val="002233DA"/>
    <w:rsid w:val="00223AA3"/>
    <w:rsid w:val="00231A54"/>
    <w:rsid w:val="002327FF"/>
    <w:rsid w:val="002339A2"/>
    <w:rsid w:val="00233C8F"/>
    <w:rsid w:val="00236B9D"/>
    <w:rsid w:val="0023730C"/>
    <w:rsid w:val="002376C3"/>
    <w:rsid w:val="00241ACC"/>
    <w:rsid w:val="00244250"/>
    <w:rsid w:val="00244775"/>
    <w:rsid w:val="00244815"/>
    <w:rsid w:val="002457C0"/>
    <w:rsid w:val="00247925"/>
    <w:rsid w:val="00250EBD"/>
    <w:rsid w:val="00253E8B"/>
    <w:rsid w:val="00254861"/>
    <w:rsid w:val="00260149"/>
    <w:rsid w:val="002605F7"/>
    <w:rsid w:val="00265737"/>
    <w:rsid w:val="0026750C"/>
    <w:rsid w:val="00271298"/>
    <w:rsid w:val="00274033"/>
    <w:rsid w:val="00274C0C"/>
    <w:rsid w:val="0027754A"/>
    <w:rsid w:val="00281452"/>
    <w:rsid w:val="0028498F"/>
    <w:rsid w:val="00284FC0"/>
    <w:rsid w:val="00287151"/>
    <w:rsid w:val="0028785D"/>
    <w:rsid w:val="002906CA"/>
    <w:rsid w:val="0029076F"/>
    <w:rsid w:val="0029080E"/>
    <w:rsid w:val="00291F3B"/>
    <w:rsid w:val="00292B5D"/>
    <w:rsid w:val="00294BF8"/>
    <w:rsid w:val="0029699F"/>
    <w:rsid w:val="002A07B0"/>
    <w:rsid w:val="002A52FF"/>
    <w:rsid w:val="002B0218"/>
    <w:rsid w:val="002B378F"/>
    <w:rsid w:val="002B3958"/>
    <w:rsid w:val="002B4BC0"/>
    <w:rsid w:val="002B5697"/>
    <w:rsid w:val="002B6878"/>
    <w:rsid w:val="002C0446"/>
    <w:rsid w:val="002C1C07"/>
    <w:rsid w:val="002C3954"/>
    <w:rsid w:val="002C4157"/>
    <w:rsid w:val="002C446D"/>
    <w:rsid w:val="002D23CF"/>
    <w:rsid w:val="002D5A27"/>
    <w:rsid w:val="002D7223"/>
    <w:rsid w:val="002E0197"/>
    <w:rsid w:val="002E0EC2"/>
    <w:rsid w:val="002E23BF"/>
    <w:rsid w:val="002E2E0B"/>
    <w:rsid w:val="002E388C"/>
    <w:rsid w:val="002E3F36"/>
    <w:rsid w:val="002E3F5E"/>
    <w:rsid w:val="002E4BED"/>
    <w:rsid w:val="002E527D"/>
    <w:rsid w:val="002E6BC0"/>
    <w:rsid w:val="002E7014"/>
    <w:rsid w:val="002F18DD"/>
    <w:rsid w:val="002F1B08"/>
    <w:rsid w:val="002F4C2E"/>
    <w:rsid w:val="002F5642"/>
    <w:rsid w:val="002F5C7A"/>
    <w:rsid w:val="002F6B58"/>
    <w:rsid w:val="00300A17"/>
    <w:rsid w:val="00300AAA"/>
    <w:rsid w:val="00300D05"/>
    <w:rsid w:val="00301FE6"/>
    <w:rsid w:val="0030485B"/>
    <w:rsid w:val="0030562B"/>
    <w:rsid w:val="00305692"/>
    <w:rsid w:val="00306F5D"/>
    <w:rsid w:val="00310DC6"/>
    <w:rsid w:val="003124A2"/>
    <w:rsid w:val="00317640"/>
    <w:rsid w:val="00321450"/>
    <w:rsid w:val="003222B3"/>
    <w:rsid w:val="003227E2"/>
    <w:rsid w:val="00327856"/>
    <w:rsid w:val="00330CF0"/>
    <w:rsid w:val="003320E9"/>
    <w:rsid w:val="00332D16"/>
    <w:rsid w:val="003336C9"/>
    <w:rsid w:val="00341142"/>
    <w:rsid w:val="00343DBE"/>
    <w:rsid w:val="00343DF6"/>
    <w:rsid w:val="00344554"/>
    <w:rsid w:val="00344D6D"/>
    <w:rsid w:val="00345026"/>
    <w:rsid w:val="00345361"/>
    <w:rsid w:val="00346473"/>
    <w:rsid w:val="00346C2E"/>
    <w:rsid w:val="003517EF"/>
    <w:rsid w:val="003606DB"/>
    <w:rsid w:val="00360A35"/>
    <w:rsid w:val="00360AEF"/>
    <w:rsid w:val="00363232"/>
    <w:rsid w:val="00366379"/>
    <w:rsid w:val="00367990"/>
    <w:rsid w:val="00370CE8"/>
    <w:rsid w:val="00371C14"/>
    <w:rsid w:val="00372E55"/>
    <w:rsid w:val="003731CE"/>
    <w:rsid w:val="003742E1"/>
    <w:rsid w:val="0037641F"/>
    <w:rsid w:val="003818A3"/>
    <w:rsid w:val="0038313F"/>
    <w:rsid w:val="00385D24"/>
    <w:rsid w:val="0038734E"/>
    <w:rsid w:val="00392D82"/>
    <w:rsid w:val="00393B5B"/>
    <w:rsid w:val="003953EB"/>
    <w:rsid w:val="00397837"/>
    <w:rsid w:val="003A2FBA"/>
    <w:rsid w:val="003A5964"/>
    <w:rsid w:val="003A78CB"/>
    <w:rsid w:val="003B197B"/>
    <w:rsid w:val="003B24D8"/>
    <w:rsid w:val="003B25BB"/>
    <w:rsid w:val="003B297B"/>
    <w:rsid w:val="003B2A68"/>
    <w:rsid w:val="003C1E48"/>
    <w:rsid w:val="003C7577"/>
    <w:rsid w:val="003D117B"/>
    <w:rsid w:val="003D1868"/>
    <w:rsid w:val="003D6521"/>
    <w:rsid w:val="003E01C6"/>
    <w:rsid w:val="003E0555"/>
    <w:rsid w:val="003E5367"/>
    <w:rsid w:val="003E78F2"/>
    <w:rsid w:val="003F052B"/>
    <w:rsid w:val="003F0831"/>
    <w:rsid w:val="003F2F5A"/>
    <w:rsid w:val="003F3880"/>
    <w:rsid w:val="003F3CB0"/>
    <w:rsid w:val="003F64C9"/>
    <w:rsid w:val="00401C72"/>
    <w:rsid w:val="00402A4E"/>
    <w:rsid w:val="004103A0"/>
    <w:rsid w:val="00413713"/>
    <w:rsid w:val="0041724A"/>
    <w:rsid w:val="004202B2"/>
    <w:rsid w:val="00421FB4"/>
    <w:rsid w:val="0042283C"/>
    <w:rsid w:val="00425504"/>
    <w:rsid w:val="00427054"/>
    <w:rsid w:val="004276DA"/>
    <w:rsid w:val="00430254"/>
    <w:rsid w:val="004306B0"/>
    <w:rsid w:val="004306E4"/>
    <w:rsid w:val="00430727"/>
    <w:rsid w:val="00431896"/>
    <w:rsid w:val="00432E82"/>
    <w:rsid w:val="0043340F"/>
    <w:rsid w:val="00434E36"/>
    <w:rsid w:val="004352DD"/>
    <w:rsid w:val="00436C08"/>
    <w:rsid w:val="00441538"/>
    <w:rsid w:val="0044188F"/>
    <w:rsid w:val="00442A19"/>
    <w:rsid w:val="00442D66"/>
    <w:rsid w:val="00443703"/>
    <w:rsid w:val="0044420F"/>
    <w:rsid w:val="0044447C"/>
    <w:rsid w:val="00444801"/>
    <w:rsid w:val="00444DD8"/>
    <w:rsid w:val="0044528B"/>
    <w:rsid w:val="00446A27"/>
    <w:rsid w:val="00450DA1"/>
    <w:rsid w:val="0045109E"/>
    <w:rsid w:val="00451B9B"/>
    <w:rsid w:val="00452D3F"/>
    <w:rsid w:val="004549B5"/>
    <w:rsid w:val="00456564"/>
    <w:rsid w:val="00457377"/>
    <w:rsid w:val="004603E6"/>
    <w:rsid w:val="004607DA"/>
    <w:rsid w:val="00461154"/>
    <w:rsid w:val="00467E9A"/>
    <w:rsid w:val="00471003"/>
    <w:rsid w:val="0047159E"/>
    <w:rsid w:val="00471740"/>
    <w:rsid w:val="00475582"/>
    <w:rsid w:val="00476162"/>
    <w:rsid w:val="00480D88"/>
    <w:rsid w:val="00483E80"/>
    <w:rsid w:val="004850A3"/>
    <w:rsid w:val="0048545F"/>
    <w:rsid w:val="004861E7"/>
    <w:rsid w:val="00490AB7"/>
    <w:rsid w:val="004916FD"/>
    <w:rsid w:val="00491C51"/>
    <w:rsid w:val="00493F7B"/>
    <w:rsid w:val="0049500D"/>
    <w:rsid w:val="004A08BA"/>
    <w:rsid w:val="004A33BE"/>
    <w:rsid w:val="004A72A2"/>
    <w:rsid w:val="004A7700"/>
    <w:rsid w:val="004B02EC"/>
    <w:rsid w:val="004B0A36"/>
    <w:rsid w:val="004B1912"/>
    <w:rsid w:val="004B3246"/>
    <w:rsid w:val="004B7757"/>
    <w:rsid w:val="004B7A92"/>
    <w:rsid w:val="004C0C94"/>
    <w:rsid w:val="004C11A6"/>
    <w:rsid w:val="004C2734"/>
    <w:rsid w:val="004C43C1"/>
    <w:rsid w:val="004C458A"/>
    <w:rsid w:val="004C4D60"/>
    <w:rsid w:val="004C7CFB"/>
    <w:rsid w:val="004D0A52"/>
    <w:rsid w:val="004D2A40"/>
    <w:rsid w:val="004D37ED"/>
    <w:rsid w:val="004D397E"/>
    <w:rsid w:val="004D589E"/>
    <w:rsid w:val="004D5A6D"/>
    <w:rsid w:val="004D77E7"/>
    <w:rsid w:val="004D7EA7"/>
    <w:rsid w:val="004E07DC"/>
    <w:rsid w:val="004E5B73"/>
    <w:rsid w:val="004E6163"/>
    <w:rsid w:val="004E6AB9"/>
    <w:rsid w:val="004F0292"/>
    <w:rsid w:val="004F2873"/>
    <w:rsid w:val="004F37C6"/>
    <w:rsid w:val="004F7534"/>
    <w:rsid w:val="004F7B93"/>
    <w:rsid w:val="004F7D26"/>
    <w:rsid w:val="004F7E34"/>
    <w:rsid w:val="00500370"/>
    <w:rsid w:val="00501A31"/>
    <w:rsid w:val="00504C34"/>
    <w:rsid w:val="00506191"/>
    <w:rsid w:val="00507B75"/>
    <w:rsid w:val="00512059"/>
    <w:rsid w:val="00512601"/>
    <w:rsid w:val="00515628"/>
    <w:rsid w:val="00515E68"/>
    <w:rsid w:val="00520C7A"/>
    <w:rsid w:val="00521BAC"/>
    <w:rsid w:val="00524323"/>
    <w:rsid w:val="005269F0"/>
    <w:rsid w:val="00531C95"/>
    <w:rsid w:val="00532AD7"/>
    <w:rsid w:val="00533CFB"/>
    <w:rsid w:val="00534139"/>
    <w:rsid w:val="0053777C"/>
    <w:rsid w:val="00541E44"/>
    <w:rsid w:val="0054200A"/>
    <w:rsid w:val="00544168"/>
    <w:rsid w:val="00544B76"/>
    <w:rsid w:val="00544E07"/>
    <w:rsid w:val="005454F4"/>
    <w:rsid w:val="00546259"/>
    <w:rsid w:val="00546B9F"/>
    <w:rsid w:val="00546DB6"/>
    <w:rsid w:val="005576B3"/>
    <w:rsid w:val="005579E9"/>
    <w:rsid w:val="00560C90"/>
    <w:rsid w:val="00563F8B"/>
    <w:rsid w:val="00565CAF"/>
    <w:rsid w:val="005702AD"/>
    <w:rsid w:val="0057596F"/>
    <w:rsid w:val="005766A6"/>
    <w:rsid w:val="00580C87"/>
    <w:rsid w:val="00580F7C"/>
    <w:rsid w:val="0058436A"/>
    <w:rsid w:val="00585522"/>
    <w:rsid w:val="00585EA3"/>
    <w:rsid w:val="00593B50"/>
    <w:rsid w:val="00593D97"/>
    <w:rsid w:val="005952F0"/>
    <w:rsid w:val="00595915"/>
    <w:rsid w:val="0059645D"/>
    <w:rsid w:val="0059765B"/>
    <w:rsid w:val="005A06DD"/>
    <w:rsid w:val="005A2B50"/>
    <w:rsid w:val="005A2D03"/>
    <w:rsid w:val="005A3670"/>
    <w:rsid w:val="005A5C1F"/>
    <w:rsid w:val="005A70E0"/>
    <w:rsid w:val="005A7523"/>
    <w:rsid w:val="005B1649"/>
    <w:rsid w:val="005B2EBA"/>
    <w:rsid w:val="005B396D"/>
    <w:rsid w:val="005B432E"/>
    <w:rsid w:val="005B540F"/>
    <w:rsid w:val="005B673C"/>
    <w:rsid w:val="005C057D"/>
    <w:rsid w:val="005C23C0"/>
    <w:rsid w:val="005C2B6F"/>
    <w:rsid w:val="005C3C81"/>
    <w:rsid w:val="005C42B5"/>
    <w:rsid w:val="005C5226"/>
    <w:rsid w:val="005D0F98"/>
    <w:rsid w:val="005D1978"/>
    <w:rsid w:val="005D28B7"/>
    <w:rsid w:val="005D34D8"/>
    <w:rsid w:val="005D5206"/>
    <w:rsid w:val="005D5424"/>
    <w:rsid w:val="005D5A25"/>
    <w:rsid w:val="005D5C46"/>
    <w:rsid w:val="005E2EB4"/>
    <w:rsid w:val="005E3F96"/>
    <w:rsid w:val="005E78E2"/>
    <w:rsid w:val="005F042D"/>
    <w:rsid w:val="005F05CF"/>
    <w:rsid w:val="005F29EC"/>
    <w:rsid w:val="005F3BA8"/>
    <w:rsid w:val="005F5D89"/>
    <w:rsid w:val="005F7237"/>
    <w:rsid w:val="00604D89"/>
    <w:rsid w:val="00605352"/>
    <w:rsid w:val="00607281"/>
    <w:rsid w:val="00610BBC"/>
    <w:rsid w:val="00611540"/>
    <w:rsid w:val="00611B62"/>
    <w:rsid w:val="00611DD6"/>
    <w:rsid w:val="00613F73"/>
    <w:rsid w:val="00615CB4"/>
    <w:rsid w:val="0061625D"/>
    <w:rsid w:val="00617132"/>
    <w:rsid w:val="00620C7F"/>
    <w:rsid w:val="00620F59"/>
    <w:rsid w:val="0062112F"/>
    <w:rsid w:val="00621CB0"/>
    <w:rsid w:val="0062531F"/>
    <w:rsid w:val="0063682C"/>
    <w:rsid w:val="006368A7"/>
    <w:rsid w:val="006407D5"/>
    <w:rsid w:val="00641C8A"/>
    <w:rsid w:val="006421EF"/>
    <w:rsid w:val="006423DC"/>
    <w:rsid w:val="00643A14"/>
    <w:rsid w:val="00647488"/>
    <w:rsid w:val="006474E0"/>
    <w:rsid w:val="00656DB6"/>
    <w:rsid w:val="006575FB"/>
    <w:rsid w:val="00657776"/>
    <w:rsid w:val="00657964"/>
    <w:rsid w:val="00657CC2"/>
    <w:rsid w:val="0066136C"/>
    <w:rsid w:val="006621E9"/>
    <w:rsid w:val="00663438"/>
    <w:rsid w:val="00665F2A"/>
    <w:rsid w:val="00666829"/>
    <w:rsid w:val="00666C31"/>
    <w:rsid w:val="00666E94"/>
    <w:rsid w:val="00670210"/>
    <w:rsid w:val="006706A1"/>
    <w:rsid w:val="00670928"/>
    <w:rsid w:val="00670B86"/>
    <w:rsid w:val="0067164A"/>
    <w:rsid w:val="00672E5A"/>
    <w:rsid w:val="00673866"/>
    <w:rsid w:val="00675F73"/>
    <w:rsid w:val="006774B5"/>
    <w:rsid w:val="00677BCC"/>
    <w:rsid w:val="00680E15"/>
    <w:rsid w:val="00681428"/>
    <w:rsid w:val="006819BD"/>
    <w:rsid w:val="00682587"/>
    <w:rsid w:val="00683980"/>
    <w:rsid w:val="00684B51"/>
    <w:rsid w:val="00687C2D"/>
    <w:rsid w:val="00691913"/>
    <w:rsid w:val="00695F42"/>
    <w:rsid w:val="00696F91"/>
    <w:rsid w:val="00696FC7"/>
    <w:rsid w:val="00697140"/>
    <w:rsid w:val="006973AD"/>
    <w:rsid w:val="006A2825"/>
    <w:rsid w:val="006A3314"/>
    <w:rsid w:val="006A5CF5"/>
    <w:rsid w:val="006A71F0"/>
    <w:rsid w:val="006A79A9"/>
    <w:rsid w:val="006B0FAE"/>
    <w:rsid w:val="006B1200"/>
    <w:rsid w:val="006B2F8D"/>
    <w:rsid w:val="006B4CF2"/>
    <w:rsid w:val="006B549F"/>
    <w:rsid w:val="006B7103"/>
    <w:rsid w:val="006C0E52"/>
    <w:rsid w:val="006C487B"/>
    <w:rsid w:val="006C4A31"/>
    <w:rsid w:val="006C5F2A"/>
    <w:rsid w:val="006C6E49"/>
    <w:rsid w:val="006C70B8"/>
    <w:rsid w:val="006D0C52"/>
    <w:rsid w:val="006D0C7E"/>
    <w:rsid w:val="006D5E57"/>
    <w:rsid w:val="006D709D"/>
    <w:rsid w:val="006E0364"/>
    <w:rsid w:val="006E4145"/>
    <w:rsid w:val="006E57B6"/>
    <w:rsid w:val="006E5D7A"/>
    <w:rsid w:val="006E7168"/>
    <w:rsid w:val="006E780A"/>
    <w:rsid w:val="006F08F9"/>
    <w:rsid w:val="006F1819"/>
    <w:rsid w:val="006F53C5"/>
    <w:rsid w:val="006F6362"/>
    <w:rsid w:val="00700D18"/>
    <w:rsid w:val="00700E76"/>
    <w:rsid w:val="00703DA2"/>
    <w:rsid w:val="00704085"/>
    <w:rsid w:val="0070751D"/>
    <w:rsid w:val="0071167C"/>
    <w:rsid w:val="00711A35"/>
    <w:rsid w:val="007123B7"/>
    <w:rsid w:val="00713B39"/>
    <w:rsid w:val="00721783"/>
    <w:rsid w:val="007219B9"/>
    <w:rsid w:val="007224E9"/>
    <w:rsid w:val="00724491"/>
    <w:rsid w:val="007245D6"/>
    <w:rsid w:val="007253CE"/>
    <w:rsid w:val="007274BB"/>
    <w:rsid w:val="00730BD3"/>
    <w:rsid w:val="00732D74"/>
    <w:rsid w:val="007332ED"/>
    <w:rsid w:val="00733442"/>
    <w:rsid w:val="00733484"/>
    <w:rsid w:val="00736995"/>
    <w:rsid w:val="007423B0"/>
    <w:rsid w:val="0074309A"/>
    <w:rsid w:val="007434C9"/>
    <w:rsid w:val="00745EF9"/>
    <w:rsid w:val="00750D68"/>
    <w:rsid w:val="00750FCB"/>
    <w:rsid w:val="00751322"/>
    <w:rsid w:val="00753D2E"/>
    <w:rsid w:val="00754064"/>
    <w:rsid w:val="007543F7"/>
    <w:rsid w:val="007576E4"/>
    <w:rsid w:val="007614EA"/>
    <w:rsid w:val="00761A64"/>
    <w:rsid w:val="00762263"/>
    <w:rsid w:val="0076294E"/>
    <w:rsid w:val="00762D9D"/>
    <w:rsid w:val="007646BC"/>
    <w:rsid w:val="007728FD"/>
    <w:rsid w:val="00774A6D"/>
    <w:rsid w:val="00777120"/>
    <w:rsid w:val="00777870"/>
    <w:rsid w:val="00780D6D"/>
    <w:rsid w:val="00781EE3"/>
    <w:rsid w:val="00786760"/>
    <w:rsid w:val="007874EA"/>
    <w:rsid w:val="0078765D"/>
    <w:rsid w:val="00790324"/>
    <w:rsid w:val="0079286A"/>
    <w:rsid w:val="00792B28"/>
    <w:rsid w:val="00793B2F"/>
    <w:rsid w:val="00795C15"/>
    <w:rsid w:val="00796944"/>
    <w:rsid w:val="00797F87"/>
    <w:rsid w:val="007A04E1"/>
    <w:rsid w:val="007A062E"/>
    <w:rsid w:val="007A1895"/>
    <w:rsid w:val="007A30B6"/>
    <w:rsid w:val="007A3B95"/>
    <w:rsid w:val="007A4AF7"/>
    <w:rsid w:val="007A696D"/>
    <w:rsid w:val="007A7C60"/>
    <w:rsid w:val="007B0321"/>
    <w:rsid w:val="007B0A7F"/>
    <w:rsid w:val="007B1C9F"/>
    <w:rsid w:val="007B1F63"/>
    <w:rsid w:val="007B2EA7"/>
    <w:rsid w:val="007B2FB6"/>
    <w:rsid w:val="007B3973"/>
    <w:rsid w:val="007B4DF9"/>
    <w:rsid w:val="007B6EB7"/>
    <w:rsid w:val="007B7BBA"/>
    <w:rsid w:val="007B7FEC"/>
    <w:rsid w:val="007C0BF8"/>
    <w:rsid w:val="007C1147"/>
    <w:rsid w:val="007C2EAE"/>
    <w:rsid w:val="007C4ED7"/>
    <w:rsid w:val="007C6228"/>
    <w:rsid w:val="007D0582"/>
    <w:rsid w:val="007D0D06"/>
    <w:rsid w:val="007D23D0"/>
    <w:rsid w:val="007D51DA"/>
    <w:rsid w:val="007D5A39"/>
    <w:rsid w:val="007D5E4A"/>
    <w:rsid w:val="007D7E3C"/>
    <w:rsid w:val="007E0B11"/>
    <w:rsid w:val="007E3B41"/>
    <w:rsid w:val="007E3B97"/>
    <w:rsid w:val="007E401B"/>
    <w:rsid w:val="007E454D"/>
    <w:rsid w:val="007E46AB"/>
    <w:rsid w:val="007F4759"/>
    <w:rsid w:val="007F7E92"/>
    <w:rsid w:val="00801AAB"/>
    <w:rsid w:val="00803489"/>
    <w:rsid w:val="008041E2"/>
    <w:rsid w:val="00805112"/>
    <w:rsid w:val="008074B2"/>
    <w:rsid w:val="00813662"/>
    <w:rsid w:val="008139FF"/>
    <w:rsid w:val="00815CD5"/>
    <w:rsid w:val="00816057"/>
    <w:rsid w:val="00816456"/>
    <w:rsid w:val="008174D8"/>
    <w:rsid w:val="0082109B"/>
    <w:rsid w:val="008243D4"/>
    <w:rsid w:val="00825D95"/>
    <w:rsid w:val="00827A93"/>
    <w:rsid w:val="0083533D"/>
    <w:rsid w:val="00835EC1"/>
    <w:rsid w:val="00836AB5"/>
    <w:rsid w:val="00840556"/>
    <w:rsid w:val="008408CD"/>
    <w:rsid w:val="00840FC4"/>
    <w:rsid w:val="008471FC"/>
    <w:rsid w:val="00852C44"/>
    <w:rsid w:val="00853883"/>
    <w:rsid w:val="00853C9C"/>
    <w:rsid w:val="0085434B"/>
    <w:rsid w:val="00854D80"/>
    <w:rsid w:val="00857637"/>
    <w:rsid w:val="008579DF"/>
    <w:rsid w:val="00857F78"/>
    <w:rsid w:val="00862218"/>
    <w:rsid w:val="00866BD3"/>
    <w:rsid w:val="008676ED"/>
    <w:rsid w:val="00867A7F"/>
    <w:rsid w:val="00871142"/>
    <w:rsid w:val="00874877"/>
    <w:rsid w:val="008759DA"/>
    <w:rsid w:val="00880A13"/>
    <w:rsid w:val="00881D1C"/>
    <w:rsid w:val="008827E3"/>
    <w:rsid w:val="008864DF"/>
    <w:rsid w:val="00892551"/>
    <w:rsid w:val="00893FB8"/>
    <w:rsid w:val="00894024"/>
    <w:rsid w:val="00895309"/>
    <w:rsid w:val="00895E72"/>
    <w:rsid w:val="008A1B1F"/>
    <w:rsid w:val="008A3805"/>
    <w:rsid w:val="008A4AAE"/>
    <w:rsid w:val="008A6745"/>
    <w:rsid w:val="008B1B0F"/>
    <w:rsid w:val="008B2C0D"/>
    <w:rsid w:val="008B2F18"/>
    <w:rsid w:val="008B416F"/>
    <w:rsid w:val="008B4248"/>
    <w:rsid w:val="008B634D"/>
    <w:rsid w:val="008B6F2A"/>
    <w:rsid w:val="008B7404"/>
    <w:rsid w:val="008C0EDC"/>
    <w:rsid w:val="008C1A72"/>
    <w:rsid w:val="008C1E33"/>
    <w:rsid w:val="008C2C30"/>
    <w:rsid w:val="008C3BE5"/>
    <w:rsid w:val="008C5392"/>
    <w:rsid w:val="008C617D"/>
    <w:rsid w:val="008C67D5"/>
    <w:rsid w:val="008C6F60"/>
    <w:rsid w:val="008D1613"/>
    <w:rsid w:val="008D249C"/>
    <w:rsid w:val="008D37D3"/>
    <w:rsid w:val="008D438A"/>
    <w:rsid w:val="008E0270"/>
    <w:rsid w:val="008E2DB0"/>
    <w:rsid w:val="008E3809"/>
    <w:rsid w:val="008F2D6D"/>
    <w:rsid w:val="008F434B"/>
    <w:rsid w:val="008F6F9C"/>
    <w:rsid w:val="008F7B99"/>
    <w:rsid w:val="00901BD8"/>
    <w:rsid w:val="009037AB"/>
    <w:rsid w:val="00906C1A"/>
    <w:rsid w:val="009076E9"/>
    <w:rsid w:val="0091403F"/>
    <w:rsid w:val="00914586"/>
    <w:rsid w:val="0091711E"/>
    <w:rsid w:val="00932BEB"/>
    <w:rsid w:val="009330C1"/>
    <w:rsid w:val="0093362A"/>
    <w:rsid w:val="00933733"/>
    <w:rsid w:val="00934AD3"/>
    <w:rsid w:val="00941567"/>
    <w:rsid w:val="00941678"/>
    <w:rsid w:val="00942A6D"/>
    <w:rsid w:val="009431B8"/>
    <w:rsid w:val="009449BA"/>
    <w:rsid w:val="00944D60"/>
    <w:rsid w:val="00945D13"/>
    <w:rsid w:val="00946FCA"/>
    <w:rsid w:val="00956146"/>
    <w:rsid w:val="00957E15"/>
    <w:rsid w:val="00960D81"/>
    <w:rsid w:val="009610E7"/>
    <w:rsid w:val="00965866"/>
    <w:rsid w:val="009701F4"/>
    <w:rsid w:val="00971564"/>
    <w:rsid w:val="0097388E"/>
    <w:rsid w:val="00973B9D"/>
    <w:rsid w:val="0097413C"/>
    <w:rsid w:val="009758D1"/>
    <w:rsid w:val="00977681"/>
    <w:rsid w:val="0097781F"/>
    <w:rsid w:val="00983BDD"/>
    <w:rsid w:val="00984418"/>
    <w:rsid w:val="009856C8"/>
    <w:rsid w:val="009879F7"/>
    <w:rsid w:val="00987FD4"/>
    <w:rsid w:val="0099077D"/>
    <w:rsid w:val="00992608"/>
    <w:rsid w:val="0099300A"/>
    <w:rsid w:val="00993299"/>
    <w:rsid w:val="00993B9A"/>
    <w:rsid w:val="0099416A"/>
    <w:rsid w:val="00994644"/>
    <w:rsid w:val="009A0084"/>
    <w:rsid w:val="009A0148"/>
    <w:rsid w:val="009A2AC3"/>
    <w:rsid w:val="009A350A"/>
    <w:rsid w:val="009A4CAD"/>
    <w:rsid w:val="009B18E8"/>
    <w:rsid w:val="009B261E"/>
    <w:rsid w:val="009B3537"/>
    <w:rsid w:val="009B41DC"/>
    <w:rsid w:val="009C424A"/>
    <w:rsid w:val="009C656B"/>
    <w:rsid w:val="009C76E3"/>
    <w:rsid w:val="009C77AC"/>
    <w:rsid w:val="009D342C"/>
    <w:rsid w:val="009D4E41"/>
    <w:rsid w:val="009D5F47"/>
    <w:rsid w:val="009E4ECE"/>
    <w:rsid w:val="009E570F"/>
    <w:rsid w:val="009E6070"/>
    <w:rsid w:val="009F063E"/>
    <w:rsid w:val="009F0F4B"/>
    <w:rsid w:val="009F2381"/>
    <w:rsid w:val="009F42CB"/>
    <w:rsid w:val="009F67E5"/>
    <w:rsid w:val="009F7331"/>
    <w:rsid w:val="00A001DC"/>
    <w:rsid w:val="00A056A3"/>
    <w:rsid w:val="00A06120"/>
    <w:rsid w:val="00A10096"/>
    <w:rsid w:val="00A104D1"/>
    <w:rsid w:val="00A11ECF"/>
    <w:rsid w:val="00A12B7A"/>
    <w:rsid w:val="00A143E7"/>
    <w:rsid w:val="00A15362"/>
    <w:rsid w:val="00A1559C"/>
    <w:rsid w:val="00A15A5B"/>
    <w:rsid w:val="00A15A8A"/>
    <w:rsid w:val="00A15ED8"/>
    <w:rsid w:val="00A16062"/>
    <w:rsid w:val="00A20780"/>
    <w:rsid w:val="00A21A4B"/>
    <w:rsid w:val="00A2770A"/>
    <w:rsid w:val="00A32841"/>
    <w:rsid w:val="00A32B03"/>
    <w:rsid w:val="00A35EA1"/>
    <w:rsid w:val="00A36753"/>
    <w:rsid w:val="00A407FD"/>
    <w:rsid w:val="00A41104"/>
    <w:rsid w:val="00A43A3A"/>
    <w:rsid w:val="00A44455"/>
    <w:rsid w:val="00A51C8F"/>
    <w:rsid w:val="00A5581F"/>
    <w:rsid w:val="00A57AD1"/>
    <w:rsid w:val="00A60B60"/>
    <w:rsid w:val="00A63EBF"/>
    <w:rsid w:val="00A66D5B"/>
    <w:rsid w:val="00A66DCD"/>
    <w:rsid w:val="00A67F10"/>
    <w:rsid w:val="00A7029C"/>
    <w:rsid w:val="00A70F63"/>
    <w:rsid w:val="00A734BE"/>
    <w:rsid w:val="00A735E5"/>
    <w:rsid w:val="00A736D0"/>
    <w:rsid w:val="00A73B52"/>
    <w:rsid w:val="00A77623"/>
    <w:rsid w:val="00A778F4"/>
    <w:rsid w:val="00A77C2C"/>
    <w:rsid w:val="00A77EB7"/>
    <w:rsid w:val="00A82881"/>
    <w:rsid w:val="00A83D7B"/>
    <w:rsid w:val="00A8541F"/>
    <w:rsid w:val="00A8595E"/>
    <w:rsid w:val="00A9091F"/>
    <w:rsid w:val="00A9240B"/>
    <w:rsid w:val="00A924C1"/>
    <w:rsid w:val="00A93BC9"/>
    <w:rsid w:val="00A96097"/>
    <w:rsid w:val="00A9799B"/>
    <w:rsid w:val="00AA071D"/>
    <w:rsid w:val="00AA087F"/>
    <w:rsid w:val="00AA64CB"/>
    <w:rsid w:val="00AB004E"/>
    <w:rsid w:val="00AB3EEF"/>
    <w:rsid w:val="00AB446F"/>
    <w:rsid w:val="00AB4B9F"/>
    <w:rsid w:val="00AB5C1A"/>
    <w:rsid w:val="00AB6F59"/>
    <w:rsid w:val="00AC1A6B"/>
    <w:rsid w:val="00AC3883"/>
    <w:rsid w:val="00AC3B67"/>
    <w:rsid w:val="00AC44CE"/>
    <w:rsid w:val="00AC4AA1"/>
    <w:rsid w:val="00AC563A"/>
    <w:rsid w:val="00AC6053"/>
    <w:rsid w:val="00AC6E96"/>
    <w:rsid w:val="00AC7364"/>
    <w:rsid w:val="00AD0A81"/>
    <w:rsid w:val="00AD1915"/>
    <w:rsid w:val="00AD6B99"/>
    <w:rsid w:val="00AD7617"/>
    <w:rsid w:val="00AE0A81"/>
    <w:rsid w:val="00AE1FA3"/>
    <w:rsid w:val="00AE4DB9"/>
    <w:rsid w:val="00AE6184"/>
    <w:rsid w:val="00AE6F44"/>
    <w:rsid w:val="00AE71A6"/>
    <w:rsid w:val="00AF0702"/>
    <w:rsid w:val="00AF5ABD"/>
    <w:rsid w:val="00AF6AE0"/>
    <w:rsid w:val="00AF7B32"/>
    <w:rsid w:val="00B02829"/>
    <w:rsid w:val="00B0297D"/>
    <w:rsid w:val="00B03B27"/>
    <w:rsid w:val="00B03F83"/>
    <w:rsid w:val="00B04E95"/>
    <w:rsid w:val="00B058FA"/>
    <w:rsid w:val="00B06AA9"/>
    <w:rsid w:val="00B07E45"/>
    <w:rsid w:val="00B10CC6"/>
    <w:rsid w:val="00B10FFE"/>
    <w:rsid w:val="00B150F9"/>
    <w:rsid w:val="00B152E5"/>
    <w:rsid w:val="00B153F8"/>
    <w:rsid w:val="00B15775"/>
    <w:rsid w:val="00B15E37"/>
    <w:rsid w:val="00B169BA"/>
    <w:rsid w:val="00B20917"/>
    <w:rsid w:val="00B2098D"/>
    <w:rsid w:val="00B20E56"/>
    <w:rsid w:val="00B2226B"/>
    <w:rsid w:val="00B2226D"/>
    <w:rsid w:val="00B23CA1"/>
    <w:rsid w:val="00B2426C"/>
    <w:rsid w:val="00B31FE5"/>
    <w:rsid w:val="00B335DB"/>
    <w:rsid w:val="00B341CA"/>
    <w:rsid w:val="00B343A0"/>
    <w:rsid w:val="00B34EA6"/>
    <w:rsid w:val="00B3745C"/>
    <w:rsid w:val="00B40F76"/>
    <w:rsid w:val="00B4161C"/>
    <w:rsid w:val="00B41EE0"/>
    <w:rsid w:val="00B440F6"/>
    <w:rsid w:val="00B470BD"/>
    <w:rsid w:val="00B5278E"/>
    <w:rsid w:val="00B54C76"/>
    <w:rsid w:val="00B553A5"/>
    <w:rsid w:val="00B55984"/>
    <w:rsid w:val="00B55D64"/>
    <w:rsid w:val="00B5774B"/>
    <w:rsid w:val="00B6406D"/>
    <w:rsid w:val="00B64CB1"/>
    <w:rsid w:val="00B71D5A"/>
    <w:rsid w:val="00B728D1"/>
    <w:rsid w:val="00B73A2B"/>
    <w:rsid w:val="00B76014"/>
    <w:rsid w:val="00B77BBE"/>
    <w:rsid w:val="00B81574"/>
    <w:rsid w:val="00B81F14"/>
    <w:rsid w:val="00B82769"/>
    <w:rsid w:val="00B82B6E"/>
    <w:rsid w:val="00B855D8"/>
    <w:rsid w:val="00B865A7"/>
    <w:rsid w:val="00B873D5"/>
    <w:rsid w:val="00B87734"/>
    <w:rsid w:val="00B90BF4"/>
    <w:rsid w:val="00B930C8"/>
    <w:rsid w:val="00B96BBC"/>
    <w:rsid w:val="00BA0946"/>
    <w:rsid w:val="00BA0A4C"/>
    <w:rsid w:val="00BA1A3E"/>
    <w:rsid w:val="00BA4DD3"/>
    <w:rsid w:val="00BA6608"/>
    <w:rsid w:val="00BB03F6"/>
    <w:rsid w:val="00BB14C9"/>
    <w:rsid w:val="00BB3105"/>
    <w:rsid w:val="00BB3EAA"/>
    <w:rsid w:val="00BB6721"/>
    <w:rsid w:val="00BC3036"/>
    <w:rsid w:val="00BC5957"/>
    <w:rsid w:val="00BC63FF"/>
    <w:rsid w:val="00BD0D63"/>
    <w:rsid w:val="00BD28D6"/>
    <w:rsid w:val="00BD2E93"/>
    <w:rsid w:val="00BD411B"/>
    <w:rsid w:val="00BD7454"/>
    <w:rsid w:val="00BE3A41"/>
    <w:rsid w:val="00BE4C8B"/>
    <w:rsid w:val="00BE4E22"/>
    <w:rsid w:val="00BE6796"/>
    <w:rsid w:val="00BF098E"/>
    <w:rsid w:val="00BF119A"/>
    <w:rsid w:val="00BF19A7"/>
    <w:rsid w:val="00BF23EE"/>
    <w:rsid w:val="00BF29C3"/>
    <w:rsid w:val="00BF33F6"/>
    <w:rsid w:val="00BF3ED6"/>
    <w:rsid w:val="00BF4CF3"/>
    <w:rsid w:val="00C001B4"/>
    <w:rsid w:val="00C03334"/>
    <w:rsid w:val="00C055F8"/>
    <w:rsid w:val="00C069AD"/>
    <w:rsid w:val="00C07867"/>
    <w:rsid w:val="00C078AD"/>
    <w:rsid w:val="00C07D39"/>
    <w:rsid w:val="00C10DCF"/>
    <w:rsid w:val="00C12B3D"/>
    <w:rsid w:val="00C203EE"/>
    <w:rsid w:val="00C205FC"/>
    <w:rsid w:val="00C21D06"/>
    <w:rsid w:val="00C22850"/>
    <w:rsid w:val="00C253DB"/>
    <w:rsid w:val="00C27546"/>
    <w:rsid w:val="00C3070C"/>
    <w:rsid w:val="00C32616"/>
    <w:rsid w:val="00C33D94"/>
    <w:rsid w:val="00C33E1B"/>
    <w:rsid w:val="00C34EE6"/>
    <w:rsid w:val="00C41B0B"/>
    <w:rsid w:val="00C41CFD"/>
    <w:rsid w:val="00C44045"/>
    <w:rsid w:val="00C449FC"/>
    <w:rsid w:val="00C46306"/>
    <w:rsid w:val="00C5286F"/>
    <w:rsid w:val="00C556CC"/>
    <w:rsid w:val="00C55A0F"/>
    <w:rsid w:val="00C574FA"/>
    <w:rsid w:val="00C579A8"/>
    <w:rsid w:val="00C612F2"/>
    <w:rsid w:val="00C63591"/>
    <w:rsid w:val="00C64F3C"/>
    <w:rsid w:val="00C66408"/>
    <w:rsid w:val="00C6767A"/>
    <w:rsid w:val="00C70343"/>
    <w:rsid w:val="00C703B1"/>
    <w:rsid w:val="00C77F40"/>
    <w:rsid w:val="00C80854"/>
    <w:rsid w:val="00C83208"/>
    <w:rsid w:val="00C83EF3"/>
    <w:rsid w:val="00C85BB9"/>
    <w:rsid w:val="00C86CF4"/>
    <w:rsid w:val="00C87582"/>
    <w:rsid w:val="00C9192C"/>
    <w:rsid w:val="00C91A23"/>
    <w:rsid w:val="00C91CB9"/>
    <w:rsid w:val="00C92505"/>
    <w:rsid w:val="00C94F35"/>
    <w:rsid w:val="00CA0AB9"/>
    <w:rsid w:val="00CA1488"/>
    <w:rsid w:val="00CA3D20"/>
    <w:rsid w:val="00CA4CBE"/>
    <w:rsid w:val="00CA52D3"/>
    <w:rsid w:val="00CA79E3"/>
    <w:rsid w:val="00CA7E64"/>
    <w:rsid w:val="00CB0352"/>
    <w:rsid w:val="00CB0C6B"/>
    <w:rsid w:val="00CB12A8"/>
    <w:rsid w:val="00CB1F1A"/>
    <w:rsid w:val="00CB203E"/>
    <w:rsid w:val="00CB48A5"/>
    <w:rsid w:val="00CB578B"/>
    <w:rsid w:val="00CB61F4"/>
    <w:rsid w:val="00CC102E"/>
    <w:rsid w:val="00CC18B8"/>
    <w:rsid w:val="00CC2E67"/>
    <w:rsid w:val="00CC662B"/>
    <w:rsid w:val="00CD320D"/>
    <w:rsid w:val="00CD5510"/>
    <w:rsid w:val="00CD6758"/>
    <w:rsid w:val="00CD6868"/>
    <w:rsid w:val="00CD6C62"/>
    <w:rsid w:val="00CD760D"/>
    <w:rsid w:val="00CD7EBC"/>
    <w:rsid w:val="00CE7C12"/>
    <w:rsid w:val="00CF06F8"/>
    <w:rsid w:val="00CF2042"/>
    <w:rsid w:val="00CF3429"/>
    <w:rsid w:val="00CF4CFB"/>
    <w:rsid w:val="00CF575D"/>
    <w:rsid w:val="00D0147A"/>
    <w:rsid w:val="00D01AC3"/>
    <w:rsid w:val="00D041BD"/>
    <w:rsid w:val="00D04900"/>
    <w:rsid w:val="00D04A98"/>
    <w:rsid w:val="00D05694"/>
    <w:rsid w:val="00D05D21"/>
    <w:rsid w:val="00D06201"/>
    <w:rsid w:val="00D10842"/>
    <w:rsid w:val="00D113CE"/>
    <w:rsid w:val="00D11CE7"/>
    <w:rsid w:val="00D12B67"/>
    <w:rsid w:val="00D13B83"/>
    <w:rsid w:val="00D13D76"/>
    <w:rsid w:val="00D144A4"/>
    <w:rsid w:val="00D16FF5"/>
    <w:rsid w:val="00D20205"/>
    <w:rsid w:val="00D213BA"/>
    <w:rsid w:val="00D21D47"/>
    <w:rsid w:val="00D221BA"/>
    <w:rsid w:val="00D2226B"/>
    <w:rsid w:val="00D2229C"/>
    <w:rsid w:val="00D2238E"/>
    <w:rsid w:val="00D24295"/>
    <w:rsid w:val="00D2638B"/>
    <w:rsid w:val="00D26A9F"/>
    <w:rsid w:val="00D27A7F"/>
    <w:rsid w:val="00D27F73"/>
    <w:rsid w:val="00D327D3"/>
    <w:rsid w:val="00D32EF3"/>
    <w:rsid w:val="00D45202"/>
    <w:rsid w:val="00D47108"/>
    <w:rsid w:val="00D50F28"/>
    <w:rsid w:val="00D511C7"/>
    <w:rsid w:val="00D51A8C"/>
    <w:rsid w:val="00D5246D"/>
    <w:rsid w:val="00D540FB"/>
    <w:rsid w:val="00D55563"/>
    <w:rsid w:val="00D56F50"/>
    <w:rsid w:val="00D64FB0"/>
    <w:rsid w:val="00D65128"/>
    <w:rsid w:val="00D651FB"/>
    <w:rsid w:val="00D654F2"/>
    <w:rsid w:val="00D65F0F"/>
    <w:rsid w:val="00D66DF7"/>
    <w:rsid w:val="00D711FA"/>
    <w:rsid w:val="00D73857"/>
    <w:rsid w:val="00D7401D"/>
    <w:rsid w:val="00D746AE"/>
    <w:rsid w:val="00D74880"/>
    <w:rsid w:val="00D76E57"/>
    <w:rsid w:val="00D818FD"/>
    <w:rsid w:val="00D82DA0"/>
    <w:rsid w:val="00D87914"/>
    <w:rsid w:val="00D90203"/>
    <w:rsid w:val="00D90273"/>
    <w:rsid w:val="00D94177"/>
    <w:rsid w:val="00D959E3"/>
    <w:rsid w:val="00D97FD9"/>
    <w:rsid w:val="00DA0824"/>
    <w:rsid w:val="00DA2C48"/>
    <w:rsid w:val="00DA3010"/>
    <w:rsid w:val="00DA3888"/>
    <w:rsid w:val="00DA5387"/>
    <w:rsid w:val="00DB09A0"/>
    <w:rsid w:val="00DB1B2A"/>
    <w:rsid w:val="00DB2051"/>
    <w:rsid w:val="00DC136B"/>
    <w:rsid w:val="00DD002D"/>
    <w:rsid w:val="00DD05D2"/>
    <w:rsid w:val="00DD065A"/>
    <w:rsid w:val="00DD1475"/>
    <w:rsid w:val="00DD308D"/>
    <w:rsid w:val="00DD3CE3"/>
    <w:rsid w:val="00DD3D6A"/>
    <w:rsid w:val="00DD568B"/>
    <w:rsid w:val="00DD78F7"/>
    <w:rsid w:val="00DE3F22"/>
    <w:rsid w:val="00DE443B"/>
    <w:rsid w:val="00DE7B83"/>
    <w:rsid w:val="00DF09E6"/>
    <w:rsid w:val="00DF1083"/>
    <w:rsid w:val="00DF5523"/>
    <w:rsid w:val="00DF58D6"/>
    <w:rsid w:val="00E01F6A"/>
    <w:rsid w:val="00E037C6"/>
    <w:rsid w:val="00E04EDD"/>
    <w:rsid w:val="00E05A81"/>
    <w:rsid w:val="00E06365"/>
    <w:rsid w:val="00E11781"/>
    <w:rsid w:val="00E135E0"/>
    <w:rsid w:val="00E15E35"/>
    <w:rsid w:val="00E16799"/>
    <w:rsid w:val="00E2004B"/>
    <w:rsid w:val="00E207BF"/>
    <w:rsid w:val="00E20A74"/>
    <w:rsid w:val="00E2157F"/>
    <w:rsid w:val="00E21FF1"/>
    <w:rsid w:val="00E24043"/>
    <w:rsid w:val="00E25AC2"/>
    <w:rsid w:val="00E260AA"/>
    <w:rsid w:val="00E3588F"/>
    <w:rsid w:val="00E3697B"/>
    <w:rsid w:val="00E37233"/>
    <w:rsid w:val="00E40184"/>
    <w:rsid w:val="00E46020"/>
    <w:rsid w:val="00E46598"/>
    <w:rsid w:val="00E46CF1"/>
    <w:rsid w:val="00E47083"/>
    <w:rsid w:val="00E524B6"/>
    <w:rsid w:val="00E53C5F"/>
    <w:rsid w:val="00E54FC7"/>
    <w:rsid w:val="00E56622"/>
    <w:rsid w:val="00E56BE9"/>
    <w:rsid w:val="00E578BD"/>
    <w:rsid w:val="00E603D5"/>
    <w:rsid w:val="00E60865"/>
    <w:rsid w:val="00E65911"/>
    <w:rsid w:val="00E714D0"/>
    <w:rsid w:val="00E751F9"/>
    <w:rsid w:val="00E763A4"/>
    <w:rsid w:val="00E7667A"/>
    <w:rsid w:val="00E81B11"/>
    <w:rsid w:val="00E87AFE"/>
    <w:rsid w:val="00E92026"/>
    <w:rsid w:val="00E92BCD"/>
    <w:rsid w:val="00E95AC1"/>
    <w:rsid w:val="00EA250C"/>
    <w:rsid w:val="00EA5ADE"/>
    <w:rsid w:val="00EA6255"/>
    <w:rsid w:val="00EA7B0E"/>
    <w:rsid w:val="00EB33EC"/>
    <w:rsid w:val="00EB3622"/>
    <w:rsid w:val="00EC220C"/>
    <w:rsid w:val="00EC24F1"/>
    <w:rsid w:val="00EC3DD3"/>
    <w:rsid w:val="00EC4109"/>
    <w:rsid w:val="00EC4E91"/>
    <w:rsid w:val="00EC6F67"/>
    <w:rsid w:val="00EC7B4A"/>
    <w:rsid w:val="00ED0868"/>
    <w:rsid w:val="00ED239A"/>
    <w:rsid w:val="00ED23B5"/>
    <w:rsid w:val="00ED58E4"/>
    <w:rsid w:val="00ED641A"/>
    <w:rsid w:val="00ED6570"/>
    <w:rsid w:val="00ED77A5"/>
    <w:rsid w:val="00EE0162"/>
    <w:rsid w:val="00EE07DD"/>
    <w:rsid w:val="00EE1DFA"/>
    <w:rsid w:val="00EE4CBA"/>
    <w:rsid w:val="00EE5332"/>
    <w:rsid w:val="00EE62F8"/>
    <w:rsid w:val="00EE6F74"/>
    <w:rsid w:val="00EF02DC"/>
    <w:rsid w:val="00EF238F"/>
    <w:rsid w:val="00EF66A8"/>
    <w:rsid w:val="00F006D4"/>
    <w:rsid w:val="00F016D4"/>
    <w:rsid w:val="00F040E9"/>
    <w:rsid w:val="00F07B07"/>
    <w:rsid w:val="00F101C7"/>
    <w:rsid w:val="00F12486"/>
    <w:rsid w:val="00F15E50"/>
    <w:rsid w:val="00F174BF"/>
    <w:rsid w:val="00F20C78"/>
    <w:rsid w:val="00F22487"/>
    <w:rsid w:val="00F23A80"/>
    <w:rsid w:val="00F246F4"/>
    <w:rsid w:val="00F33298"/>
    <w:rsid w:val="00F42884"/>
    <w:rsid w:val="00F46EAE"/>
    <w:rsid w:val="00F52519"/>
    <w:rsid w:val="00F531B7"/>
    <w:rsid w:val="00F53ED9"/>
    <w:rsid w:val="00F54183"/>
    <w:rsid w:val="00F5635D"/>
    <w:rsid w:val="00F5694B"/>
    <w:rsid w:val="00F571B5"/>
    <w:rsid w:val="00F578BB"/>
    <w:rsid w:val="00F630FC"/>
    <w:rsid w:val="00F63DAC"/>
    <w:rsid w:val="00F65D30"/>
    <w:rsid w:val="00F65F48"/>
    <w:rsid w:val="00F661D4"/>
    <w:rsid w:val="00F71E95"/>
    <w:rsid w:val="00F73F39"/>
    <w:rsid w:val="00F81B48"/>
    <w:rsid w:val="00F82430"/>
    <w:rsid w:val="00F82660"/>
    <w:rsid w:val="00F82A8D"/>
    <w:rsid w:val="00F8464F"/>
    <w:rsid w:val="00F8499F"/>
    <w:rsid w:val="00F86CF6"/>
    <w:rsid w:val="00F86E8B"/>
    <w:rsid w:val="00F87124"/>
    <w:rsid w:val="00F94083"/>
    <w:rsid w:val="00FA02EF"/>
    <w:rsid w:val="00FA0BA9"/>
    <w:rsid w:val="00FA1AB9"/>
    <w:rsid w:val="00FA1C4F"/>
    <w:rsid w:val="00FA23BA"/>
    <w:rsid w:val="00FA2D4B"/>
    <w:rsid w:val="00FA3C64"/>
    <w:rsid w:val="00FA56FB"/>
    <w:rsid w:val="00FA574C"/>
    <w:rsid w:val="00FA624C"/>
    <w:rsid w:val="00FA6EEA"/>
    <w:rsid w:val="00FA6F92"/>
    <w:rsid w:val="00FB0757"/>
    <w:rsid w:val="00FB0F3A"/>
    <w:rsid w:val="00FB3F25"/>
    <w:rsid w:val="00FB68B7"/>
    <w:rsid w:val="00FC0D1C"/>
    <w:rsid w:val="00FC4616"/>
    <w:rsid w:val="00FC5AFB"/>
    <w:rsid w:val="00FC5BFA"/>
    <w:rsid w:val="00FC6716"/>
    <w:rsid w:val="00FD361C"/>
    <w:rsid w:val="00FD44EE"/>
    <w:rsid w:val="00FD7E0B"/>
    <w:rsid w:val="00FE38CD"/>
    <w:rsid w:val="00FE7323"/>
    <w:rsid w:val="00FF0A61"/>
    <w:rsid w:val="00FF1596"/>
    <w:rsid w:val="00FF4D10"/>
    <w:rsid w:val="00FF533D"/>
    <w:rsid w:val="00FF61F4"/>
    <w:rsid w:val="00FF624B"/>
    <w:rsid w:val="00FF69CF"/>
    <w:rsid w:val="00FF78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0E4D25"/>
  <w15:docId w15:val="{57DD49DC-7184-43E8-928A-02336F07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CA"/>
    <w:pPr>
      <w:spacing w:after="120"/>
    </w:pPr>
  </w:style>
  <w:style w:type="paragraph" w:styleId="Heading1">
    <w:name w:val="heading 1"/>
    <w:basedOn w:val="Normal"/>
    <w:next w:val="Normal"/>
    <w:link w:val="Heading1Char"/>
    <w:uiPriority w:val="9"/>
    <w:qFormat/>
    <w:rsid w:val="00C91A23"/>
    <w:pPr>
      <w:keepNext/>
      <w:keepLines/>
      <w:spacing w:before="12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4A33BE"/>
    <w:pPr>
      <w:keepNext/>
      <w:keepLines/>
      <w:spacing w:before="360" w:after="8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53C9C"/>
    <w:pPr>
      <w:keepNext/>
      <w:keepLines/>
      <w:spacing w:before="80"/>
      <w:outlineLvl w:val="2"/>
    </w:pPr>
    <w:rPr>
      <w:rFonts w:asciiTheme="majorHAnsi" w:eastAsiaTheme="majorEastAsia" w:hAnsiTheme="majorHAnsi"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A23"/>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4A33BE"/>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853C9C"/>
    <w:rPr>
      <w:rFonts w:asciiTheme="majorHAnsi" w:eastAsiaTheme="majorEastAsia" w:hAnsiTheme="majorHAnsi" w:cstheme="majorBidi"/>
      <w:i/>
      <w:sz w:val="24"/>
      <w:szCs w:val="24"/>
    </w:rPr>
  </w:style>
  <w:style w:type="paragraph" w:customStyle="1" w:styleId="EndNoteBibliographyTitle">
    <w:name w:val="EndNote Bibliography Title"/>
    <w:basedOn w:val="Normal"/>
    <w:link w:val="EndNoteBibliographyTitleChar"/>
    <w:rsid w:val="00B150F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150F9"/>
    <w:rPr>
      <w:rFonts w:ascii="Calibri" w:hAnsi="Calibri" w:cs="Calibri"/>
      <w:noProof/>
    </w:rPr>
  </w:style>
  <w:style w:type="paragraph" w:customStyle="1" w:styleId="EndNoteBibliography">
    <w:name w:val="EndNote Bibliography"/>
    <w:basedOn w:val="Normal"/>
    <w:link w:val="EndNoteBibliographyChar"/>
    <w:rsid w:val="00B150F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150F9"/>
    <w:rPr>
      <w:rFonts w:ascii="Calibri" w:hAnsi="Calibri" w:cs="Calibri"/>
      <w:noProof/>
    </w:rPr>
  </w:style>
  <w:style w:type="paragraph" w:styleId="Title">
    <w:name w:val="Title"/>
    <w:basedOn w:val="Normal"/>
    <w:next w:val="Normal"/>
    <w:link w:val="TitleChar"/>
    <w:uiPriority w:val="10"/>
    <w:qFormat/>
    <w:rsid w:val="00C91A23"/>
    <w:pPr>
      <w:pBdr>
        <w:top w:val="single" w:sz="4" w:space="1" w:color="A6A6A6" w:themeColor="background1" w:themeShade="A6"/>
        <w:bottom w:val="single" w:sz="4" w:space="1" w:color="A6A6A6" w:themeColor="background1" w:themeShade="A6"/>
      </w:pBd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C91A23"/>
    <w:rPr>
      <w:rFonts w:asciiTheme="majorHAnsi" w:eastAsiaTheme="majorEastAsia" w:hAnsiTheme="majorHAnsi" w:cstheme="majorBidi"/>
      <w:spacing w:val="-10"/>
      <w:kern w:val="28"/>
      <w:sz w:val="48"/>
      <w:szCs w:val="56"/>
    </w:rPr>
  </w:style>
  <w:style w:type="paragraph" w:styleId="ListParagraph">
    <w:name w:val="List Paragraph"/>
    <w:basedOn w:val="Normal"/>
    <w:uiPriority w:val="34"/>
    <w:qFormat/>
    <w:rsid w:val="00B150F9"/>
    <w:pPr>
      <w:ind w:left="720"/>
      <w:contextualSpacing/>
    </w:pPr>
  </w:style>
  <w:style w:type="character" w:styleId="Hyperlink">
    <w:name w:val="Hyperlink"/>
    <w:basedOn w:val="DefaultParagraphFont"/>
    <w:uiPriority w:val="99"/>
    <w:unhideWhenUsed/>
    <w:rsid w:val="004B0A36"/>
    <w:rPr>
      <w:color w:val="0563C1" w:themeColor="hyperlink"/>
      <w:u w:val="single"/>
    </w:rPr>
  </w:style>
  <w:style w:type="table" w:styleId="TableGrid">
    <w:name w:val="Table Grid"/>
    <w:basedOn w:val="TableNormal"/>
    <w:uiPriority w:val="39"/>
    <w:rsid w:val="00F56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0B11"/>
    <w:rPr>
      <w:sz w:val="16"/>
      <w:szCs w:val="16"/>
    </w:rPr>
  </w:style>
  <w:style w:type="paragraph" w:styleId="CommentText">
    <w:name w:val="annotation text"/>
    <w:basedOn w:val="Normal"/>
    <w:link w:val="CommentTextChar"/>
    <w:uiPriority w:val="99"/>
    <w:semiHidden/>
    <w:unhideWhenUsed/>
    <w:rsid w:val="007E0B11"/>
    <w:pPr>
      <w:spacing w:line="240" w:lineRule="auto"/>
    </w:pPr>
    <w:rPr>
      <w:sz w:val="20"/>
      <w:szCs w:val="20"/>
    </w:rPr>
  </w:style>
  <w:style w:type="character" w:customStyle="1" w:styleId="CommentTextChar">
    <w:name w:val="Comment Text Char"/>
    <w:basedOn w:val="DefaultParagraphFont"/>
    <w:link w:val="CommentText"/>
    <w:uiPriority w:val="99"/>
    <w:semiHidden/>
    <w:rsid w:val="007E0B11"/>
    <w:rPr>
      <w:sz w:val="20"/>
      <w:szCs w:val="20"/>
    </w:rPr>
  </w:style>
  <w:style w:type="paragraph" w:styleId="CommentSubject">
    <w:name w:val="annotation subject"/>
    <w:basedOn w:val="CommentText"/>
    <w:next w:val="CommentText"/>
    <w:link w:val="CommentSubjectChar"/>
    <w:uiPriority w:val="99"/>
    <w:semiHidden/>
    <w:unhideWhenUsed/>
    <w:rsid w:val="007E0B11"/>
    <w:rPr>
      <w:b/>
      <w:bCs/>
    </w:rPr>
  </w:style>
  <w:style w:type="character" w:customStyle="1" w:styleId="CommentSubjectChar">
    <w:name w:val="Comment Subject Char"/>
    <w:basedOn w:val="CommentTextChar"/>
    <w:link w:val="CommentSubject"/>
    <w:uiPriority w:val="99"/>
    <w:semiHidden/>
    <w:rsid w:val="007E0B11"/>
    <w:rPr>
      <w:b/>
      <w:bCs/>
      <w:sz w:val="20"/>
      <w:szCs w:val="20"/>
    </w:rPr>
  </w:style>
  <w:style w:type="paragraph" w:styleId="BalloonText">
    <w:name w:val="Balloon Text"/>
    <w:basedOn w:val="Normal"/>
    <w:link w:val="BalloonTextChar"/>
    <w:uiPriority w:val="99"/>
    <w:semiHidden/>
    <w:unhideWhenUsed/>
    <w:rsid w:val="007E0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B11"/>
    <w:rPr>
      <w:rFonts w:ascii="Segoe UI" w:hAnsi="Segoe UI" w:cs="Segoe UI"/>
      <w:sz w:val="18"/>
      <w:szCs w:val="18"/>
    </w:rPr>
  </w:style>
  <w:style w:type="paragraph" w:styleId="FootnoteText">
    <w:name w:val="footnote text"/>
    <w:basedOn w:val="Normal"/>
    <w:link w:val="FootnoteTextChar"/>
    <w:uiPriority w:val="99"/>
    <w:semiHidden/>
    <w:unhideWhenUsed/>
    <w:rsid w:val="00984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418"/>
    <w:rPr>
      <w:sz w:val="20"/>
      <w:szCs w:val="20"/>
    </w:rPr>
  </w:style>
  <w:style w:type="character" w:styleId="FootnoteReference">
    <w:name w:val="footnote reference"/>
    <w:basedOn w:val="DefaultParagraphFont"/>
    <w:uiPriority w:val="99"/>
    <w:semiHidden/>
    <w:unhideWhenUsed/>
    <w:rsid w:val="00984418"/>
    <w:rPr>
      <w:vertAlign w:val="superscript"/>
    </w:rPr>
  </w:style>
  <w:style w:type="paragraph" w:styleId="NoSpacing">
    <w:name w:val="No Spacing"/>
    <w:uiPriority w:val="1"/>
    <w:qFormat/>
    <w:rsid w:val="00544E07"/>
    <w:pPr>
      <w:spacing w:after="0" w:line="240" w:lineRule="auto"/>
    </w:pPr>
  </w:style>
  <w:style w:type="character" w:styleId="PlaceholderText">
    <w:name w:val="Placeholder Text"/>
    <w:basedOn w:val="DefaultParagraphFont"/>
    <w:uiPriority w:val="99"/>
    <w:semiHidden/>
    <w:rsid w:val="00EA5ADE"/>
    <w:rPr>
      <w:color w:val="808080"/>
    </w:rPr>
  </w:style>
  <w:style w:type="paragraph" w:styleId="Revision">
    <w:name w:val="Revision"/>
    <w:hidden/>
    <w:uiPriority w:val="99"/>
    <w:semiHidden/>
    <w:rsid w:val="00AE0A81"/>
    <w:pPr>
      <w:spacing w:after="0" w:line="240" w:lineRule="auto"/>
    </w:pPr>
  </w:style>
  <w:style w:type="paragraph" w:styleId="PlainText">
    <w:name w:val="Plain Text"/>
    <w:basedOn w:val="Normal"/>
    <w:link w:val="PlainTextChar"/>
    <w:rsid w:val="00AB3EEF"/>
    <w:pPr>
      <w:spacing w:after="0" w:line="240" w:lineRule="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rsid w:val="00AB3EEF"/>
    <w:rPr>
      <w:rFonts w:ascii="Courier New" w:eastAsia="Times New Roman" w:hAnsi="Courier New" w:cs="Courier New"/>
      <w:sz w:val="20"/>
      <w:szCs w:val="20"/>
      <w:lang w:val="en-US" w:eastAsia="en-US"/>
    </w:rPr>
  </w:style>
  <w:style w:type="paragraph" w:customStyle="1" w:styleId="Els-Affiliation">
    <w:name w:val="Els-Affiliation"/>
    <w:next w:val="Normal"/>
    <w:rsid w:val="002E2E0B"/>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uthor">
    <w:name w:val="Els-Author"/>
    <w:next w:val="Normal"/>
    <w:rsid w:val="002E2E0B"/>
    <w:pPr>
      <w:keepNext/>
      <w:suppressAutoHyphens/>
      <w:spacing w:line="300" w:lineRule="exact"/>
      <w:jc w:val="center"/>
    </w:pPr>
    <w:rPr>
      <w:rFonts w:ascii="Times New Roman" w:eastAsia="SimSun" w:hAnsi="Times New Roman" w:cs="Times New Roman"/>
      <w:noProof/>
      <w:sz w:val="26"/>
      <w:szCs w:val="20"/>
      <w:lang w:val="en-US" w:eastAsia="en-US"/>
    </w:rPr>
  </w:style>
  <w:style w:type="paragraph" w:styleId="Header">
    <w:name w:val="header"/>
    <w:basedOn w:val="Normal"/>
    <w:link w:val="HeaderChar"/>
    <w:uiPriority w:val="99"/>
    <w:unhideWhenUsed/>
    <w:rsid w:val="00290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76F"/>
  </w:style>
  <w:style w:type="paragraph" w:styleId="Footer">
    <w:name w:val="footer"/>
    <w:basedOn w:val="Normal"/>
    <w:link w:val="FooterChar"/>
    <w:uiPriority w:val="99"/>
    <w:unhideWhenUsed/>
    <w:rsid w:val="00290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0796">
      <w:bodyDiv w:val="1"/>
      <w:marLeft w:val="0"/>
      <w:marRight w:val="0"/>
      <w:marTop w:val="0"/>
      <w:marBottom w:val="0"/>
      <w:divBdr>
        <w:top w:val="none" w:sz="0" w:space="0" w:color="auto"/>
        <w:left w:val="none" w:sz="0" w:space="0" w:color="auto"/>
        <w:bottom w:val="none" w:sz="0" w:space="0" w:color="auto"/>
        <w:right w:val="none" w:sz="0" w:space="0" w:color="auto"/>
      </w:divBdr>
    </w:div>
    <w:div w:id="129785374">
      <w:bodyDiv w:val="1"/>
      <w:marLeft w:val="0"/>
      <w:marRight w:val="0"/>
      <w:marTop w:val="0"/>
      <w:marBottom w:val="0"/>
      <w:divBdr>
        <w:top w:val="none" w:sz="0" w:space="0" w:color="auto"/>
        <w:left w:val="none" w:sz="0" w:space="0" w:color="auto"/>
        <w:bottom w:val="none" w:sz="0" w:space="0" w:color="auto"/>
        <w:right w:val="none" w:sz="0" w:space="0" w:color="auto"/>
      </w:divBdr>
    </w:div>
    <w:div w:id="233324652">
      <w:bodyDiv w:val="1"/>
      <w:marLeft w:val="0"/>
      <w:marRight w:val="0"/>
      <w:marTop w:val="0"/>
      <w:marBottom w:val="0"/>
      <w:divBdr>
        <w:top w:val="none" w:sz="0" w:space="0" w:color="auto"/>
        <w:left w:val="none" w:sz="0" w:space="0" w:color="auto"/>
        <w:bottom w:val="none" w:sz="0" w:space="0" w:color="auto"/>
        <w:right w:val="none" w:sz="0" w:space="0" w:color="auto"/>
      </w:divBdr>
    </w:div>
    <w:div w:id="480270480">
      <w:bodyDiv w:val="1"/>
      <w:marLeft w:val="0"/>
      <w:marRight w:val="0"/>
      <w:marTop w:val="0"/>
      <w:marBottom w:val="0"/>
      <w:divBdr>
        <w:top w:val="none" w:sz="0" w:space="0" w:color="auto"/>
        <w:left w:val="none" w:sz="0" w:space="0" w:color="auto"/>
        <w:bottom w:val="none" w:sz="0" w:space="0" w:color="auto"/>
        <w:right w:val="none" w:sz="0" w:space="0" w:color="auto"/>
      </w:divBdr>
    </w:div>
    <w:div w:id="558514003">
      <w:bodyDiv w:val="1"/>
      <w:marLeft w:val="0"/>
      <w:marRight w:val="0"/>
      <w:marTop w:val="0"/>
      <w:marBottom w:val="0"/>
      <w:divBdr>
        <w:top w:val="none" w:sz="0" w:space="0" w:color="auto"/>
        <w:left w:val="none" w:sz="0" w:space="0" w:color="auto"/>
        <w:bottom w:val="none" w:sz="0" w:space="0" w:color="auto"/>
        <w:right w:val="none" w:sz="0" w:space="0" w:color="auto"/>
      </w:divBdr>
    </w:div>
    <w:div w:id="582882750">
      <w:bodyDiv w:val="1"/>
      <w:marLeft w:val="0"/>
      <w:marRight w:val="0"/>
      <w:marTop w:val="0"/>
      <w:marBottom w:val="0"/>
      <w:divBdr>
        <w:top w:val="none" w:sz="0" w:space="0" w:color="auto"/>
        <w:left w:val="none" w:sz="0" w:space="0" w:color="auto"/>
        <w:bottom w:val="none" w:sz="0" w:space="0" w:color="auto"/>
        <w:right w:val="none" w:sz="0" w:space="0" w:color="auto"/>
      </w:divBdr>
    </w:div>
    <w:div w:id="1001617259">
      <w:bodyDiv w:val="1"/>
      <w:marLeft w:val="0"/>
      <w:marRight w:val="0"/>
      <w:marTop w:val="0"/>
      <w:marBottom w:val="0"/>
      <w:divBdr>
        <w:top w:val="none" w:sz="0" w:space="0" w:color="auto"/>
        <w:left w:val="none" w:sz="0" w:space="0" w:color="auto"/>
        <w:bottom w:val="none" w:sz="0" w:space="0" w:color="auto"/>
        <w:right w:val="none" w:sz="0" w:space="0" w:color="auto"/>
      </w:divBdr>
    </w:div>
    <w:div w:id="1060052809">
      <w:bodyDiv w:val="1"/>
      <w:marLeft w:val="0"/>
      <w:marRight w:val="0"/>
      <w:marTop w:val="0"/>
      <w:marBottom w:val="0"/>
      <w:divBdr>
        <w:top w:val="none" w:sz="0" w:space="0" w:color="auto"/>
        <w:left w:val="none" w:sz="0" w:space="0" w:color="auto"/>
        <w:bottom w:val="none" w:sz="0" w:space="0" w:color="auto"/>
        <w:right w:val="none" w:sz="0" w:space="0" w:color="auto"/>
      </w:divBdr>
    </w:div>
    <w:div w:id="1184638196">
      <w:bodyDiv w:val="1"/>
      <w:marLeft w:val="0"/>
      <w:marRight w:val="0"/>
      <w:marTop w:val="0"/>
      <w:marBottom w:val="0"/>
      <w:divBdr>
        <w:top w:val="none" w:sz="0" w:space="0" w:color="auto"/>
        <w:left w:val="none" w:sz="0" w:space="0" w:color="auto"/>
        <w:bottom w:val="none" w:sz="0" w:space="0" w:color="auto"/>
        <w:right w:val="none" w:sz="0" w:space="0" w:color="auto"/>
      </w:divBdr>
    </w:div>
    <w:div w:id="1434402322">
      <w:bodyDiv w:val="1"/>
      <w:marLeft w:val="0"/>
      <w:marRight w:val="0"/>
      <w:marTop w:val="0"/>
      <w:marBottom w:val="0"/>
      <w:divBdr>
        <w:top w:val="none" w:sz="0" w:space="0" w:color="auto"/>
        <w:left w:val="none" w:sz="0" w:space="0" w:color="auto"/>
        <w:bottom w:val="none" w:sz="0" w:space="0" w:color="auto"/>
        <w:right w:val="none" w:sz="0" w:space="0" w:color="auto"/>
      </w:divBdr>
    </w:div>
    <w:div w:id="1496873018">
      <w:bodyDiv w:val="1"/>
      <w:marLeft w:val="0"/>
      <w:marRight w:val="0"/>
      <w:marTop w:val="0"/>
      <w:marBottom w:val="0"/>
      <w:divBdr>
        <w:top w:val="none" w:sz="0" w:space="0" w:color="auto"/>
        <w:left w:val="none" w:sz="0" w:space="0" w:color="auto"/>
        <w:bottom w:val="none" w:sz="0" w:space="0" w:color="auto"/>
        <w:right w:val="none" w:sz="0" w:space="0" w:color="auto"/>
      </w:divBdr>
    </w:div>
    <w:div w:id="1535342821">
      <w:bodyDiv w:val="1"/>
      <w:marLeft w:val="0"/>
      <w:marRight w:val="0"/>
      <w:marTop w:val="0"/>
      <w:marBottom w:val="0"/>
      <w:divBdr>
        <w:top w:val="none" w:sz="0" w:space="0" w:color="auto"/>
        <w:left w:val="none" w:sz="0" w:space="0" w:color="auto"/>
        <w:bottom w:val="none" w:sz="0" w:space="0" w:color="auto"/>
        <w:right w:val="none" w:sz="0" w:space="0" w:color="auto"/>
      </w:divBdr>
    </w:div>
    <w:div w:id="1715541156">
      <w:bodyDiv w:val="1"/>
      <w:marLeft w:val="0"/>
      <w:marRight w:val="0"/>
      <w:marTop w:val="0"/>
      <w:marBottom w:val="0"/>
      <w:divBdr>
        <w:top w:val="none" w:sz="0" w:space="0" w:color="auto"/>
        <w:left w:val="none" w:sz="0" w:space="0" w:color="auto"/>
        <w:bottom w:val="none" w:sz="0" w:space="0" w:color="auto"/>
        <w:right w:val="none" w:sz="0" w:space="0" w:color="auto"/>
      </w:divBdr>
    </w:div>
    <w:div w:id="1875455829">
      <w:bodyDiv w:val="1"/>
      <w:marLeft w:val="0"/>
      <w:marRight w:val="0"/>
      <w:marTop w:val="0"/>
      <w:marBottom w:val="0"/>
      <w:divBdr>
        <w:top w:val="none" w:sz="0" w:space="0" w:color="auto"/>
        <w:left w:val="none" w:sz="0" w:space="0" w:color="auto"/>
        <w:bottom w:val="none" w:sz="0" w:space="0" w:color="auto"/>
        <w:right w:val="none" w:sz="0" w:space="0" w:color="auto"/>
      </w:divBdr>
    </w:div>
    <w:div w:id="1967352431">
      <w:bodyDiv w:val="1"/>
      <w:marLeft w:val="0"/>
      <w:marRight w:val="0"/>
      <w:marTop w:val="0"/>
      <w:marBottom w:val="0"/>
      <w:divBdr>
        <w:top w:val="none" w:sz="0" w:space="0" w:color="auto"/>
        <w:left w:val="none" w:sz="0" w:space="0" w:color="auto"/>
        <w:bottom w:val="none" w:sz="0" w:space="0" w:color="auto"/>
        <w:right w:val="none" w:sz="0" w:space="0" w:color="auto"/>
      </w:divBdr>
    </w:div>
    <w:div w:id="1984504626">
      <w:bodyDiv w:val="1"/>
      <w:marLeft w:val="0"/>
      <w:marRight w:val="0"/>
      <w:marTop w:val="0"/>
      <w:marBottom w:val="0"/>
      <w:divBdr>
        <w:top w:val="none" w:sz="0" w:space="0" w:color="auto"/>
        <w:left w:val="none" w:sz="0" w:space="0" w:color="auto"/>
        <w:bottom w:val="none" w:sz="0" w:space="0" w:color="auto"/>
        <w:right w:val="none" w:sz="0" w:space="0" w:color="auto"/>
      </w:divBdr>
    </w:div>
    <w:div w:id="2061246174">
      <w:bodyDiv w:val="1"/>
      <w:marLeft w:val="0"/>
      <w:marRight w:val="0"/>
      <w:marTop w:val="0"/>
      <w:marBottom w:val="0"/>
      <w:divBdr>
        <w:top w:val="none" w:sz="0" w:space="0" w:color="auto"/>
        <w:left w:val="none" w:sz="0" w:space="0" w:color="auto"/>
        <w:bottom w:val="none" w:sz="0" w:space="0" w:color="auto"/>
        <w:right w:val="none" w:sz="0" w:space="0" w:color="auto"/>
      </w:divBdr>
    </w:div>
    <w:div w:id="21122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8" Type="http://schemas.openxmlformats.org/officeDocument/2006/relationships/hyperlink" Target="http://www.carbontrust.com/resources/guides/sector-based-advice/healthcare/" TargetMode="External"/><Relationship Id="rId3" Type="http://schemas.openxmlformats.org/officeDocument/2006/relationships/hyperlink" Target="http://www.fao.org/3/X9892E/X9892e05.htm" TargetMode="External"/><Relationship Id="rId7" Type="http://schemas.openxmlformats.org/officeDocument/2006/relationships/hyperlink" Target="https://www.energystar.gov/ia/business/tools_resources/target_finder/help/Space_Use_Information.htm" TargetMode="External"/><Relationship Id="rId2" Type="http://schemas.openxmlformats.org/officeDocument/2006/relationships/hyperlink" Target="https://health.gov/dietaryguidelines/2015/" TargetMode="External"/><Relationship Id="rId1" Type="http://schemas.openxmlformats.org/officeDocument/2006/relationships/hyperlink" Target="https://www.un.org/en/sections/issues-depth/water/" TargetMode="External"/><Relationship Id="rId6" Type="http://schemas.openxmlformats.org/officeDocument/2006/relationships/hyperlink" Target="https://www.healthcaredesignmagazine.com/trends/research-theory/8-considerations-benchmarking/" TargetMode="External"/><Relationship Id="rId5" Type="http://schemas.openxmlformats.org/officeDocument/2006/relationships/hyperlink" Target="https://theconversation.com/think-your-country-is-crowded-these-maps-reveal-the-truth-about-population-density-across-europe-90345" TargetMode="External"/><Relationship Id="rId4" Type="http://schemas.openxmlformats.org/officeDocument/2006/relationships/hyperlink" Target="http://www.wrap.org.uk/food-dr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DB9A-FD98-43A6-91D5-A14FE04C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16202</Words>
  <Characters>89117</Characters>
  <Application>Microsoft Office Word</Application>
  <DocSecurity>0</DocSecurity>
  <Lines>742</Lines>
  <Paragraphs>210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105109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Millward-Hopkins</dc:creator>
  <cp:keywords/>
  <dc:description/>
  <cp:lastModifiedBy>Julia Steinberger</cp:lastModifiedBy>
  <cp:revision>2</cp:revision>
  <cp:lastPrinted>2020-04-23T20:38:00Z</cp:lastPrinted>
  <dcterms:created xsi:type="dcterms:W3CDTF">2020-10-02T06:42:00Z</dcterms:created>
  <dcterms:modified xsi:type="dcterms:W3CDTF">2020-10-02T06:42:00Z</dcterms:modified>
</cp:coreProperties>
</file>