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3D1C" w:rsidRDefault="00093D1C">
      <w:bookmarkStart w:id="0" w:name="_GoBack"/>
    </w:p>
    <w:p w:rsidR="00BF550A" w:rsidRPr="003F0905" w:rsidRDefault="00BF550A" w:rsidP="00BF550A">
      <w:pPr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</w:pPr>
      <w:r w:rsidRPr="003F0905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Appendix</w:t>
      </w:r>
    </w:p>
    <w:p w:rsidR="00BF550A" w:rsidRDefault="00BF550A" w:rsidP="00BF550A">
      <w:pPr>
        <w:keepNext/>
        <w:ind w:left="0" w:firstLine="0"/>
      </w:pPr>
      <w:r>
        <w:rPr>
          <w:noProof/>
          <w:lang w:val="de-DE" w:eastAsia="de-DE"/>
        </w:rPr>
        <w:drawing>
          <wp:inline distT="0" distB="0" distL="0" distR="0" wp14:anchorId="4D44029F" wp14:editId="452566B4">
            <wp:extent cx="8892540" cy="3242071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242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50A" w:rsidRPr="003503FB" w:rsidRDefault="00BF550A" w:rsidP="00BF550A">
      <w:pPr>
        <w:pStyle w:val="Beschriftung"/>
        <w:rPr>
          <w:rFonts w:ascii="Times New Roman" w:hAnsi="Times New Roman" w:cs="Times New Roman"/>
          <w:bCs/>
          <w:color w:val="auto"/>
          <w:sz w:val="22"/>
          <w:szCs w:val="22"/>
          <w:lang w:val="en-US"/>
        </w:rPr>
      </w:pPr>
      <w:r w:rsidRPr="003503FB">
        <w:rPr>
          <w:rFonts w:ascii="Times New Roman" w:hAnsi="Times New Roman" w:cs="Times New Roman"/>
          <w:b/>
          <w:bCs/>
          <w:color w:val="auto"/>
          <w:sz w:val="22"/>
          <w:szCs w:val="22"/>
          <w:lang w:val="en-US"/>
        </w:rPr>
        <w:t xml:space="preserve">Figure A1: </w:t>
      </w:r>
      <w:r w:rsidRPr="003503FB">
        <w:rPr>
          <w:rFonts w:ascii="Times New Roman" w:hAnsi="Times New Roman" w:cs="Times New Roman"/>
          <w:bCs/>
          <w:color w:val="auto"/>
          <w:sz w:val="22"/>
          <w:szCs w:val="22"/>
          <w:lang w:val="en-US"/>
        </w:rPr>
        <w:t xml:space="preserve">Normalized Root Mean Square Error (NRMSE) distribution for 34 GLM (number of knots k = 1 and k = 2) across 150 scenarios (15 leave-future-out cross-validation scenarios for each sex and 5 cancer sites per sex) obtained on combined data from the Swiss registries of Vaud, Geneva and Neuchatel, 1982-2016. In the labels, “a”, “p”, and “c” refer to age, period and cohort, and </w:t>
      </w:r>
      <w:proofErr w:type="spellStart"/>
      <w:r w:rsidRPr="003503FB">
        <w:rPr>
          <w:rFonts w:ascii="Times New Roman" w:hAnsi="Times New Roman" w:cs="Times New Roman"/>
          <w:bCs/>
          <w:color w:val="auto"/>
          <w:sz w:val="22"/>
          <w:szCs w:val="22"/>
          <w:lang w:val="en-US"/>
        </w:rPr>
        <w:t>ns</w:t>
      </w:r>
      <w:r w:rsidRPr="003503FB">
        <w:rPr>
          <w:rFonts w:ascii="Times New Roman" w:hAnsi="Times New Roman" w:cs="Times New Roman"/>
          <w:bCs/>
          <w:color w:val="auto"/>
          <w:sz w:val="22"/>
          <w:szCs w:val="22"/>
          <w:vertAlign w:val="subscript"/>
          <w:lang w:val="en-US"/>
        </w:rPr>
        <w:t>k</w:t>
      </w:r>
      <w:proofErr w:type="spellEnd"/>
      <w:r w:rsidRPr="003503FB">
        <w:rPr>
          <w:rFonts w:ascii="Times New Roman" w:hAnsi="Times New Roman" w:cs="Times New Roman"/>
          <w:bCs/>
          <w:color w:val="auto"/>
          <w:sz w:val="22"/>
          <w:szCs w:val="22"/>
          <w:lang w:val="en-US"/>
        </w:rPr>
        <w:t xml:space="preserve"> to natural splines with k knots. The mean NRMSE (M-NMRSE) is indicated with a dotted horizontal line. The numbers on the top of the graph give for each model the number of scenarios outside the plotted region (NRMSE&gt;1). The number on the bottom is the number of scenarios for which</w:t>
      </w:r>
      <w:r>
        <w:rPr>
          <w:rFonts w:ascii="Times New Roman" w:hAnsi="Times New Roman" w:cs="Times New Roman"/>
          <w:bCs/>
          <w:color w:val="auto"/>
          <w:sz w:val="22"/>
          <w:szCs w:val="22"/>
          <w:lang w:val="en-US"/>
        </w:rPr>
        <w:t xml:space="preserve"> </w:t>
      </w:r>
      <w:r w:rsidRPr="00AF7C5C">
        <w:rPr>
          <w:rFonts w:ascii="Times New Roman" w:hAnsi="Times New Roman" w:cs="Times New Roman"/>
          <w:bCs/>
          <w:color w:val="auto"/>
          <w:sz w:val="22"/>
          <w:szCs w:val="22"/>
          <w:lang w:val="en-US"/>
        </w:rPr>
        <w:t>the fitting algorithm of</w:t>
      </w:r>
      <w:r w:rsidRPr="003503FB">
        <w:rPr>
          <w:rFonts w:ascii="Times New Roman" w:hAnsi="Times New Roman" w:cs="Times New Roman"/>
          <w:bCs/>
          <w:color w:val="auto"/>
          <w:sz w:val="22"/>
          <w:szCs w:val="22"/>
          <w:lang w:val="en-US"/>
        </w:rPr>
        <w:t xml:space="preserve"> a method did not converge. The Lee-Carter (L-C) model is one of these models. </w:t>
      </w:r>
    </w:p>
    <w:p w:rsidR="00BF550A" w:rsidRDefault="00BF550A" w:rsidP="00BF550A">
      <w:pPr>
        <w:keepNext/>
      </w:pPr>
      <w:r>
        <w:rPr>
          <w:noProof/>
          <w:lang w:val="de-DE" w:eastAsia="de-DE"/>
        </w:rPr>
        <w:lastRenderedPageBreak/>
        <w:drawing>
          <wp:inline distT="0" distB="0" distL="0" distR="0" wp14:anchorId="46E1D22B" wp14:editId="6048A019">
            <wp:extent cx="8892540" cy="3242071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242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50A" w:rsidRPr="003503FB" w:rsidRDefault="00BF550A" w:rsidP="00BF550A">
      <w:pPr>
        <w:rPr>
          <w:rFonts w:ascii="Times New Roman" w:hAnsi="Times New Roman" w:cs="Times New Roman"/>
          <w:bCs/>
          <w:i/>
          <w:lang w:val="en-US"/>
        </w:rPr>
      </w:pPr>
      <w:r w:rsidRPr="003503FB">
        <w:rPr>
          <w:rFonts w:ascii="Times New Roman" w:hAnsi="Times New Roman" w:cs="Times New Roman"/>
          <w:b/>
          <w:bCs/>
          <w:i/>
          <w:lang w:val="en-US"/>
        </w:rPr>
        <w:t xml:space="preserve">Figure A2: </w:t>
      </w:r>
      <w:r w:rsidRPr="003503FB">
        <w:rPr>
          <w:rFonts w:ascii="Times New Roman" w:hAnsi="Times New Roman" w:cs="Times New Roman"/>
          <w:bCs/>
          <w:i/>
          <w:lang w:val="en-US"/>
        </w:rPr>
        <w:t>Normalized Root Mean Square Error (NRMSE) distribution for 34 GLM (number of knots k = 3 and k = 4), a GLM AIC (35</w:t>
      </w:r>
      <w:r w:rsidRPr="003503FB">
        <w:rPr>
          <w:rFonts w:ascii="Times New Roman" w:hAnsi="Times New Roman" w:cs="Times New Roman"/>
          <w:bCs/>
          <w:i/>
          <w:vertAlign w:val="superscript"/>
          <w:lang w:val="en-US"/>
        </w:rPr>
        <w:t>th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model) and</w:t>
      </w:r>
      <w:r>
        <w:rPr>
          <w:rFonts w:ascii="Times New Roman" w:hAnsi="Times New Roman" w:cs="Times New Roman"/>
          <w:bCs/>
          <w:i/>
          <w:lang w:val="en-US"/>
        </w:rPr>
        <w:t xml:space="preserve"> single knot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</w:t>
      </w:r>
      <w:proofErr w:type="spellStart"/>
      <w:r w:rsidRPr="003503FB">
        <w:rPr>
          <w:rFonts w:ascii="Times New Roman" w:hAnsi="Times New Roman" w:cs="Times New Roman"/>
          <w:bCs/>
          <w:i/>
          <w:lang w:val="en-US"/>
        </w:rPr>
        <w:t>joinpoint</w:t>
      </w:r>
      <w:proofErr w:type="spellEnd"/>
      <w:r w:rsidRPr="003503FB">
        <w:rPr>
          <w:rFonts w:ascii="Times New Roman" w:hAnsi="Times New Roman" w:cs="Times New Roman"/>
          <w:bCs/>
          <w:i/>
          <w:lang w:val="en-US"/>
        </w:rPr>
        <w:t xml:space="preserve"> regression (36</w:t>
      </w:r>
      <w:r w:rsidRPr="003503FB">
        <w:rPr>
          <w:rFonts w:ascii="Times New Roman" w:hAnsi="Times New Roman" w:cs="Times New Roman"/>
          <w:bCs/>
          <w:i/>
          <w:vertAlign w:val="superscript"/>
          <w:lang w:val="en-US"/>
        </w:rPr>
        <w:t>th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model) across 150 scenarios (15 leave-future-out cross-validation scenarios for each sex and 5 cancer sites per sex) obtained on combined data from the Swiss registries of Vaud, Geneva and Neuchatel, 1982-2016. In the labels, “a”, “p”, and “c” refer to age, period and cohort, and </w:t>
      </w:r>
      <w:proofErr w:type="spellStart"/>
      <w:r w:rsidRPr="003503FB">
        <w:rPr>
          <w:rFonts w:ascii="Times New Roman" w:hAnsi="Times New Roman" w:cs="Times New Roman"/>
          <w:bCs/>
          <w:i/>
          <w:lang w:val="en-US"/>
        </w:rPr>
        <w:t>ns</w:t>
      </w:r>
      <w:r w:rsidRPr="003503FB">
        <w:rPr>
          <w:rFonts w:ascii="Times New Roman" w:hAnsi="Times New Roman" w:cs="Times New Roman"/>
          <w:bCs/>
          <w:i/>
          <w:vertAlign w:val="subscript"/>
          <w:lang w:val="en-US"/>
        </w:rPr>
        <w:t>k</w:t>
      </w:r>
      <w:proofErr w:type="spellEnd"/>
      <w:r w:rsidRPr="003503FB">
        <w:rPr>
          <w:rFonts w:ascii="Times New Roman" w:hAnsi="Times New Roman" w:cs="Times New Roman"/>
          <w:bCs/>
          <w:i/>
          <w:lang w:val="en-US"/>
        </w:rPr>
        <w:t xml:space="preserve"> to natural splines with k knots. The mean NRMSE (M-NMRSE) is indicated with a dotted horizontal line. The numbers on the top of the graph give for each model the number of scenarios outside the plotted region (NRMSE&gt;1). The number on the bottom is the number of scenarios for which</w:t>
      </w:r>
      <w:r>
        <w:rPr>
          <w:rFonts w:ascii="Times New Roman" w:hAnsi="Times New Roman" w:cs="Times New Roman"/>
          <w:bCs/>
          <w:i/>
          <w:lang w:val="en-US"/>
        </w:rPr>
        <w:t xml:space="preserve"> the fitting algorithm of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a method did not converge.</w:t>
      </w:r>
    </w:p>
    <w:p w:rsidR="00BF550A" w:rsidRPr="00EC0DD6" w:rsidRDefault="00BF550A" w:rsidP="00BF550A">
      <w:pPr>
        <w:pStyle w:val="Beschriftung"/>
        <w:rPr>
          <w:lang w:val="en-US"/>
        </w:rPr>
      </w:pPr>
    </w:p>
    <w:p w:rsidR="00BF550A" w:rsidRDefault="00BF550A" w:rsidP="00BF550A">
      <w:pPr>
        <w:keepNext/>
      </w:pPr>
      <w:r>
        <w:rPr>
          <w:noProof/>
          <w:lang w:val="de-DE" w:eastAsia="de-DE"/>
        </w:rPr>
        <w:lastRenderedPageBreak/>
        <w:drawing>
          <wp:inline distT="0" distB="0" distL="0" distR="0" wp14:anchorId="5D32CF2C" wp14:editId="0142C100">
            <wp:extent cx="8892537" cy="3242071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37" cy="3242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50A" w:rsidRPr="003503FB" w:rsidRDefault="00BF550A" w:rsidP="00BF550A">
      <w:pPr>
        <w:rPr>
          <w:rFonts w:ascii="Times New Roman" w:hAnsi="Times New Roman" w:cs="Times New Roman"/>
          <w:bCs/>
          <w:i/>
          <w:lang w:val="en-US"/>
        </w:rPr>
      </w:pPr>
      <w:r w:rsidRPr="003503FB">
        <w:rPr>
          <w:rFonts w:ascii="Times New Roman" w:hAnsi="Times New Roman" w:cs="Times New Roman"/>
          <w:b/>
          <w:bCs/>
          <w:i/>
          <w:lang w:val="en-US"/>
        </w:rPr>
        <w:t xml:space="preserve">Figure A3: 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Normalized Root Mean Square Error (NRMSE) distribution for 12 APC, </w:t>
      </w:r>
      <w:r>
        <w:rPr>
          <w:rFonts w:ascii="Times New Roman" w:hAnsi="Times New Roman" w:cs="Times New Roman"/>
          <w:bCs/>
          <w:i/>
          <w:lang w:val="en-US"/>
        </w:rPr>
        <w:t>10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BAPC, and 8 LM across 150 scenarios (15 leave-future-out cross-validation scenarios for each sex and 5 cancer sites per sex) obtained on combined data from the Swiss registries of Vaud, Geneva and Neuchatel, 1982-2016. For APC, “drift only” and “all effects” refer to prediction strategies extrapolating only the drift, respectively the drift + all </w:t>
      </w:r>
      <w:proofErr w:type="spellStart"/>
      <w:r w:rsidRPr="003503FB">
        <w:rPr>
          <w:rFonts w:ascii="Times New Roman" w:hAnsi="Times New Roman" w:cs="Times New Roman"/>
          <w:bCs/>
          <w:i/>
          <w:lang w:val="en-US"/>
        </w:rPr>
        <w:t>non linear</w:t>
      </w:r>
      <w:proofErr w:type="spellEnd"/>
      <w:r w:rsidRPr="003503FB">
        <w:rPr>
          <w:rFonts w:ascii="Times New Roman" w:hAnsi="Times New Roman" w:cs="Times New Roman"/>
          <w:bCs/>
          <w:i/>
          <w:lang w:val="en-US"/>
        </w:rPr>
        <w:t xml:space="preserve"> effects, “log” indicates the logarithmic link, “pw” the 1/5 power link, and k the number of knots used. For BAPC, RW</w:t>
      </w:r>
      <w:r w:rsidRPr="003503FB">
        <w:rPr>
          <w:rFonts w:ascii="Times New Roman" w:hAnsi="Times New Roman" w:cs="Times New Roman"/>
          <w:bCs/>
          <w:i/>
          <w:vertAlign w:val="subscript"/>
          <w:lang w:val="en-US"/>
        </w:rPr>
        <w:t>1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and RW</w:t>
      </w:r>
      <w:r w:rsidRPr="003503FB">
        <w:rPr>
          <w:rFonts w:ascii="Times New Roman" w:hAnsi="Times New Roman" w:cs="Times New Roman"/>
          <w:bCs/>
          <w:i/>
          <w:vertAlign w:val="subscript"/>
          <w:lang w:val="en-US"/>
        </w:rPr>
        <w:t>2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refer to first and second-order random walk, “p</w:t>
      </w:r>
      <w:r w:rsidRPr="003503FB">
        <w:rPr>
          <w:rFonts w:ascii="Times New Roman" w:hAnsi="Times New Roman" w:cs="Times New Roman"/>
          <w:bCs/>
          <w:i/>
          <w:vertAlign w:val="subscript"/>
          <w:lang w:val="en-US"/>
        </w:rPr>
        <w:t>1</w:t>
      </w:r>
      <w:r w:rsidRPr="003503FB">
        <w:rPr>
          <w:rFonts w:ascii="Times New Roman" w:hAnsi="Times New Roman" w:cs="Times New Roman"/>
          <w:bCs/>
          <w:i/>
          <w:lang w:val="en-US"/>
        </w:rPr>
        <w:t>” indicates gamma(1, 9e-4) prior for the age effect and gamma(1, 2.5e-4) prior for the period and cohort effects, “p</w:t>
      </w:r>
      <w:r w:rsidRPr="003503FB">
        <w:rPr>
          <w:rFonts w:ascii="Times New Roman" w:hAnsi="Times New Roman" w:cs="Times New Roman"/>
          <w:bCs/>
          <w:i/>
          <w:vertAlign w:val="subscript"/>
          <w:lang w:val="en-US"/>
        </w:rPr>
        <w:t>2</w:t>
      </w:r>
      <w:r w:rsidRPr="003503FB">
        <w:rPr>
          <w:rFonts w:ascii="Times New Roman" w:hAnsi="Times New Roman" w:cs="Times New Roman"/>
          <w:bCs/>
          <w:i/>
          <w:lang w:val="en-US"/>
        </w:rPr>
        <w:t>”, “p</w:t>
      </w:r>
      <w:r w:rsidRPr="003503FB">
        <w:rPr>
          <w:rFonts w:ascii="Times New Roman" w:hAnsi="Times New Roman" w:cs="Times New Roman"/>
          <w:bCs/>
          <w:i/>
          <w:vertAlign w:val="subscript"/>
          <w:lang w:val="en-US"/>
        </w:rPr>
        <w:t>3</w:t>
      </w:r>
      <w:r w:rsidRPr="003503FB">
        <w:rPr>
          <w:rFonts w:ascii="Times New Roman" w:hAnsi="Times New Roman" w:cs="Times New Roman"/>
          <w:bCs/>
          <w:i/>
          <w:lang w:val="en-US"/>
        </w:rPr>
        <w:t>” and “p</w:t>
      </w:r>
      <w:r w:rsidRPr="003503FB">
        <w:rPr>
          <w:rFonts w:ascii="Times New Roman" w:hAnsi="Times New Roman" w:cs="Times New Roman"/>
          <w:bCs/>
          <w:i/>
          <w:vertAlign w:val="subscript"/>
          <w:lang w:val="en-US"/>
        </w:rPr>
        <w:t>4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” indicate gamma(1, 5e-03), gamma(1, 5e-05) and  gamma(1, 5e-07) priors for all effects, respectively. For LM, “r” is the number of past </w:t>
      </w:r>
      <w:r>
        <w:rPr>
          <w:rFonts w:ascii="Times New Roman" w:hAnsi="Times New Roman" w:cs="Times New Roman"/>
          <w:bCs/>
          <w:i/>
          <w:lang w:val="en-US"/>
        </w:rPr>
        <w:t>years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included in the regression. The mean NRMSE (M-NMRSE) is indicated with a dotted horizontal line. The numbers on the top of the graph give for each model the number of scenarios outside the plotted region (NRMSE&gt;1). The number on the bottom is the number of scenarios for </w:t>
      </w:r>
      <w:r>
        <w:rPr>
          <w:rFonts w:ascii="Times New Roman" w:hAnsi="Times New Roman" w:cs="Times New Roman"/>
          <w:bCs/>
          <w:i/>
          <w:lang w:val="en-US"/>
        </w:rPr>
        <w:t>which the fitting algorithm of a method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did not converge.</w:t>
      </w:r>
    </w:p>
    <w:p w:rsidR="00BF550A" w:rsidRPr="00EC0DD6" w:rsidRDefault="00BF550A" w:rsidP="00BF550A">
      <w:pPr>
        <w:pStyle w:val="Beschriftung"/>
        <w:rPr>
          <w:lang w:val="en-US"/>
        </w:rPr>
      </w:pPr>
    </w:p>
    <w:p w:rsidR="00BF550A" w:rsidRDefault="00BF550A" w:rsidP="00BF550A">
      <w:pPr>
        <w:keepNext/>
      </w:pPr>
      <w:r>
        <w:rPr>
          <w:noProof/>
          <w:lang w:val="de-DE" w:eastAsia="de-DE"/>
        </w:rPr>
        <w:lastRenderedPageBreak/>
        <w:drawing>
          <wp:inline distT="0" distB="0" distL="0" distR="0" wp14:anchorId="78F2D3B2" wp14:editId="16B0446F">
            <wp:extent cx="6862527" cy="4289079"/>
            <wp:effectExtent l="0" t="0" r="0" b="381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0928" cy="430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50A" w:rsidRDefault="00BF550A" w:rsidP="00BF550A">
      <w:pPr>
        <w:rPr>
          <w:rFonts w:ascii="Times New Roman" w:hAnsi="Times New Roman" w:cs="Times New Roman"/>
          <w:bCs/>
          <w:i/>
          <w:lang w:val="en-US"/>
        </w:rPr>
      </w:pPr>
      <w:r w:rsidRPr="003503FB">
        <w:rPr>
          <w:rFonts w:ascii="Times New Roman" w:hAnsi="Times New Roman" w:cs="Times New Roman"/>
          <w:b/>
          <w:bCs/>
          <w:i/>
          <w:lang w:val="en-US"/>
        </w:rPr>
        <w:t xml:space="preserve">Figure A4: </w:t>
      </w:r>
      <w:r w:rsidRPr="003503FB">
        <w:rPr>
          <w:rFonts w:ascii="Times New Roman" w:hAnsi="Times New Roman" w:cs="Times New Roman"/>
          <w:bCs/>
          <w:i/>
          <w:lang w:val="en-US"/>
        </w:rPr>
        <w:t>Normalized Root Mean Square Error (NRMSE) distribution for 64 ARIMA with orders of each component (</w:t>
      </w:r>
      <w:proofErr w:type="spellStart"/>
      <w:r w:rsidRPr="003503FB">
        <w:rPr>
          <w:rFonts w:ascii="Times New Roman" w:hAnsi="Times New Roman" w:cs="Times New Roman"/>
          <w:bCs/>
          <w:i/>
          <w:lang w:val="en-US"/>
        </w:rPr>
        <w:t>A</w:t>
      </w:r>
      <w:r>
        <w:rPr>
          <w:rFonts w:ascii="Times New Roman" w:hAnsi="Times New Roman" w:cs="Times New Roman"/>
          <w:bCs/>
          <w:i/>
          <w:lang w:val="en-US"/>
        </w:rPr>
        <w:t>uto</w:t>
      </w:r>
      <w:r w:rsidRPr="003503FB">
        <w:rPr>
          <w:rFonts w:ascii="Times New Roman" w:hAnsi="Times New Roman" w:cs="Times New Roman"/>
          <w:bCs/>
          <w:i/>
          <w:lang w:val="en-US"/>
        </w:rPr>
        <w:t>R</w:t>
      </w:r>
      <w:r>
        <w:rPr>
          <w:rFonts w:ascii="Times New Roman" w:hAnsi="Times New Roman" w:cs="Times New Roman"/>
          <w:bCs/>
          <w:i/>
          <w:lang w:val="en-US"/>
        </w:rPr>
        <w:t>egressive</w:t>
      </w:r>
      <w:proofErr w:type="spellEnd"/>
      <w:r w:rsidRPr="003503FB">
        <w:rPr>
          <w:rFonts w:ascii="Times New Roman" w:hAnsi="Times New Roman" w:cs="Times New Roman"/>
          <w:bCs/>
          <w:i/>
          <w:lang w:val="en-US"/>
        </w:rPr>
        <w:t>, I</w:t>
      </w:r>
      <w:r>
        <w:rPr>
          <w:rFonts w:ascii="Times New Roman" w:hAnsi="Times New Roman" w:cs="Times New Roman"/>
          <w:bCs/>
          <w:i/>
          <w:lang w:val="en-US"/>
        </w:rPr>
        <w:t>ntegrated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and </w:t>
      </w:r>
      <w:proofErr w:type="spellStart"/>
      <w:r w:rsidRPr="003503FB">
        <w:rPr>
          <w:rFonts w:ascii="Times New Roman" w:hAnsi="Times New Roman" w:cs="Times New Roman"/>
          <w:bCs/>
          <w:i/>
          <w:lang w:val="en-US"/>
        </w:rPr>
        <w:t>M</w:t>
      </w:r>
      <w:r>
        <w:rPr>
          <w:rFonts w:ascii="Times New Roman" w:hAnsi="Times New Roman" w:cs="Times New Roman"/>
          <w:bCs/>
          <w:i/>
          <w:lang w:val="en-US"/>
        </w:rPr>
        <w:t>oving</w:t>
      </w:r>
      <w:r w:rsidRPr="003503FB">
        <w:rPr>
          <w:rFonts w:ascii="Times New Roman" w:hAnsi="Times New Roman" w:cs="Times New Roman"/>
          <w:bCs/>
          <w:i/>
          <w:lang w:val="en-US"/>
        </w:rPr>
        <w:t>A</w:t>
      </w:r>
      <w:r>
        <w:rPr>
          <w:rFonts w:ascii="Times New Roman" w:hAnsi="Times New Roman" w:cs="Times New Roman"/>
          <w:bCs/>
          <w:i/>
          <w:lang w:val="en-US"/>
        </w:rPr>
        <w:t>verage</w:t>
      </w:r>
      <w:proofErr w:type="spellEnd"/>
      <w:r w:rsidRPr="003503FB">
        <w:rPr>
          <w:rFonts w:ascii="Times New Roman" w:hAnsi="Times New Roman" w:cs="Times New Roman"/>
          <w:bCs/>
          <w:i/>
          <w:lang w:val="en-US"/>
        </w:rPr>
        <w:t>) between 0 and 3, and an ARIMA</w:t>
      </w:r>
      <w:r>
        <w:rPr>
          <w:rFonts w:ascii="Times New Roman" w:hAnsi="Times New Roman" w:cs="Times New Roman"/>
          <w:bCs/>
          <w:i/>
          <w:lang w:val="en-US"/>
        </w:rPr>
        <w:t xml:space="preserve"> AIC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(65</w:t>
      </w:r>
      <w:r w:rsidRPr="003503FB">
        <w:rPr>
          <w:rFonts w:ascii="Times New Roman" w:hAnsi="Times New Roman" w:cs="Times New Roman"/>
          <w:bCs/>
          <w:i/>
          <w:vertAlign w:val="superscript"/>
          <w:lang w:val="en-US"/>
        </w:rPr>
        <w:t>th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model) across 150 scenarios (15 leave-future-out cross-validation scenarios for each sex and 5 cancer locations per sex) obtained on combined data from the Swiss registries of Vaud, Geneva and Neuchatel, 1982-2016. The mean NRMSE (M-NMRSE) is indicated with a dotted horizontal line. The numbers on the top of the graph give for each model the number of scenarios outside the plotted region (NRMSE &gt;1). The number on the bottom is the number of scenarios for </w:t>
      </w:r>
      <w:r>
        <w:rPr>
          <w:rFonts w:ascii="Times New Roman" w:hAnsi="Times New Roman" w:cs="Times New Roman"/>
          <w:bCs/>
          <w:i/>
          <w:lang w:val="en-US"/>
        </w:rPr>
        <w:t>which the fitting algorithm of a method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did not converge.</w:t>
      </w:r>
    </w:p>
    <w:p w:rsidR="00BF550A" w:rsidRDefault="00BF550A" w:rsidP="00BF550A">
      <w:pPr>
        <w:rPr>
          <w:rFonts w:ascii="Times New Roman" w:hAnsi="Times New Roman" w:cs="Times New Roman"/>
          <w:bCs/>
          <w:i/>
          <w:noProof/>
          <w:lang w:val="en-US"/>
        </w:rPr>
      </w:pPr>
      <w:r>
        <w:rPr>
          <w:rFonts w:ascii="Times New Roman" w:hAnsi="Times New Roman" w:cs="Times New Roman"/>
          <w:bCs/>
          <w:i/>
          <w:noProof/>
          <w:lang w:val="de-DE" w:eastAsia="de-DE"/>
        </w:rPr>
        <w:lastRenderedPageBreak/>
        <w:drawing>
          <wp:inline distT="0" distB="0" distL="0" distR="0" wp14:anchorId="033E236E" wp14:editId="01E1E2EB">
            <wp:extent cx="8892495" cy="3242055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495" cy="324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50A" w:rsidRDefault="00BF550A" w:rsidP="00BF550A">
      <w:pPr>
        <w:rPr>
          <w:rFonts w:ascii="Times New Roman" w:hAnsi="Times New Roman" w:cs="Times New Roman"/>
          <w:bCs/>
          <w:lang w:val="en-US"/>
        </w:rPr>
      </w:pPr>
      <w:r w:rsidRPr="003503FB">
        <w:rPr>
          <w:rFonts w:ascii="Times New Roman" w:hAnsi="Times New Roman" w:cs="Times New Roman"/>
          <w:b/>
          <w:bCs/>
          <w:lang w:val="en-US"/>
        </w:rPr>
        <w:t>Figure A</w:t>
      </w:r>
      <w:r>
        <w:rPr>
          <w:rFonts w:ascii="Times New Roman" w:hAnsi="Times New Roman" w:cs="Times New Roman"/>
          <w:b/>
          <w:bCs/>
          <w:lang w:val="en-US"/>
        </w:rPr>
        <w:t>5</w:t>
      </w:r>
      <w:r w:rsidRPr="003503FB">
        <w:rPr>
          <w:rFonts w:ascii="Times New Roman" w:hAnsi="Times New Roman" w:cs="Times New Roman"/>
          <w:b/>
          <w:bCs/>
          <w:lang w:val="en-US"/>
        </w:rPr>
        <w:t xml:space="preserve">: </w:t>
      </w:r>
      <w:r>
        <w:rPr>
          <w:rFonts w:ascii="Times New Roman" w:hAnsi="Times New Roman" w:cs="Times New Roman"/>
          <w:bCs/>
          <w:lang w:val="en-US"/>
        </w:rPr>
        <w:t>Interval Scores (IS)</w:t>
      </w:r>
      <w:r w:rsidRPr="003503FB">
        <w:rPr>
          <w:rFonts w:ascii="Times New Roman" w:hAnsi="Times New Roman" w:cs="Times New Roman"/>
          <w:bCs/>
          <w:lang w:val="en-US"/>
        </w:rPr>
        <w:t xml:space="preserve"> distribution for 34 GLM (number of knots k = 1 and k = 2) across 150 scenarios (15 leave-future-out cross-validation scenarios for each sex and 5 cancer sites per sex) obtained on combined data from the Swiss registries of Vaud, Geneva and Neuchatel, 1982-2016. In the labels, “a”, “p”, and “c” refer to age, period and cohort, and </w:t>
      </w:r>
      <w:proofErr w:type="spellStart"/>
      <w:r w:rsidRPr="003503FB">
        <w:rPr>
          <w:rFonts w:ascii="Times New Roman" w:hAnsi="Times New Roman" w:cs="Times New Roman"/>
          <w:bCs/>
          <w:lang w:val="en-US"/>
        </w:rPr>
        <w:t>ns</w:t>
      </w:r>
      <w:r w:rsidRPr="003503FB">
        <w:rPr>
          <w:rFonts w:ascii="Times New Roman" w:hAnsi="Times New Roman" w:cs="Times New Roman"/>
          <w:bCs/>
          <w:vertAlign w:val="subscript"/>
          <w:lang w:val="en-US"/>
        </w:rPr>
        <w:t>k</w:t>
      </w:r>
      <w:proofErr w:type="spellEnd"/>
      <w:r w:rsidRPr="003503FB">
        <w:rPr>
          <w:rFonts w:ascii="Times New Roman" w:hAnsi="Times New Roman" w:cs="Times New Roman"/>
          <w:bCs/>
          <w:lang w:val="en-US"/>
        </w:rPr>
        <w:t xml:space="preserve"> to natural splines with k knots. The mean </w:t>
      </w:r>
      <w:r>
        <w:rPr>
          <w:rFonts w:ascii="Times New Roman" w:hAnsi="Times New Roman" w:cs="Times New Roman"/>
          <w:bCs/>
          <w:lang w:val="en-US"/>
        </w:rPr>
        <w:t>IS</w:t>
      </w:r>
      <w:r w:rsidRPr="003503FB">
        <w:rPr>
          <w:rFonts w:ascii="Times New Roman" w:hAnsi="Times New Roman" w:cs="Times New Roman"/>
          <w:bCs/>
          <w:lang w:val="en-US"/>
        </w:rPr>
        <w:t xml:space="preserve"> (M-</w:t>
      </w:r>
      <w:r>
        <w:rPr>
          <w:rFonts w:ascii="Times New Roman" w:hAnsi="Times New Roman" w:cs="Times New Roman"/>
          <w:bCs/>
          <w:lang w:val="en-US"/>
        </w:rPr>
        <w:t>IS</w:t>
      </w:r>
      <w:r w:rsidRPr="003503FB">
        <w:rPr>
          <w:rFonts w:ascii="Times New Roman" w:hAnsi="Times New Roman" w:cs="Times New Roman"/>
          <w:bCs/>
          <w:lang w:val="en-US"/>
        </w:rPr>
        <w:t>) is indicated with a dotted horizontal line. The numbers on the top of the graph give for each model the number of scenarios outside the plotted region (</w:t>
      </w:r>
      <w:r>
        <w:rPr>
          <w:rFonts w:ascii="Times New Roman" w:hAnsi="Times New Roman" w:cs="Times New Roman"/>
          <w:bCs/>
          <w:lang w:val="en-US"/>
        </w:rPr>
        <w:t>IS</w:t>
      </w:r>
      <w:r w:rsidRPr="003503FB">
        <w:rPr>
          <w:rFonts w:ascii="Times New Roman" w:hAnsi="Times New Roman" w:cs="Times New Roman"/>
          <w:bCs/>
          <w:lang w:val="en-US"/>
        </w:rPr>
        <w:t>&gt;1</w:t>
      </w:r>
      <w:r>
        <w:rPr>
          <w:rFonts w:ascii="Times New Roman" w:hAnsi="Times New Roman" w:cs="Times New Roman"/>
          <w:bCs/>
          <w:lang w:val="en-US"/>
        </w:rPr>
        <w:t>.5</w:t>
      </w:r>
      <w:r w:rsidRPr="003503FB">
        <w:rPr>
          <w:rFonts w:ascii="Times New Roman" w:hAnsi="Times New Roman" w:cs="Times New Roman"/>
          <w:bCs/>
          <w:lang w:val="en-US"/>
        </w:rPr>
        <w:t>). The number on the bottom is the number of scenarios for which</w:t>
      </w:r>
      <w:r>
        <w:rPr>
          <w:rFonts w:ascii="Times New Roman" w:hAnsi="Times New Roman" w:cs="Times New Roman"/>
          <w:bCs/>
          <w:lang w:val="en-US"/>
        </w:rPr>
        <w:t xml:space="preserve"> </w:t>
      </w:r>
      <w:r w:rsidRPr="00AF7C5C">
        <w:rPr>
          <w:rFonts w:ascii="Times New Roman" w:hAnsi="Times New Roman" w:cs="Times New Roman"/>
          <w:bCs/>
          <w:lang w:val="en-US"/>
        </w:rPr>
        <w:t>the fitting algorithm of</w:t>
      </w:r>
      <w:r w:rsidRPr="003503FB">
        <w:rPr>
          <w:rFonts w:ascii="Times New Roman" w:hAnsi="Times New Roman" w:cs="Times New Roman"/>
          <w:bCs/>
          <w:lang w:val="en-US"/>
        </w:rPr>
        <w:t xml:space="preserve"> a method did not converge. The Lee-Carter (L-C) model is one of these models.</w:t>
      </w:r>
    </w:p>
    <w:p w:rsidR="00BF550A" w:rsidRDefault="00BF550A" w:rsidP="00BF550A">
      <w:pPr>
        <w:rPr>
          <w:rFonts w:ascii="Times New Roman" w:hAnsi="Times New Roman" w:cs="Times New Roman"/>
          <w:bCs/>
          <w:lang w:val="en-US"/>
        </w:rPr>
      </w:pPr>
    </w:p>
    <w:p w:rsidR="00BF550A" w:rsidRDefault="00BF550A" w:rsidP="00BF550A">
      <w:pPr>
        <w:rPr>
          <w:rFonts w:ascii="Times New Roman" w:hAnsi="Times New Roman" w:cs="Times New Roman"/>
          <w:bCs/>
          <w:lang w:val="en-US"/>
        </w:rPr>
      </w:pPr>
    </w:p>
    <w:p w:rsidR="00BF550A" w:rsidRDefault="00BF550A" w:rsidP="00BF550A">
      <w:pPr>
        <w:rPr>
          <w:rFonts w:ascii="Times New Roman" w:hAnsi="Times New Roman" w:cs="Times New Roman"/>
          <w:bCs/>
          <w:lang w:val="en-US"/>
        </w:rPr>
      </w:pPr>
    </w:p>
    <w:p w:rsidR="00BF550A" w:rsidRDefault="00BF550A" w:rsidP="00BF550A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de-DE" w:eastAsia="de-DE"/>
        </w:rPr>
        <w:lastRenderedPageBreak/>
        <w:drawing>
          <wp:inline distT="0" distB="0" distL="0" distR="0" wp14:anchorId="51CB0E70" wp14:editId="75F5D0F2">
            <wp:extent cx="8892495" cy="3242055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495" cy="324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50A" w:rsidRDefault="00BF550A" w:rsidP="00BF550A">
      <w:pPr>
        <w:rPr>
          <w:rFonts w:ascii="Times New Roman" w:hAnsi="Times New Roman" w:cs="Times New Roman"/>
          <w:bCs/>
          <w:i/>
          <w:lang w:val="en-US"/>
        </w:rPr>
      </w:pPr>
      <w:r w:rsidRPr="003503FB">
        <w:rPr>
          <w:rFonts w:ascii="Times New Roman" w:hAnsi="Times New Roman" w:cs="Times New Roman"/>
          <w:b/>
          <w:bCs/>
          <w:i/>
          <w:lang w:val="en-US"/>
        </w:rPr>
        <w:t>Figure A</w:t>
      </w:r>
      <w:r>
        <w:rPr>
          <w:rFonts w:ascii="Times New Roman" w:hAnsi="Times New Roman" w:cs="Times New Roman"/>
          <w:b/>
          <w:bCs/>
          <w:i/>
          <w:lang w:val="en-US"/>
        </w:rPr>
        <w:t>6</w:t>
      </w:r>
      <w:r w:rsidRPr="003503FB">
        <w:rPr>
          <w:rFonts w:ascii="Times New Roman" w:hAnsi="Times New Roman" w:cs="Times New Roman"/>
          <w:b/>
          <w:bCs/>
          <w:i/>
          <w:lang w:val="en-US"/>
        </w:rPr>
        <w:t xml:space="preserve">: </w:t>
      </w:r>
      <w:r>
        <w:rPr>
          <w:rFonts w:ascii="Times New Roman" w:hAnsi="Times New Roman" w:cs="Times New Roman"/>
          <w:bCs/>
          <w:i/>
          <w:lang w:val="en-US"/>
        </w:rPr>
        <w:t>Interval Score (IS)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distribution for 34 GLM (number of knots k = 3 and k = 4), a GLM AIC (35</w:t>
      </w:r>
      <w:r w:rsidRPr="003503FB">
        <w:rPr>
          <w:rFonts w:ascii="Times New Roman" w:hAnsi="Times New Roman" w:cs="Times New Roman"/>
          <w:bCs/>
          <w:i/>
          <w:vertAlign w:val="superscript"/>
          <w:lang w:val="en-US"/>
        </w:rPr>
        <w:t>th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model) and</w:t>
      </w:r>
      <w:r>
        <w:rPr>
          <w:rFonts w:ascii="Times New Roman" w:hAnsi="Times New Roman" w:cs="Times New Roman"/>
          <w:bCs/>
          <w:i/>
          <w:lang w:val="en-US"/>
        </w:rPr>
        <w:t xml:space="preserve"> single knot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</w:t>
      </w:r>
      <w:proofErr w:type="spellStart"/>
      <w:r w:rsidRPr="003503FB">
        <w:rPr>
          <w:rFonts w:ascii="Times New Roman" w:hAnsi="Times New Roman" w:cs="Times New Roman"/>
          <w:bCs/>
          <w:i/>
          <w:lang w:val="en-US"/>
        </w:rPr>
        <w:t>joinpoint</w:t>
      </w:r>
      <w:proofErr w:type="spellEnd"/>
      <w:r w:rsidRPr="003503FB">
        <w:rPr>
          <w:rFonts w:ascii="Times New Roman" w:hAnsi="Times New Roman" w:cs="Times New Roman"/>
          <w:bCs/>
          <w:i/>
          <w:lang w:val="en-US"/>
        </w:rPr>
        <w:t xml:space="preserve"> regression (36</w:t>
      </w:r>
      <w:r w:rsidRPr="003503FB">
        <w:rPr>
          <w:rFonts w:ascii="Times New Roman" w:hAnsi="Times New Roman" w:cs="Times New Roman"/>
          <w:bCs/>
          <w:i/>
          <w:vertAlign w:val="superscript"/>
          <w:lang w:val="en-US"/>
        </w:rPr>
        <w:t>th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model) across 150 scenarios (15 leave-future-out cross-validation scenarios for each sex and 5 cancer sites per sex) obtained on combined data from the Swiss registries of Vaud, Geneva and Neuchatel, 1982-2016. In the labels, “a”, “p”, and “c” refer to age, period and cohort, and </w:t>
      </w:r>
      <w:proofErr w:type="spellStart"/>
      <w:r w:rsidRPr="003503FB">
        <w:rPr>
          <w:rFonts w:ascii="Times New Roman" w:hAnsi="Times New Roman" w:cs="Times New Roman"/>
          <w:bCs/>
          <w:i/>
          <w:lang w:val="en-US"/>
        </w:rPr>
        <w:t>ns</w:t>
      </w:r>
      <w:r w:rsidRPr="003503FB">
        <w:rPr>
          <w:rFonts w:ascii="Times New Roman" w:hAnsi="Times New Roman" w:cs="Times New Roman"/>
          <w:bCs/>
          <w:i/>
          <w:vertAlign w:val="subscript"/>
          <w:lang w:val="en-US"/>
        </w:rPr>
        <w:t>k</w:t>
      </w:r>
      <w:proofErr w:type="spellEnd"/>
      <w:r w:rsidRPr="003503FB">
        <w:rPr>
          <w:rFonts w:ascii="Times New Roman" w:hAnsi="Times New Roman" w:cs="Times New Roman"/>
          <w:bCs/>
          <w:i/>
          <w:lang w:val="en-US"/>
        </w:rPr>
        <w:t xml:space="preserve"> to natural splines with k knots. The mean </w:t>
      </w:r>
      <w:r>
        <w:rPr>
          <w:rFonts w:ascii="Times New Roman" w:hAnsi="Times New Roman" w:cs="Times New Roman"/>
          <w:bCs/>
          <w:i/>
          <w:lang w:val="en-US"/>
        </w:rPr>
        <w:t>IS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(M-</w:t>
      </w:r>
      <w:r>
        <w:rPr>
          <w:rFonts w:ascii="Times New Roman" w:hAnsi="Times New Roman" w:cs="Times New Roman"/>
          <w:bCs/>
          <w:i/>
          <w:lang w:val="en-US"/>
        </w:rPr>
        <w:t>IS</w:t>
      </w:r>
      <w:r w:rsidRPr="003503FB">
        <w:rPr>
          <w:rFonts w:ascii="Times New Roman" w:hAnsi="Times New Roman" w:cs="Times New Roman"/>
          <w:bCs/>
          <w:i/>
          <w:lang w:val="en-US"/>
        </w:rPr>
        <w:t>) is indicated with a dotted horizontal line. The numbers on the top of the graph give for each model the number of scenarios outside the plotted region (</w:t>
      </w:r>
      <w:r>
        <w:rPr>
          <w:rFonts w:ascii="Times New Roman" w:hAnsi="Times New Roman" w:cs="Times New Roman"/>
          <w:bCs/>
          <w:i/>
          <w:lang w:val="en-US"/>
        </w:rPr>
        <w:t>IS</w:t>
      </w:r>
      <w:r w:rsidRPr="003503FB">
        <w:rPr>
          <w:rFonts w:ascii="Times New Roman" w:hAnsi="Times New Roman" w:cs="Times New Roman"/>
          <w:bCs/>
          <w:i/>
          <w:lang w:val="en-US"/>
        </w:rPr>
        <w:t>&gt;1</w:t>
      </w:r>
      <w:r>
        <w:rPr>
          <w:rFonts w:ascii="Times New Roman" w:hAnsi="Times New Roman" w:cs="Times New Roman"/>
          <w:bCs/>
          <w:i/>
          <w:lang w:val="en-US"/>
        </w:rPr>
        <w:t>.5</w:t>
      </w:r>
      <w:r w:rsidRPr="003503FB">
        <w:rPr>
          <w:rFonts w:ascii="Times New Roman" w:hAnsi="Times New Roman" w:cs="Times New Roman"/>
          <w:bCs/>
          <w:i/>
          <w:lang w:val="en-US"/>
        </w:rPr>
        <w:t>). The number on the bottom is the number of scenarios for which</w:t>
      </w:r>
      <w:r>
        <w:rPr>
          <w:rFonts w:ascii="Times New Roman" w:hAnsi="Times New Roman" w:cs="Times New Roman"/>
          <w:bCs/>
          <w:i/>
          <w:lang w:val="en-US"/>
        </w:rPr>
        <w:t xml:space="preserve"> the fitting algorithm of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a method did not converge.</w:t>
      </w:r>
    </w:p>
    <w:p w:rsidR="00BF550A" w:rsidRDefault="00BF550A" w:rsidP="00BF550A">
      <w:pPr>
        <w:rPr>
          <w:rFonts w:ascii="Times New Roman" w:hAnsi="Times New Roman" w:cs="Times New Roman"/>
          <w:bCs/>
          <w:i/>
          <w:lang w:val="en-US"/>
        </w:rPr>
      </w:pPr>
    </w:p>
    <w:p w:rsidR="00BF550A" w:rsidRDefault="00BF550A" w:rsidP="00BF550A">
      <w:pPr>
        <w:rPr>
          <w:rFonts w:ascii="Times New Roman" w:hAnsi="Times New Roman" w:cs="Times New Roman"/>
          <w:bCs/>
          <w:i/>
          <w:lang w:val="en-US"/>
        </w:rPr>
      </w:pPr>
    </w:p>
    <w:p w:rsidR="00BF550A" w:rsidRDefault="00BF550A" w:rsidP="00BF550A">
      <w:pPr>
        <w:rPr>
          <w:rFonts w:ascii="Times New Roman" w:hAnsi="Times New Roman" w:cs="Times New Roman"/>
          <w:bCs/>
          <w:i/>
          <w:lang w:val="en-US"/>
        </w:rPr>
      </w:pPr>
    </w:p>
    <w:p w:rsidR="00BF550A" w:rsidRDefault="00BF550A" w:rsidP="00BF550A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de-DE" w:eastAsia="de-DE"/>
        </w:rPr>
        <w:lastRenderedPageBreak/>
        <w:drawing>
          <wp:inline distT="0" distB="0" distL="0" distR="0" wp14:anchorId="725DCC8C" wp14:editId="137D01A3">
            <wp:extent cx="8704762" cy="3173611"/>
            <wp:effectExtent l="0" t="0" r="0" b="190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04762" cy="317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50A" w:rsidRPr="003503FB" w:rsidRDefault="00BF550A" w:rsidP="00BF550A">
      <w:pPr>
        <w:rPr>
          <w:rFonts w:ascii="Times New Roman" w:hAnsi="Times New Roman" w:cs="Times New Roman"/>
          <w:bCs/>
          <w:i/>
          <w:lang w:val="en-US"/>
        </w:rPr>
      </w:pPr>
      <w:r w:rsidRPr="003503FB">
        <w:rPr>
          <w:rFonts w:ascii="Times New Roman" w:hAnsi="Times New Roman" w:cs="Times New Roman"/>
          <w:b/>
          <w:bCs/>
          <w:i/>
          <w:lang w:val="en-US"/>
        </w:rPr>
        <w:t>Figure A</w:t>
      </w:r>
      <w:r>
        <w:rPr>
          <w:rFonts w:ascii="Times New Roman" w:hAnsi="Times New Roman" w:cs="Times New Roman"/>
          <w:b/>
          <w:bCs/>
          <w:i/>
          <w:lang w:val="en-US"/>
        </w:rPr>
        <w:t>7</w:t>
      </w:r>
      <w:r w:rsidRPr="003503FB">
        <w:rPr>
          <w:rFonts w:ascii="Times New Roman" w:hAnsi="Times New Roman" w:cs="Times New Roman"/>
          <w:b/>
          <w:bCs/>
          <w:i/>
          <w:lang w:val="en-US"/>
        </w:rPr>
        <w:t xml:space="preserve">: </w:t>
      </w:r>
      <w:r>
        <w:rPr>
          <w:rFonts w:ascii="Times New Roman" w:hAnsi="Times New Roman" w:cs="Times New Roman"/>
          <w:bCs/>
          <w:i/>
          <w:lang w:val="en-US"/>
        </w:rPr>
        <w:t>Interval Scores (IS)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distribution for 12 APC, 8 BAPC, and 8 LM across 150 scenarios (15 leave-future-out cross-validation scenarios for each sex and 5 cancer sites per sex) obtained on combined data from the Swiss registries of Vaud, Geneva and Neuchatel, 1982-2016. For APC, “drift only” and “all effects” refer to prediction strategies extrapolating only the drift, respectively the drift + all </w:t>
      </w:r>
      <w:proofErr w:type="spellStart"/>
      <w:r w:rsidRPr="003503FB">
        <w:rPr>
          <w:rFonts w:ascii="Times New Roman" w:hAnsi="Times New Roman" w:cs="Times New Roman"/>
          <w:bCs/>
          <w:i/>
          <w:lang w:val="en-US"/>
        </w:rPr>
        <w:t>non linear</w:t>
      </w:r>
      <w:proofErr w:type="spellEnd"/>
      <w:r w:rsidRPr="003503FB">
        <w:rPr>
          <w:rFonts w:ascii="Times New Roman" w:hAnsi="Times New Roman" w:cs="Times New Roman"/>
          <w:bCs/>
          <w:i/>
          <w:lang w:val="en-US"/>
        </w:rPr>
        <w:t xml:space="preserve"> effects, “log” indicates the logarithmic link, “pw” the 1/5 power link, and k the number of knots used. For BAPC, RW</w:t>
      </w:r>
      <w:r w:rsidRPr="003503FB">
        <w:rPr>
          <w:rFonts w:ascii="Times New Roman" w:hAnsi="Times New Roman" w:cs="Times New Roman"/>
          <w:bCs/>
          <w:i/>
          <w:vertAlign w:val="subscript"/>
          <w:lang w:val="en-US"/>
        </w:rPr>
        <w:t>1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and RW</w:t>
      </w:r>
      <w:r w:rsidRPr="003503FB">
        <w:rPr>
          <w:rFonts w:ascii="Times New Roman" w:hAnsi="Times New Roman" w:cs="Times New Roman"/>
          <w:bCs/>
          <w:i/>
          <w:vertAlign w:val="subscript"/>
          <w:lang w:val="en-US"/>
        </w:rPr>
        <w:t>2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refer to first and second-order random walk, “p</w:t>
      </w:r>
      <w:r w:rsidRPr="003503FB">
        <w:rPr>
          <w:rFonts w:ascii="Times New Roman" w:hAnsi="Times New Roman" w:cs="Times New Roman"/>
          <w:bCs/>
          <w:i/>
          <w:vertAlign w:val="subscript"/>
          <w:lang w:val="en-US"/>
        </w:rPr>
        <w:t>1</w:t>
      </w:r>
      <w:r w:rsidRPr="003503FB">
        <w:rPr>
          <w:rFonts w:ascii="Times New Roman" w:hAnsi="Times New Roman" w:cs="Times New Roman"/>
          <w:bCs/>
          <w:i/>
          <w:lang w:val="en-US"/>
        </w:rPr>
        <w:t>” indicates gamma(1, 9e-4) prior for the age effect and gamma(1, 2.5e-4) prior for the period and cohort effects, “p</w:t>
      </w:r>
      <w:r w:rsidRPr="003503FB">
        <w:rPr>
          <w:rFonts w:ascii="Times New Roman" w:hAnsi="Times New Roman" w:cs="Times New Roman"/>
          <w:bCs/>
          <w:i/>
          <w:vertAlign w:val="subscript"/>
          <w:lang w:val="en-US"/>
        </w:rPr>
        <w:t>2</w:t>
      </w:r>
      <w:r w:rsidRPr="003503FB">
        <w:rPr>
          <w:rFonts w:ascii="Times New Roman" w:hAnsi="Times New Roman" w:cs="Times New Roman"/>
          <w:bCs/>
          <w:i/>
          <w:lang w:val="en-US"/>
        </w:rPr>
        <w:t>”, “p</w:t>
      </w:r>
      <w:r w:rsidRPr="003503FB">
        <w:rPr>
          <w:rFonts w:ascii="Times New Roman" w:hAnsi="Times New Roman" w:cs="Times New Roman"/>
          <w:bCs/>
          <w:i/>
          <w:vertAlign w:val="subscript"/>
          <w:lang w:val="en-US"/>
        </w:rPr>
        <w:t>3</w:t>
      </w:r>
      <w:r w:rsidRPr="003503FB">
        <w:rPr>
          <w:rFonts w:ascii="Times New Roman" w:hAnsi="Times New Roman" w:cs="Times New Roman"/>
          <w:bCs/>
          <w:i/>
          <w:lang w:val="en-US"/>
        </w:rPr>
        <w:t>”</w:t>
      </w:r>
      <w:r>
        <w:rPr>
          <w:rFonts w:ascii="Times New Roman" w:hAnsi="Times New Roman" w:cs="Times New Roman"/>
          <w:bCs/>
          <w:i/>
          <w:lang w:val="en-US"/>
        </w:rPr>
        <w:t xml:space="preserve">, </w:t>
      </w:r>
      <w:r w:rsidRPr="003503FB">
        <w:rPr>
          <w:rFonts w:ascii="Times New Roman" w:hAnsi="Times New Roman" w:cs="Times New Roman"/>
          <w:bCs/>
          <w:i/>
          <w:lang w:val="en-US"/>
        </w:rPr>
        <w:t>“p</w:t>
      </w:r>
      <w:r w:rsidRPr="003503FB">
        <w:rPr>
          <w:rFonts w:ascii="Times New Roman" w:hAnsi="Times New Roman" w:cs="Times New Roman"/>
          <w:bCs/>
          <w:i/>
          <w:vertAlign w:val="subscript"/>
          <w:lang w:val="en-US"/>
        </w:rPr>
        <w:t>4</w:t>
      </w:r>
      <w:r w:rsidRPr="003503FB">
        <w:rPr>
          <w:rFonts w:ascii="Times New Roman" w:hAnsi="Times New Roman" w:cs="Times New Roman"/>
          <w:bCs/>
          <w:i/>
          <w:lang w:val="en-US"/>
        </w:rPr>
        <w:t>”  and “p</w:t>
      </w:r>
      <w:r>
        <w:rPr>
          <w:rFonts w:ascii="Times New Roman" w:hAnsi="Times New Roman" w:cs="Times New Roman"/>
          <w:bCs/>
          <w:i/>
          <w:vertAlign w:val="subscript"/>
          <w:lang w:val="en-US"/>
        </w:rPr>
        <w:t>5</w:t>
      </w:r>
      <w:r w:rsidRPr="003503FB">
        <w:rPr>
          <w:rFonts w:ascii="Times New Roman" w:hAnsi="Times New Roman" w:cs="Times New Roman"/>
          <w:bCs/>
          <w:i/>
          <w:lang w:val="en-US"/>
        </w:rPr>
        <w:t>” indicate gamma(1, 5e-03), gamma(1, 5e-05)</w:t>
      </w:r>
      <w:r>
        <w:rPr>
          <w:rFonts w:ascii="Times New Roman" w:hAnsi="Times New Roman" w:cs="Times New Roman"/>
          <w:bCs/>
          <w:i/>
          <w:lang w:val="en-US"/>
        </w:rPr>
        <w:t>,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gamma(1, 5e-07)</w:t>
      </w:r>
      <w:r>
        <w:rPr>
          <w:rFonts w:ascii="Times New Roman" w:hAnsi="Times New Roman" w:cs="Times New Roman"/>
          <w:bCs/>
          <w:i/>
          <w:lang w:val="en-US"/>
        </w:rPr>
        <w:t xml:space="preserve"> and PC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priors for all effects, respectively. For LM, “r” is the number of </w:t>
      </w:r>
      <w:r>
        <w:rPr>
          <w:rFonts w:ascii="Times New Roman" w:hAnsi="Times New Roman" w:cs="Times New Roman"/>
          <w:bCs/>
          <w:i/>
          <w:lang w:val="en-US"/>
        </w:rPr>
        <w:t>past years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included in the regression. The mean </w:t>
      </w:r>
      <w:r>
        <w:rPr>
          <w:rFonts w:ascii="Times New Roman" w:hAnsi="Times New Roman" w:cs="Times New Roman"/>
          <w:bCs/>
          <w:i/>
          <w:lang w:val="en-US"/>
        </w:rPr>
        <w:t>IS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(M-</w:t>
      </w:r>
      <w:r>
        <w:rPr>
          <w:rFonts w:ascii="Times New Roman" w:hAnsi="Times New Roman" w:cs="Times New Roman"/>
          <w:bCs/>
          <w:i/>
          <w:lang w:val="en-US"/>
        </w:rPr>
        <w:t>IS</w:t>
      </w:r>
      <w:r w:rsidRPr="003503FB">
        <w:rPr>
          <w:rFonts w:ascii="Times New Roman" w:hAnsi="Times New Roman" w:cs="Times New Roman"/>
          <w:bCs/>
          <w:i/>
          <w:lang w:val="en-US"/>
        </w:rPr>
        <w:t>) is indicated with a dotted horizontal line. The numbers on the top of the graph give for each model the number of scenarios outside the plotted region (</w:t>
      </w:r>
      <w:r>
        <w:rPr>
          <w:rFonts w:ascii="Times New Roman" w:hAnsi="Times New Roman" w:cs="Times New Roman"/>
          <w:bCs/>
          <w:i/>
          <w:lang w:val="en-US"/>
        </w:rPr>
        <w:t>IS</w:t>
      </w:r>
      <w:r w:rsidRPr="003503FB">
        <w:rPr>
          <w:rFonts w:ascii="Times New Roman" w:hAnsi="Times New Roman" w:cs="Times New Roman"/>
          <w:bCs/>
          <w:i/>
          <w:lang w:val="en-US"/>
        </w:rPr>
        <w:t>&gt;1</w:t>
      </w:r>
      <w:r>
        <w:rPr>
          <w:rFonts w:ascii="Times New Roman" w:hAnsi="Times New Roman" w:cs="Times New Roman"/>
          <w:bCs/>
          <w:i/>
          <w:lang w:val="en-US"/>
        </w:rPr>
        <w:t>.5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). The number on the bottom is the number of scenarios for </w:t>
      </w:r>
      <w:r>
        <w:rPr>
          <w:rFonts w:ascii="Times New Roman" w:hAnsi="Times New Roman" w:cs="Times New Roman"/>
          <w:bCs/>
          <w:i/>
          <w:lang w:val="en-US"/>
        </w:rPr>
        <w:t>which the fitting algorithm of a method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did not converge.</w:t>
      </w:r>
    </w:p>
    <w:p w:rsidR="00BF550A" w:rsidRDefault="00BF550A" w:rsidP="00BF550A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de-DE" w:eastAsia="de-DE"/>
        </w:rPr>
        <w:lastRenderedPageBreak/>
        <w:drawing>
          <wp:inline distT="0" distB="0" distL="0" distR="0" wp14:anchorId="3DB4778C" wp14:editId="4F5B0B94">
            <wp:extent cx="6851662" cy="4282289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2547" cy="433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50A" w:rsidRDefault="00BF550A" w:rsidP="00BF550A">
      <w:pPr>
        <w:rPr>
          <w:rFonts w:ascii="Times New Roman" w:hAnsi="Times New Roman" w:cs="Times New Roman"/>
          <w:bCs/>
          <w:i/>
          <w:lang w:val="en-US"/>
        </w:rPr>
      </w:pPr>
      <w:r w:rsidRPr="003503FB">
        <w:rPr>
          <w:rFonts w:ascii="Times New Roman" w:hAnsi="Times New Roman" w:cs="Times New Roman"/>
          <w:b/>
          <w:bCs/>
          <w:i/>
          <w:lang w:val="en-US"/>
        </w:rPr>
        <w:t>Figure A</w:t>
      </w:r>
      <w:r>
        <w:rPr>
          <w:rFonts w:ascii="Times New Roman" w:hAnsi="Times New Roman" w:cs="Times New Roman"/>
          <w:b/>
          <w:bCs/>
          <w:i/>
          <w:lang w:val="en-US"/>
        </w:rPr>
        <w:t>8</w:t>
      </w:r>
      <w:r w:rsidRPr="003503FB">
        <w:rPr>
          <w:rFonts w:ascii="Times New Roman" w:hAnsi="Times New Roman" w:cs="Times New Roman"/>
          <w:b/>
          <w:bCs/>
          <w:i/>
          <w:lang w:val="en-US"/>
        </w:rPr>
        <w:t xml:space="preserve">: </w:t>
      </w:r>
      <w:r>
        <w:rPr>
          <w:rFonts w:ascii="Times New Roman" w:hAnsi="Times New Roman" w:cs="Times New Roman"/>
          <w:bCs/>
          <w:i/>
          <w:lang w:val="en-US"/>
        </w:rPr>
        <w:t>Interval Score (IS)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distribution for 64 ARIMA with orders of each component (</w:t>
      </w:r>
      <w:proofErr w:type="spellStart"/>
      <w:r w:rsidRPr="003503FB">
        <w:rPr>
          <w:rFonts w:ascii="Times New Roman" w:hAnsi="Times New Roman" w:cs="Times New Roman"/>
          <w:bCs/>
          <w:i/>
          <w:lang w:val="en-US"/>
        </w:rPr>
        <w:t>A</w:t>
      </w:r>
      <w:r>
        <w:rPr>
          <w:rFonts w:ascii="Times New Roman" w:hAnsi="Times New Roman" w:cs="Times New Roman"/>
          <w:bCs/>
          <w:i/>
          <w:lang w:val="en-US"/>
        </w:rPr>
        <w:t>uto</w:t>
      </w:r>
      <w:r w:rsidRPr="003503FB">
        <w:rPr>
          <w:rFonts w:ascii="Times New Roman" w:hAnsi="Times New Roman" w:cs="Times New Roman"/>
          <w:bCs/>
          <w:i/>
          <w:lang w:val="en-US"/>
        </w:rPr>
        <w:t>R</w:t>
      </w:r>
      <w:r>
        <w:rPr>
          <w:rFonts w:ascii="Times New Roman" w:hAnsi="Times New Roman" w:cs="Times New Roman"/>
          <w:bCs/>
          <w:i/>
          <w:lang w:val="en-US"/>
        </w:rPr>
        <w:t>egressive</w:t>
      </w:r>
      <w:proofErr w:type="spellEnd"/>
      <w:r w:rsidRPr="003503FB">
        <w:rPr>
          <w:rFonts w:ascii="Times New Roman" w:hAnsi="Times New Roman" w:cs="Times New Roman"/>
          <w:bCs/>
          <w:i/>
          <w:lang w:val="en-US"/>
        </w:rPr>
        <w:t>, I</w:t>
      </w:r>
      <w:r>
        <w:rPr>
          <w:rFonts w:ascii="Times New Roman" w:hAnsi="Times New Roman" w:cs="Times New Roman"/>
          <w:bCs/>
          <w:i/>
          <w:lang w:val="en-US"/>
        </w:rPr>
        <w:t>ntegrated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and </w:t>
      </w:r>
      <w:proofErr w:type="spellStart"/>
      <w:r w:rsidRPr="003503FB">
        <w:rPr>
          <w:rFonts w:ascii="Times New Roman" w:hAnsi="Times New Roman" w:cs="Times New Roman"/>
          <w:bCs/>
          <w:i/>
          <w:lang w:val="en-US"/>
        </w:rPr>
        <w:t>M</w:t>
      </w:r>
      <w:r>
        <w:rPr>
          <w:rFonts w:ascii="Times New Roman" w:hAnsi="Times New Roman" w:cs="Times New Roman"/>
          <w:bCs/>
          <w:i/>
          <w:lang w:val="en-US"/>
        </w:rPr>
        <w:t>oving</w:t>
      </w:r>
      <w:r w:rsidRPr="003503FB">
        <w:rPr>
          <w:rFonts w:ascii="Times New Roman" w:hAnsi="Times New Roman" w:cs="Times New Roman"/>
          <w:bCs/>
          <w:i/>
          <w:lang w:val="en-US"/>
        </w:rPr>
        <w:t>A</w:t>
      </w:r>
      <w:r>
        <w:rPr>
          <w:rFonts w:ascii="Times New Roman" w:hAnsi="Times New Roman" w:cs="Times New Roman"/>
          <w:bCs/>
          <w:i/>
          <w:lang w:val="en-US"/>
        </w:rPr>
        <w:t>verage</w:t>
      </w:r>
      <w:proofErr w:type="spellEnd"/>
      <w:r w:rsidRPr="003503FB">
        <w:rPr>
          <w:rFonts w:ascii="Times New Roman" w:hAnsi="Times New Roman" w:cs="Times New Roman"/>
          <w:bCs/>
          <w:i/>
          <w:lang w:val="en-US"/>
        </w:rPr>
        <w:t>) between 0 and 3, and an ARIMA</w:t>
      </w:r>
      <w:r>
        <w:rPr>
          <w:rFonts w:ascii="Times New Roman" w:hAnsi="Times New Roman" w:cs="Times New Roman"/>
          <w:bCs/>
          <w:i/>
          <w:lang w:val="en-US"/>
        </w:rPr>
        <w:t xml:space="preserve"> AIC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(65</w:t>
      </w:r>
      <w:r w:rsidRPr="003503FB">
        <w:rPr>
          <w:rFonts w:ascii="Times New Roman" w:hAnsi="Times New Roman" w:cs="Times New Roman"/>
          <w:bCs/>
          <w:i/>
          <w:vertAlign w:val="superscript"/>
          <w:lang w:val="en-US"/>
        </w:rPr>
        <w:t>th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model) across 150 scenarios (15 leave-future-out cross-validation scenarios for each sex and 5 cancer locations per sex) obtained on combined data from the Swiss registries of Vaud, Geneva and Neuchatel, 1982-2016. The mean </w:t>
      </w:r>
      <w:r>
        <w:rPr>
          <w:rFonts w:ascii="Times New Roman" w:hAnsi="Times New Roman" w:cs="Times New Roman"/>
          <w:bCs/>
          <w:i/>
          <w:lang w:val="en-US"/>
        </w:rPr>
        <w:t>IS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(M-</w:t>
      </w:r>
      <w:r>
        <w:rPr>
          <w:rFonts w:ascii="Times New Roman" w:hAnsi="Times New Roman" w:cs="Times New Roman"/>
          <w:bCs/>
          <w:i/>
          <w:lang w:val="en-US"/>
        </w:rPr>
        <w:t>IS</w:t>
      </w:r>
      <w:r w:rsidRPr="003503FB">
        <w:rPr>
          <w:rFonts w:ascii="Times New Roman" w:hAnsi="Times New Roman" w:cs="Times New Roman"/>
          <w:bCs/>
          <w:i/>
          <w:lang w:val="en-US"/>
        </w:rPr>
        <w:t>) is indicated with a dotted horizontal line. The numbers on the top of the graph give for each model the number of scenarios outside the plotted region (</w:t>
      </w:r>
      <w:r>
        <w:rPr>
          <w:rFonts w:ascii="Times New Roman" w:hAnsi="Times New Roman" w:cs="Times New Roman"/>
          <w:bCs/>
          <w:i/>
          <w:lang w:val="en-US"/>
        </w:rPr>
        <w:t>IS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&gt;1</w:t>
      </w:r>
      <w:r>
        <w:rPr>
          <w:rFonts w:ascii="Times New Roman" w:hAnsi="Times New Roman" w:cs="Times New Roman"/>
          <w:bCs/>
          <w:i/>
          <w:lang w:val="en-US"/>
        </w:rPr>
        <w:t>.5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). The number on the bottom is the number of scenarios for </w:t>
      </w:r>
      <w:r>
        <w:rPr>
          <w:rFonts w:ascii="Times New Roman" w:hAnsi="Times New Roman" w:cs="Times New Roman"/>
          <w:bCs/>
          <w:i/>
          <w:lang w:val="en-US"/>
        </w:rPr>
        <w:t>which the fitting algorithm of a method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did not converge.</w:t>
      </w:r>
    </w:p>
    <w:p w:rsidR="00BF550A" w:rsidRDefault="00BF550A" w:rsidP="00BF550A">
      <w:pPr>
        <w:keepNext/>
      </w:pPr>
      <w:r>
        <w:rPr>
          <w:noProof/>
          <w:lang w:val="de-DE" w:eastAsia="de-DE"/>
        </w:rPr>
        <w:lastRenderedPageBreak/>
        <w:drawing>
          <wp:inline distT="0" distB="0" distL="0" distR="0" wp14:anchorId="72D7FECF" wp14:editId="6357476E">
            <wp:extent cx="7278986" cy="4625464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5639" cy="4636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50A" w:rsidRPr="00EC0DD6" w:rsidRDefault="00BF550A" w:rsidP="00BF550A">
      <w:pPr>
        <w:rPr>
          <w:rFonts w:ascii="Times New Roman" w:hAnsi="Times New Roman" w:cs="Times New Roman"/>
          <w:bCs/>
          <w:i/>
          <w:lang w:val="en-US"/>
        </w:rPr>
      </w:pPr>
      <w:r w:rsidRPr="003503FB">
        <w:rPr>
          <w:rFonts w:ascii="Times New Roman" w:hAnsi="Times New Roman" w:cs="Times New Roman"/>
          <w:b/>
          <w:bCs/>
          <w:i/>
          <w:lang w:val="en-US"/>
        </w:rPr>
        <w:t>Figure A</w:t>
      </w:r>
      <w:r>
        <w:rPr>
          <w:rFonts w:ascii="Times New Roman" w:hAnsi="Times New Roman" w:cs="Times New Roman"/>
          <w:b/>
          <w:bCs/>
          <w:i/>
          <w:lang w:val="en-US"/>
        </w:rPr>
        <w:t>9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: </w:t>
      </w:r>
      <w:r w:rsidRPr="003503FB">
        <w:rPr>
          <w:rFonts w:ascii="Times New Roman" w:hAnsi="Times New Roman" w:cs="Times New Roman"/>
          <w:i/>
          <w:iCs/>
          <w:lang w:val="en-US"/>
        </w:rPr>
        <w:t xml:space="preserve">Illustration of predictions made by the different models in each of the 15 leave-future-out cross-validations scenarios (cut-off time </w:t>
      </w:r>
      <w:proofErr w:type="spellStart"/>
      <w:r w:rsidRPr="003503FB">
        <w:rPr>
          <w:rFonts w:ascii="Times New Roman" w:hAnsi="Times New Roman" w:cs="Times New Roman"/>
          <w:i/>
          <w:iCs/>
          <w:lang w:val="en-US"/>
        </w:rPr>
        <w:t>t</w:t>
      </w:r>
      <w:proofErr w:type="spellEnd"/>
      <w:r w:rsidRPr="003503FB">
        <w:rPr>
          <w:rFonts w:ascii="Times New Roman" w:hAnsi="Times New Roman" w:cs="Times New Roman"/>
          <w:i/>
          <w:iCs/>
          <w:lang w:val="en-US"/>
        </w:rPr>
        <w:t xml:space="preserve"> varying between 2001 and 2015) for prostate cancer. </w:t>
      </w:r>
      <w:proofErr w:type="gramStart"/>
      <w:r w:rsidRPr="003503FB">
        <w:rPr>
          <w:rFonts w:ascii="Times New Roman" w:hAnsi="Times New Roman" w:cs="Times New Roman"/>
          <w:i/>
          <w:iCs/>
          <w:lang w:val="en-US"/>
        </w:rPr>
        <w:t>C</w:t>
      </w:r>
      <w:r w:rsidRPr="003503FB">
        <w:rPr>
          <w:rFonts w:ascii="Times New Roman" w:hAnsi="Times New Roman" w:cs="Times New Roman"/>
          <w:bCs/>
          <w:i/>
          <w:lang w:val="en-US"/>
        </w:rPr>
        <w:t>ombined data from the Swiss registries of Vaud, Geneva and Neuchatel, 1982-2016.</w:t>
      </w:r>
      <w:proofErr w:type="gramEnd"/>
      <w:r w:rsidRPr="003503FB">
        <w:rPr>
          <w:rFonts w:ascii="Times New Roman" w:hAnsi="Times New Roman" w:cs="Times New Roman"/>
          <w:bCs/>
          <w:i/>
          <w:lang w:val="en-US"/>
        </w:rPr>
        <w:t xml:space="preserve"> Each model represented by a grey line.</w:t>
      </w:r>
    </w:p>
    <w:p w:rsidR="00BF550A" w:rsidRDefault="00BF550A" w:rsidP="00BF550A">
      <w:pPr>
        <w:keepNext/>
      </w:pPr>
      <w:r>
        <w:rPr>
          <w:noProof/>
          <w:lang w:val="de-DE" w:eastAsia="de-DE"/>
        </w:rPr>
        <w:lastRenderedPageBreak/>
        <w:drawing>
          <wp:inline distT="0" distB="0" distL="0" distR="0" wp14:anchorId="265C26F2" wp14:editId="384EDF8A">
            <wp:extent cx="8892540" cy="3242071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242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50A" w:rsidRPr="003503FB" w:rsidRDefault="00BF550A" w:rsidP="00BF550A">
      <w:pPr>
        <w:pStyle w:val="Beschriftung"/>
        <w:rPr>
          <w:rFonts w:ascii="Times New Roman" w:hAnsi="Times New Roman" w:cs="Times New Roman"/>
          <w:bCs/>
          <w:color w:val="auto"/>
          <w:sz w:val="22"/>
          <w:szCs w:val="22"/>
          <w:lang w:val="en-US"/>
        </w:rPr>
      </w:pPr>
      <w:r w:rsidRPr="003503FB">
        <w:rPr>
          <w:rFonts w:ascii="Times New Roman" w:hAnsi="Times New Roman" w:cs="Times New Roman"/>
          <w:b/>
          <w:bCs/>
          <w:color w:val="auto"/>
          <w:sz w:val="22"/>
          <w:szCs w:val="22"/>
          <w:lang w:val="en-US"/>
        </w:rPr>
        <w:t>Figure A</w:t>
      </w:r>
      <w:r>
        <w:rPr>
          <w:rFonts w:ascii="Times New Roman" w:hAnsi="Times New Roman" w:cs="Times New Roman"/>
          <w:b/>
          <w:bCs/>
          <w:color w:val="auto"/>
          <w:sz w:val="22"/>
          <w:szCs w:val="22"/>
          <w:lang w:val="en-US"/>
        </w:rPr>
        <w:t>10</w:t>
      </w:r>
      <w:r w:rsidRPr="003503FB">
        <w:rPr>
          <w:rFonts w:ascii="Times New Roman" w:hAnsi="Times New Roman" w:cs="Times New Roman"/>
          <w:b/>
          <w:bCs/>
          <w:color w:val="auto"/>
          <w:sz w:val="22"/>
          <w:szCs w:val="22"/>
          <w:lang w:val="en-US"/>
        </w:rPr>
        <w:t xml:space="preserve">: </w:t>
      </w:r>
      <w:r w:rsidRPr="003503FB">
        <w:rPr>
          <w:rFonts w:ascii="Times New Roman" w:hAnsi="Times New Roman" w:cs="Times New Roman"/>
          <w:bCs/>
          <w:color w:val="auto"/>
          <w:sz w:val="22"/>
          <w:szCs w:val="22"/>
          <w:lang w:val="en-US"/>
        </w:rPr>
        <w:t xml:space="preserve">Normalized Root Mean Square Error (NRMSE) distribution for 34 GLM (number of knots k = 1 and k = 2) across 15 leave-future-out cross-validation scenarios for prostate cancer on combined data from the Swiss registries of Vaud, Geneva and Neuchatel, 1982-2016. In the labels, “a”, “p”, and “c” refer to age, period and cohort, and </w:t>
      </w:r>
      <w:proofErr w:type="spellStart"/>
      <w:r w:rsidRPr="003503FB">
        <w:rPr>
          <w:rFonts w:ascii="Times New Roman" w:hAnsi="Times New Roman" w:cs="Times New Roman"/>
          <w:bCs/>
          <w:color w:val="auto"/>
          <w:sz w:val="22"/>
          <w:szCs w:val="22"/>
          <w:lang w:val="en-US"/>
        </w:rPr>
        <w:t>ns</w:t>
      </w:r>
      <w:r w:rsidRPr="003503FB">
        <w:rPr>
          <w:rFonts w:ascii="Times New Roman" w:hAnsi="Times New Roman" w:cs="Times New Roman"/>
          <w:bCs/>
          <w:color w:val="auto"/>
          <w:sz w:val="22"/>
          <w:szCs w:val="22"/>
          <w:vertAlign w:val="subscript"/>
          <w:lang w:val="en-US"/>
        </w:rPr>
        <w:t>k</w:t>
      </w:r>
      <w:proofErr w:type="spellEnd"/>
      <w:r w:rsidRPr="003503FB">
        <w:rPr>
          <w:rFonts w:ascii="Times New Roman" w:hAnsi="Times New Roman" w:cs="Times New Roman"/>
          <w:bCs/>
          <w:color w:val="auto"/>
          <w:sz w:val="22"/>
          <w:szCs w:val="22"/>
          <w:lang w:val="en-US"/>
        </w:rPr>
        <w:t xml:space="preserve"> to natural splines with k knots. The mean NRMSE (M-NMRSE) is indicated with a dotted horizontal line. The numbers on the top of the graph give for each model the number of scenarios outside the plotted region (NRMSE&gt;1). The number on the bottom is the number of scenarios for </w:t>
      </w:r>
      <w:r>
        <w:rPr>
          <w:rFonts w:ascii="Times New Roman" w:hAnsi="Times New Roman" w:cs="Times New Roman"/>
          <w:bCs/>
          <w:color w:val="auto"/>
          <w:sz w:val="22"/>
          <w:szCs w:val="22"/>
          <w:lang w:val="en-US"/>
        </w:rPr>
        <w:t>which the fitting algorithm of a method</w:t>
      </w:r>
      <w:r w:rsidRPr="003503FB">
        <w:rPr>
          <w:rFonts w:ascii="Times New Roman" w:hAnsi="Times New Roman" w:cs="Times New Roman"/>
          <w:bCs/>
          <w:color w:val="auto"/>
          <w:sz w:val="22"/>
          <w:szCs w:val="22"/>
          <w:lang w:val="en-US"/>
        </w:rPr>
        <w:t xml:space="preserve"> did not converge. The Lee-Carter (L-C) model is one of these models.</w:t>
      </w:r>
    </w:p>
    <w:p w:rsidR="00BF550A" w:rsidRDefault="00BF550A" w:rsidP="00BF550A">
      <w:pPr>
        <w:keepNext/>
      </w:pPr>
      <w:r>
        <w:rPr>
          <w:noProof/>
          <w:lang w:val="de-DE" w:eastAsia="de-DE"/>
        </w:rPr>
        <w:lastRenderedPageBreak/>
        <w:drawing>
          <wp:inline distT="0" distB="0" distL="0" distR="0" wp14:anchorId="44E291DE" wp14:editId="4302B83B">
            <wp:extent cx="8892540" cy="3242071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242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50A" w:rsidRPr="003503FB" w:rsidRDefault="00BF550A" w:rsidP="00BF550A">
      <w:pPr>
        <w:rPr>
          <w:rFonts w:ascii="Times New Roman" w:hAnsi="Times New Roman" w:cs="Times New Roman"/>
          <w:bCs/>
          <w:i/>
          <w:lang w:val="en-US"/>
        </w:rPr>
      </w:pPr>
      <w:r w:rsidRPr="003503FB">
        <w:rPr>
          <w:rFonts w:ascii="Times New Roman" w:hAnsi="Times New Roman" w:cs="Times New Roman"/>
          <w:b/>
          <w:bCs/>
          <w:i/>
          <w:lang w:val="en-US"/>
        </w:rPr>
        <w:t>Figure A</w:t>
      </w:r>
      <w:r>
        <w:rPr>
          <w:rFonts w:ascii="Times New Roman" w:hAnsi="Times New Roman" w:cs="Times New Roman"/>
          <w:b/>
          <w:bCs/>
          <w:i/>
          <w:lang w:val="en-US"/>
        </w:rPr>
        <w:t>11</w:t>
      </w:r>
      <w:r w:rsidRPr="003503FB">
        <w:rPr>
          <w:rFonts w:ascii="Times New Roman" w:hAnsi="Times New Roman" w:cs="Times New Roman"/>
          <w:b/>
          <w:bCs/>
          <w:i/>
          <w:lang w:val="en-US"/>
        </w:rPr>
        <w:t xml:space="preserve">: </w:t>
      </w:r>
      <w:r w:rsidRPr="003503FB">
        <w:rPr>
          <w:rFonts w:ascii="Times New Roman" w:hAnsi="Times New Roman" w:cs="Times New Roman"/>
          <w:bCs/>
          <w:i/>
          <w:lang w:val="en-US"/>
        </w:rPr>
        <w:t>Normalized Root Mean Square Error (NRMSE) distribution for 34 GLM (number of knots k = 3 and k = 4), a GLM AIC (35</w:t>
      </w:r>
      <w:r w:rsidRPr="003503FB">
        <w:rPr>
          <w:rFonts w:ascii="Times New Roman" w:hAnsi="Times New Roman" w:cs="Times New Roman"/>
          <w:bCs/>
          <w:i/>
          <w:vertAlign w:val="superscript"/>
          <w:lang w:val="en-US"/>
        </w:rPr>
        <w:t>th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model) and </w:t>
      </w:r>
      <w:proofErr w:type="spellStart"/>
      <w:r w:rsidRPr="003503FB">
        <w:rPr>
          <w:rFonts w:ascii="Times New Roman" w:hAnsi="Times New Roman" w:cs="Times New Roman"/>
          <w:bCs/>
          <w:i/>
          <w:lang w:val="en-US"/>
        </w:rPr>
        <w:t>joinpoint</w:t>
      </w:r>
      <w:proofErr w:type="spellEnd"/>
      <w:r w:rsidRPr="003503FB">
        <w:rPr>
          <w:rFonts w:ascii="Times New Roman" w:hAnsi="Times New Roman" w:cs="Times New Roman"/>
          <w:bCs/>
          <w:i/>
          <w:lang w:val="en-US"/>
        </w:rPr>
        <w:t xml:space="preserve"> regression (36</w:t>
      </w:r>
      <w:r w:rsidRPr="003503FB">
        <w:rPr>
          <w:rFonts w:ascii="Times New Roman" w:hAnsi="Times New Roman" w:cs="Times New Roman"/>
          <w:bCs/>
          <w:i/>
          <w:vertAlign w:val="superscript"/>
          <w:lang w:val="en-US"/>
        </w:rPr>
        <w:t>th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model) across 15 leave-future-out cross-validation scenarios for prostate cancer on combined data from the Swiss registries of Vaud, Geneva and Neuchatel, 1982-2016. In the labels, “a”, “p”, and “c” refer to age, period and cohort, and </w:t>
      </w:r>
      <w:proofErr w:type="spellStart"/>
      <w:r w:rsidRPr="003503FB">
        <w:rPr>
          <w:rFonts w:ascii="Times New Roman" w:hAnsi="Times New Roman" w:cs="Times New Roman"/>
          <w:bCs/>
          <w:i/>
          <w:lang w:val="en-US"/>
        </w:rPr>
        <w:t>ns</w:t>
      </w:r>
      <w:r w:rsidRPr="003503FB">
        <w:rPr>
          <w:rFonts w:ascii="Times New Roman" w:hAnsi="Times New Roman" w:cs="Times New Roman"/>
          <w:bCs/>
          <w:i/>
          <w:vertAlign w:val="subscript"/>
          <w:lang w:val="en-US"/>
        </w:rPr>
        <w:t>k</w:t>
      </w:r>
      <w:proofErr w:type="spellEnd"/>
      <w:r w:rsidRPr="003503FB">
        <w:rPr>
          <w:rFonts w:ascii="Times New Roman" w:hAnsi="Times New Roman" w:cs="Times New Roman"/>
          <w:bCs/>
          <w:i/>
          <w:lang w:val="en-US"/>
        </w:rPr>
        <w:t xml:space="preserve"> to natural splines with k knots. The mean NRMSE (M-NMRSE) is indicated with a dotted horizontal line. The numbers on the top of the graph give for each model the number of scenarios outside the plotted region (NRMSE&gt;1). The number on the bottom is the number of scenarios for </w:t>
      </w:r>
      <w:r>
        <w:rPr>
          <w:rFonts w:ascii="Times New Roman" w:hAnsi="Times New Roman" w:cs="Times New Roman"/>
          <w:bCs/>
          <w:i/>
          <w:lang w:val="en-US"/>
        </w:rPr>
        <w:t>which the fitting algorithm of a method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did not converge.</w:t>
      </w:r>
    </w:p>
    <w:p w:rsidR="00BF550A" w:rsidRPr="00EC0DD6" w:rsidRDefault="00BF550A" w:rsidP="00BF550A">
      <w:pPr>
        <w:pStyle w:val="Beschriftung"/>
        <w:rPr>
          <w:lang w:val="en-US"/>
        </w:rPr>
      </w:pPr>
    </w:p>
    <w:p w:rsidR="00BF550A" w:rsidRDefault="00BF550A" w:rsidP="00BF550A">
      <w:pPr>
        <w:keepNext/>
      </w:pPr>
      <w:r>
        <w:rPr>
          <w:noProof/>
          <w:lang w:val="de-DE" w:eastAsia="de-DE"/>
        </w:rPr>
        <w:lastRenderedPageBreak/>
        <w:drawing>
          <wp:inline distT="0" distB="0" distL="0" distR="0" wp14:anchorId="5A628D51" wp14:editId="11D44D1F">
            <wp:extent cx="8680000" cy="3164583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0000" cy="3164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50A" w:rsidRPr="003503FB" w:rsidRDefault="00BF550A" w:rsidP="00BF550A">
      <w:pPr>
        <w:rPr>
          <w:rFonts w:ascii="Times New Roman" w:hAnsi="Times New Roman" w:cs="Times New Roman"/>
          <w:bCs/>
          <w:i/>
          <w:lang w:val="en-US"/>
        </w:rPr>
      </w:pPr>
      <w:r w:rsidRPr="003503FB">
        <w:rPr>
          <w:rFonts w:ascii="Times New Roman" w:hAnsi="Times New Roman" w:cs="Times New Roman"/>
          <w:b/>
          <w:bCs/>
          <w:i/>
          <w:lang w:val="en-US"/>
        </w:rPr>
        <w:t>Figure A</w:t>
      </w:r>
      <w:r>
        <w:rPr>
          <w:rFonts w:ascii="Times New Roman" w:hAnsi="Times New Roman" w:cs="Times New Roman"/>
          <w:b/>
          <w:bCs/>
          <w:i/>
          <w:lang w:val="en-US"/>
        </w:rPr>
        <w:t>12</w:t>
      </w:r>
      <w:r w:rsidRPr="003503FB">
        <w:rPr>
          <w:rFonts w:ascii="Times New Roman" w:hAnsi="Times New Roman" w:cs="Times New Roman"/>
          <w:b/>
          <w:bCs/>
          <w:i/>
          <w:lang w:val="en-US"/>
        </w:rPr>
        <w:t xml:space="preserve">: 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Normalized Root Mean Square Error (NRMSE) distribution for 12 APC, </w:t>
      </w:r>
      <w:r>
        <w:rPr>
          <w:rFonts w:ascii="Times New Roman" w:hAnsi="Times New Roman" w:cs="Times New Roman"/>
          <w:bCs/>
          <w:i/>
          <w:lang w:val="en-US"/>
        </w:rPr>
        <w:t>10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BAPC, and 8 LM across 15 leave-future-out cross-validation scenarios for prostate cancer on combined data from the Swiss registries of Vaud, Geneva and Neuchatel, 1982-2016. For APC, “drift only” and “all effects” refer to prediction strategies extrapolating only the drift, respectively the drift + all </w:t>
      </w:r>
      <w:proofErr w:type="spellStart"/>
      <w:r w:rsidRPr="003503FB">
        <w:rPr>
          <w:rFonts w:ascii="Times New Roman" w:hAnsi="Times New Roman" w:cs="Times New Roman"/>
          <w:bCs/>
          <w:i/>
          <w:lang w:val="en-US"/>
        </w:rPr>
        <w:t>non linear</w:t>
      </w:r>
      <w:proofErr w:type="spellEnd"/>
      <w:r w:rsidRPr="003503FB">
        <w:rPr>
          <w:rFonts w:ascii="Times New Roman" w:hAnsi="Times New Roman" w:cs="Times New Roman"/>
          <w:bCs/>
          <w:i/>
          <w:lang w:val="en-US"/>
        </w:rPr>
        <w:t xml:space="preserve"> effects, “log” indicates the logarithmic link, “pw” the 1/5 power link, and k the number of knots used. For BAPC, RW</w:t>
      </w:r>
      <w:r w:rsidRPr="003503FB">
        <w:rPr>
          <w:rFonts w:ascii="Times New Roman" w:hAnsi="Times New Roman" w:cs="Times New Roman"/>
          <w:bCs/>
          <w:i/>
          <w:vertAlign w:val="subscript"/>
          <w:lang w:val="en-US"/>
        </w:rPr>
        <w:t>1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and RW</w:t>
      </w:r>
      <w:r w:rsidRPr="003503FB">
        <w:rPr>
          <w:rFonts w:ascii="Times New Roman" w:hAnsi="Times New Roman" w:cs="Times New Roman"/>
          <w:bCs/>
          <w:i/>
          <w:vertAlign w:val="subscript"/>
          <w:lang w:val="en-US"/>
        </w:rPr>
        <w:t>2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refer to first and second-order random walk, “p</w:t>
      </w:r>
      <w:r w:rsidRPr="003503FB">
        <w:rPr>
          <w:rFonts w:ascii="Times New Roman" w:hAnsi="Times New Roman" w:cs="Times New Roman"/>
          <w:bCs/>
          <w:i/>
          <w:vertAlign w:val="subscript"/>
          <w:lang w:val="en-US"/>
        </w:rPr>
        <w:t>1</w:t>
      </w:r>
      <w:r w:rsidRPr="003503FB">
        <w:rPr>
          <w:rFonts w:ascii="Times New Roman" w:hAnsi="Times New Roman" w:cs="Times New Roman"/>
          <w:bCs/>
          <w:i/>
          <w:lang w:val="en-US"/>
        </w:rPr>
        <w:t>” indicates gamma(1, 9e-4) prior for the age effect and gamma(1, 2.5e-4) prior for the period and cohort effects, “p</w:t>
      </w:r>
      <w:r w:rsidRPr="003503FB">
        <w:rPr>
          <w:rFonts w:ascii="Times New Roman" w:hAnsi="Times New Roman" w:cs="Times New Roman"/>
          <w:bCs/>
          <w:i/>
          <w:vertAlign w:val="subscript"/>
          <w:lang w:val="en-US"/>
        </w:rPr>
        <w:t>2</w:t>
      </w:r>
      <w:r w:rsidRPr="003503FB">
        <w:rPr>
          <w:rFonts w:ascii="Times New Roman" w:hAnsi="Times New Roman" w:cs="Times New Roman"/>
          <w:bCs/>
          <w:i/>
          <w:lang w:val="en-US"/>
        </w:rPr>
        <w:t>”, “p</w:t>
      </w:r>
      <w:r w:rsidRPr="003503FB">
        <w:rPr>
          <w:rFonts w:ascii="Times New Roman" w:hAnsi="Times New Roman" w:cs="Times New Roman"/>
          <w:bCs/>
          <w:i/>
          <w:vertAlign w:val="subscript"/>
          <w:lang w:val="en-US"/>
        </w:rPr>
        <w:t>3</w:t>
      </w:r>
      <w:r w:rsidRPr="003503FB">
        <w:rPr>
          <w:rFonts w:ascii="Times New Roman" w:hAnsi="Times New Roman" w:cs="Times New Roman"/>
          <w:bCs/>
          <w:i/>
          <w:lang w:val="en-US"/>
        </w:rPr>
        <w:t>”</w:t>
      </w:r>
      <w:r>
        <w:rPr>
          <w:rFonts w:ascii="Times New Roman" w:hAnsi="Times New Roman" w:cs="Times New Roman"/>
          <w:bCs/>
          <w:i/>
          <w:lang w:val="en-US"/>
        </w:rPr>
        <w:t xml:space="preserve">, </w:t>
      </w:r>
      <w:r w:rsidRPr="003503FB">
        <w:rPr>
          <w:rFonts w:ascii="Times New Roman" w:hAnsi="Times New Roman" w:cs="Times New Roman"/>
          <w:bCs/>
          <w:i/>
          <w:lang w:val="en-US"/>
        </w:rPr>
        <w:t>“p</w:t>
      </w:r>
      <w:r>
        <w:rPr>
          <w:rFonts w:ascii="Times New Roman" w:hAnsi="Times New Roman" w:cs="Times New Roman"/>
          <w:bCs/>
          <w:i/>
          <w:vertAlign w:val="subscript"/>
          <w:lang w:val="en-US"/>
        </w:rPr>
        <w:t>4</w:t>
      </w:r>
      <w:r w:rsidRPr="003503FB">
        <w:rPr>
          <w:rFonts w:ascii="Times New Roman" w:hAnsi="Times New Roman" w:cs="Times New Roman"/>
          <w:bCs/>
          <w:i/>
          <w:lang w:val="en-US"/>
        </w:rPr>
        <w:t>” and “p</w:t>
      </w:r>
      <w:r>
        <w:rPr>
          <w:rFonts w:ascii="Times New Roman" w:hAnsi="Times New Roman" w:cs="Times New Roman"/>
          <w:bCs/>
          <w:i/>
          <w:vertAlign w:val="subscript"/>
          <w:lang w:val="en-US"/>
        </w:rPr>
        <w:t>5</w:t>
      </w:r>
      <w:r w:rsidRPr="003503FB">
        <w:rPr>
          <w:rFonts w:ascii="Times New Roman" w:hAnsi="Times New Roman" w:cs="Times New Roman"/>
          <w:bCs/>
          <w:i/>
          <w:lang w:val="en-US"/>
        </w:rPr>
        <w:t>” indicate gamma(1, 5e-03), gamma(1, 5e-05)</w:t>
      </w:r>
      <w:r>
        <w:rPr>
          <w:rFonts w:ascii="Times New Roman" w:hAnsi="Times New Roman" w:cs="Times New Roman"/>
          <w:bCs/>
          <w:i/>
          <w:lang w:val="en-US"/>
        </w:rPr>
        <w:t>,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 gamma(1, 5e-07)</w:t>
      </w:r>
      <w:r>
        <w:rPr>
          <w:rFonts w:ascii="Times New Roman" w:hAnsi="Times New Roman" w:cs="Times New Roman"/>
          <w:bCs/>
          <w:i/>
          <w:lang w:val="en-US"/>
        </w:rPr>
        <w:t xml:space="preserve"> and PC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priors for all effects, respectively. For LM, “r” is the number of past </w:t>
      </w:r>
      <w:r>
        <w:rPr>
          <w:rFonts w:ascii="Times New Roman" w:hAnsi="Times New Roman" w:cs="Times New Roman"/>
          <w:bCs/>
          <w:i/>
          <w:lang w:val="en-US"/>
        </w:rPr>
        <w:t>years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included in the regression. The mean NRMSE (M-NMRSE) is indicated with a dotted horizontal line. The numbers on the top of the graph give for each model the number of scenarios outside the plotted region (NRMSE&gt;1). The number on the bottom is the number of scenarios for </w:t>
      </w:r>
      <w:r>
        <w:rPr>
          <w:rFonts w:ascii="Times New Roman" w:hAnsi="Times New Roman" w:cs="Times New Roman"/>
          <w:bCs/>
          <w:i/>
          <w:lang w:val="en-US"/>
        </w:rPr>
        <w:t>which the fitting algorithm of a method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did not converge.</w:t>
      </w:r>
    </w:p>
    <w:p w:rsidR="00BF550A" w:rsidRPr="00EC0DD6" w:rsidRDefault="00BF550A" w:rsidP="00BF550A">
      <w:pPr>
        <w:pStyle w:val="Beschriftung"/>
        <w:rPr>
          <w:lang w:val="en-US"/>
        </w:rPr>
      </w:pPr>
    </w:p>
    <w:p w:rsidR="00BF550A" w:rsidRDefault="00BF550A" w:rsidP="00BF550A">
      <w:pPr>
        <w:keepNext/>
      </w:pPr>
      <w:r>
        <w:rPr>
          <w:noProof/>
          <w:lang w:val="de-DE" w:eastAsia="de-DE"/>
        </w:rPr>
        <w:lastRenderedPageBreak/>
        <w:drawing>
          <wp:inline distT="0" distB="0" distL="0" distR="0" wp14:anchorId="189F58EF" wp14:editId="342384EB">
            <wp:extent cx="6862527" cy="4289079"/>
            <wp:effectExtent l="0" t="0" r="0" b="381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1405" cy="4313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50A" w:rsidRDefault="00BF550A" w:rsidP="00BF550A">
      <w:pPr>
        <w:rPr>
          <w:rFonts w:ascii="Times New Roman" w:hAnsi="Times New Roman" w:cs="Times New Roman"/>
          <w:bCs/>
          <w:i/>
          <w:lang w:val="en-US"/>
        </w:rPr>
      </w:pPr>
      <w:r w:rsidRPr="003503FB">
        <w:rPr>
          <w:rFonts w:ascii="Times New Roman" w:hAnsi="Times New Roman" w:cs="Times New Roman"/>
          <w:b/>
          <w:bCs/>
          <w:i/>
          <w:lang w:val="en-US"/>
        </w:rPr>
        <w:t>Figure A</w:t>
      </w:r>
      <w:r>
        <w:rPr>
          <w:rFonts w:ascii="Times New Roman" w:hAnsi="Times New Roman" w:cs="Times New Roman"/>
          <w:b/>
          <w:bCs/>
          <w:i/>
          <w:lang w:val="en-US"/>
        </w:rPr>
        <w:t>13</w:t>
      </w:r>
      <w:r w:rsidRPr="003503FB">
        <w:rPr>
          <w:rFonts w:ascii="Times New Roman" w:hAnsi="Times New Roman" w:cs="Times New Roman"/>
          <w:b/>
          <w:bCs/>
          <w:i/>
          <w:lang w:val="en-US"/>
        </w:rPr>
        <w:t xml:space="preserve">: </w:t>
      </w:r>
      <w:r w:rsidRPr="003503FB">
        <w:rPr>
          <w:rFonts w:ascii="Times New Roman" w:hAnsi="Times New Roman" w:cs="Times New Roman"/>
          <w:bCs/>
          <w:i/>
          <w:lang w:val="en-US"/>
        </w:rPr>
        <w:t>Normalized Root Mean Square Error (NRMSE) distribution for 64 ARIMA with orders of each component (AR, I and MA) between 0 and 3, and an AIC ARIMA (65</w:t>
      </w:r>
      <w:r w:rsidRPr="003503FB">
        <w:rPr>
          <w:rFonts w:ascii="Times New Roman" w:hAnsi="Times New Roman" w:cs="Times New Roman"/>
          <w:bCs/>
          <w:i/>
          <w:vertAlign w:val="superscript"/>
          <w:lang w:val="en-US"/>
        </w:rPr>
        <w:t>th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model) across 15 leave-future-out cross-validation scenarios for prostate cancer obtained on combined data from the Swiss registries of Vaud, Geneva and Neuchatel, 1982-2016. The mean NRMSE (M-NMRSE) is indicated with a dotted horizontal line. The numbers on the top of the graph give for each model the number of scenarios outside the plotted region (NRMSE &gt;1). The number on the bottom is the number of scenarios for </w:t>
      </w:r>
      <w:r>
        <w:rPr>
          <w:rFonts w:ascii="Times New Roman" w:hAnsi="Times New Roman" w:cs="Times New Roman"/>
          <w:bCs/>
          <w:i/>
          <w:lang w:val="en-US"/>
        </w:rPr>
        <w:t>which the fitting algorithm of a method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 did not converge.</w:t>
      </w:r>
    </w:p>
    <w:p w:rsidR="00BF550A" w:rsidRDefault="00BF550A" w:rsidP="00BF550A">
      <w:pPr>
        <w:ind w:left="0" w:firstLine="0"/>
        <w:rPr>
          <w:rFonts w:ascii="Times New Roman" w:hAnsi="Times New Roman" w:cs="Times New Roman"/>
          <w:bCs/>
          <w:i/>
          <w:lang w:val="en-US"/>
        </w:rPr>
      </w:pPr>
      <w:r>
        <w:rPr>
          <w:rFonts w:ascii="Times New Roman" w:hAnsi="Times New Roman" w:cs="Times New Roman"/>
          <w:bCs/>
          <w:i/>
          <w:noProof/>
          <w:lang w:val="de-DE" w:eastAsia="de-DE"/>
        </w:rPr>
        <w:lastRenderedPageBreak/>
        <w:drawing>
          <wp:anchor distT="71755" distB="71755" distL="114300" distR="114300" simplePos="0" relativeHeight="251659264" behindDoc="1" locked="0" layoutInCell="1" allowOverlap="0" wp14:anchorId="51AEF8C5" wp14:editId="408A8FC2">
            <wp:simplePos x="0" y="0"/>
            <wp:positionH relativeFrom="column">
              <wp:align>left</wp:align>
            </wp:positionH>
            <wp:positionV relativeFrom="page">
              <wp:align>center</wp:align>
            </wp:positionV>
            <wp:extent cx="5079365" cy="5714365"/>
            <wp:effectExtent l="0" t="0" r="635" b="635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79600" cy="5714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550A" w:rsidRPr="008658C0" w:rsidRDefault="00BF550A" w:rsidP="00BF550A">
      <w:pPr>
        <w:rPr>
          <w:rFonts w:ascii="Times New Roman" w:hAnsi="Times New Roman" w:cs="Times New Roman"/>
          <w:i/>
          <w:iCs/>
          <w:sz w:val="20"/>
          <w:szCs w:val="20"/>
          <w:lang w:val="en-US"/>
        </w:rPr>
      </w:pPr>
      <w:r w:rsidRPr="00E64450">
        <w:rPr>
          <w:rFonts w:ascii="Times New Roman" w:hAnsi="Times New Roman" w:cs="Times New Roman"/>
          <w:b/>
          <w:bCs/>
          <w:i/>
          <w:iCs/>
          <w:lang w:val="en-US"/>
        </w:rPr>
        <w:t xml:space="preserve">Figure </w:t>
      </w:r>
      <w:r>
        <w:rPr>
          <w:rFonts w:ascii="Times New Roman" w:hAnsi="Times New Roman" w:cs="Times New Roman"/>
          <w:b/>
          <w:bCs/>
          <w:i/>
          <w:iCs/>
          <w:lang w:val="en-US"/>
        </w:rPr>
        <w:t>A14</w:t>
      </w:r>
      <w:r w:rsidRPr="00E64450">
        <w:rPr>
          <w:rFonts w:ascii="Times New Roman" w:hAnsi="Times New Roman" w:cs="Times New Roman"/>
          <w:i/>
          <w:iCs/>
          <w:lang w:val="en-US"/>
        </w:rPr>
        <w:t>:</w:t>
      </w:r>
      <w:r>
        <w:rPr>
          <w:rFonts w:ascii="Times New Roman" w:hAnsi="Times New Roman" w:cs="Times New Roman"/>
          <w:i/>
          <w:iCs/>
          <w:lang w:val="en-US"/>
        </w:rPr>
        <w:t>Mean</w:t>
      </w:r>
      <w:r w:rsidRPr="00E64450">
        <w:rPr>
          <w:rFonts w:ascii="Times New Roman" w:hAnsi="Times New Roman" w:cs="Times New Roman"/>
          <w:i/>
          <w:iCs/>
          <w:lang w:val="en-US"/>
        </w:rPr>
        <w:t xml:space="preserve"> </w:t>
      </w:r>
      <w:r>
        <w:rPr>
          <w:rFonts w:ascii="Times New Roman" w:hAnsi="Times New Roman" w:cs="Times New Roman"/>
          <w:i/>
          <w:iCs/>
          <w:lang w:val="en-US"/>
        </w:rPr>
        <w:t>Interval scores (M-IS)</w:t>
      </w:r>
      <w:r w:rsidRPr="00E64450">
        <w:rPr>
          <w:rFonts w:ascii="Times New Roman" w:hAnsi="Times New Roman" w:cs="Times New Roman"/>
          <w:i/>
          <w:iCs/>
          <w:lang w:val="en-US"/>
        </w:rPr>
        <w:t xml:space="preserve"> for GLM (a)-(b), APC, BAPC and LM (c) </w:t>
      </w:r>
      <w:r w:rsidRPr="00E64450">
        <w:rPr>
          <w:rFonts w:ascii="Times New Roman" w:hAnsi="Times New Roman" w:cs="Times New Roman"/>
          <w:bCs/>
          <w:i/>
          <w:lang w:val="en-US"/>
        </w:rPr>
        <w:t xml:space="preserve">across 150 scenarios (15 leave-future-out cross-validation scenarios for each sex and 5 cancer locations per sex) obtained on combined data from the Swiss registries of Vaud, Geneva and Neuchatel, 1982-2016. In the labels, “A” indicates GLM only including age; “A+P” (respectively “A+C”) indicates GLM including age and period (respectively age and cohort) without interaction; “A · P” (“A · C”) indicates GLM including age, period (respectively age, cohort) with interaction. For APC, “drift only” and “all effects” refer to prediction strategies extrapolating only the drift, respectively the drift + all </w:t>
      </w:r>
      <w:proofErr w:type="spellStart"/>
      <w:r w:rsidRPr="00E64450">
        <w:rPr>
          <w:rFonts w:ascii="Times New Roman" w:hAnsi="Times New Roman" w:cs="Times New Roman"/>
          <w:bCs/>
          <w:i/>
          <w:lang w:val="en-US"/>
        </w:rPr>
        <w:t>non linear</w:t>
      </w:r>
      <w:proofErr w:type="spellEnd"/>
      <w:r w:rsidRPr="00E64450">
        <w:rPr>
          <w:rFonts w:ascii="Times New Roman" w:hAnsi="Times New Roman" w:cs="Times New Roman"/>
          <w:bCs/>
          <w:i/>
          <w:lang w:val="en-US"/>
        </w:rPr>
        <w:t xml:space="preserve"> effects, “log” indicates the logarithmic link and “pw” the 1/5 power link. For BAPC, RW</w:t>
      </w:r>
      <w:r w:rsidRPr="00E64450">
        <w:rPr>
          <w:rFonts w:ascii="Times New Roman" w:hAnsi="Times New Roman" w:cs="Times New Roman"/>
          <w:bCs/>
          <w:i/>
          <w:vertAlign w:val="subscript"/>
          <w:lang w:val="en-US"/>
        </w:rPr>
        <w:t>1</w:t>
      </w:r>
      <w:r w:rsidRPr="00E64450">
        <w:rPr>
          <w:rFonts w:ascii="Times New Roman" w:hAnsi="Times New Roman" w:cs="Times New Roman"/>
          <w:bCs/>
          <w:i/>
          <w:lang w:val="en-US"/>
        </w:rPr>
        <w:t xml:space="preserve"> and RW</w:t>
      </w:r>
      <w:r w:rsidRPr="00E64450">
        <w:rPr>
          <w:rFonts w:ascii="Times New Roman" w:hAnsi="Times New Roman" w:cs="Times New Roman"/>
          <w:bCs/>
          <w:i/>
          <w:vertAlign w:val="subscript"/>
          <w:lang w:val="en-US"/>
        </w:rPr>
        <w:t>2</w:t>
      </w:r>
      <w:r w:rsidRPr="00E64450">
        <w:rPr>
          <w:rFonts w:ascii="Times New Roman" w:hAnsi="Times New Roman" w:cs="Times New Roman"/>
          <w:bCs/>
          <w:i/>
          <w:lang w:val="en-US"/>
        </w:rPr>
        <w:t xml:space="preserve"> refer to first and second-order random walk.</w:t>
      </w:r>
      <w:r w:rsidRPr="008658C0">
        <w:rPr>
          <w:rFonts w:ascii="Times New Roman" w:hAnsi="Times New Roman" w:cs="Times New Roman"/>
          <w:i/>
          <w:iCs/>
          <w:sz w:val="20"/>
          <w:szCs w:val="20"/>
          <w:lang w:val="en-US"/>
        </w:rPr>
        <w:t xml:space="preserve"> </w:t>
      </w:r>
    </w:p>
    <w:p w:rsidR="00BF550A" w:rsidRPr="00033AA3" w:rsidRDefault="00BF550A" w:rsidP="00BF550A">
      <w:pPr>
        <w:rPr>
          <w:rFonts w:ascii="Times New Roman" w:hAnsi="Times New Roman" w:cs="Times New Roman"/>
          <w:lang w:val="en-US"/>
        </w:rPr>
      </w:pPr>
    </w:p>
    <w:p w:rsidR="00BF550A" w:rsidRDefault="00BF550A" w:rsidP="00BF550A">
      <w:pPr>
        <w:rPr>
          <w:rFonts w:ascii="Times New Roman" w:hAnsi="Times New Roman" w:cs="Times New Roman"/>
          <w:bCs/>
          <w:i/>
          <w:lang w:val="en-US"/>
        </w:rPr>
      </w:pPr>
      <w:r>
        <w:rPr>
          <w:rFonts w:ascii="Times New Roman" w:hAnsi="Times New Roman" w:cs="Times New Roman"/>
          <w:bCs/>
          <w:i/>
          <w:noProof/>
          <w:lang w:val="de-DE" w:eastAsia="de-DE"/>
        </w:rPr>
        <w:lastRenderedPageBreak/>
        <w:drawing>
          <wp:anchor distT="0" distB="0" distL="114300" distR="114300" simplePos="0" relativeHeight="251660288" behindDoc="0" locked="0" layoutInCell="1" allowOverlap="1" wp14:anchorId="1EB9D86D" wp14:editId="5AB083FF">
            <wp:simplePos x="900000" y="900000"/>
            <wp:positionH relativeFrom="column">
              <wp:align>left</wp:align>
            </wp:positionH>
            <wp:positionV relativeFrom="page">
              <wp:align>center</wp:align>
            </wp:positionV>
            <wp:extent cx="5245100" cy="5715000"/>
            <wp:effectExtent l="0" t="0" r="0" b="0"/>
            <wp:wrapSquare wrapText="bothSides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45200" cy="5715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550A" w:rsidRDefault="00BF550A" w:rsidP="00BF550A">
      <w:pPr>
        <w:ind w:left="0" w:firstLine="0"/>
        <w:rPr>
          <w:rFonts w:ascii="Times New Roman" w:hAnsi="Times New Roman" w:cs="Times New Roman"/>
          <w:bCs/>
          <w:i/>
          <w:lang w:val="en-US"/>
        </w:rPr>
      </w:pPr>
    </w:p>
    <w:p w:rsidR="00BF550A" w:rsidRPr="00E64450" w:rsidRDefault="00BF550A" w:rsidP="00BF550A">
      <w:pPr>
        <w:rPr>
          <w:rFonts w:ascii="Times New Roman" w:hAnsi="Times New Roman" w:cs="Times New Roman"/>
          <w:bCs/>
          <w:i/>
          <w:iCs/>
          <w:lang w:val="en-US"/>
        </w:rPr>
      </w:pPr>
      <w:r w:rsidRPr="00E64450">
        <w:rPr>
          <w:rFonts w:ascii="Times New Roman" w:hAnsi="Times New Roman" w:cs="Times New Roman"/>
          <w:b/>
          <w:bCs/>
          <w:i/>
          <w:iCs/>
          <w:lang w:val="en-US"/>
        </w:rPr>
        <w:t xml:space="preserve">Figure </w:t>
      </w:r>
      <w:r>
        <w:rPr>
          <w:rFonts w:ascii="Times New Roman" w:hAnsi="Times New Roman" w:cs="Times New Roman"/>
          <w:b/>
          <w:bCs/>
          <w:i/>
          <w:iCs/>
          <w:lang w:val="en-US"/>
        </w:rPr>
        <w:t>A15</w:t>
      </w:r>
      <w:r w:rsidRPr="00E64450">
        <w:rPr>
          <w:rFonts w:ascii="Times New Roman" w:hAnsi="Times New Roman" w:cs="Times New Roman"/>
          <w:b/>
          <w:bCs/>
          <w:i/>
          <w:iCs/>
          <w:lang w:val="en-US"/>
        </w:rPr>
        <w:t xml:space="preserve">: </w:t>
      </w:r>
      <w:r w:rsidRPr="00E64450">
        <w:rPr>
          <w:rFonts w:ascii="Times New Roman" w:hAnsi="Times New Roman" w:cs="Times New Roman"/>
          <w:bCs/>
          <w:i/>
          <w:iCs/>
          <w:lang w:val="en-US"/>
        </w:rPr>
        <w:t xml:space="preserve">Mean </w:t>
      </w:r>
      <w:r>
        <w:rPr>
          <w:rFonts w:ascii="Times New Roman" w:hAnsi="Times New Roman" w:cs="Times New Roman"/>
          <w:bCs/>
          <w:i/>
          <w:iCs/>
          <w:lang w:val="en-US"/>
        </w:rPr>
        <w:t>Interval Scores (M-IS)</w:t>
      </w:r>
      <w:r w:rsidRPr="00E64450">
        <w:rPr>
          <w:rFonts w:ascii="Times New Roman" w:hAnsi="Times New Roman" w:cs="Times New Roman"/>
          <w:bCs/>
          <w:i/>
          <w:iCs/>
          <w:lang w:val="en-US"/>
        </w:rPr>
        <w:t xml:space="preserve"> for ARIMA with orders of each component (AR, I and MA) between 0 and 3, and an ARIMA</w:t>
      </w:r>
      <w:r>
        <w:rPr>
          <w:rFonts w:ascii="Times New Roman" w:hAnsi="Times New Roman" w:cs="Times New Roman"/>
          <w:bCs/>
          <w:i/>
          <w:iCs/>
          <w:lang w:val="en-US"/>
        </w:rPr>
        <w:t xml:space="preserve"> AIC</w:t>
      </w:r>
      <w:r w:rsidRPr="00E64450">
        <w:rPr>
          <w:rFonts w:ascii="Times New Roman" w:hAnsi="Times New Roman" w:cs="Times New Roman"/>
          <w:bCs/>
          <w:i/>
          <w:iCs/>
          <w:lang w:val="en-US"/>
        </w:rPr>
        <w:t xml:space="preserve"> across 150 scenarios (15 leave-future-out cross-validation scenarios for each sex and 5 cancer locations per sex) obtained on combined data from the Swiss registries of Vaud, Geneva and Neuchatel, 1982-2016. </w:t>
      </w:r>
    </w:p>
    <w:p w:rsidR="00BF550A" w:rsidRPr="00033AA3" w:rsidRDefault="00BF550A" w:rsidP="00BF550A">
      <w:pPr>
        <w:rPr>
          <w:rFonts w:ascii="Times New Roman" w:hAnsi="Times New Roman" w:cs="Times New Roman"/>
          <w:lang w:val="en-US"/>
        </w:rPr>
      </w:pPr>
    </w:p>
    <w:p w:rsidR="00BF550A" w:rsidRDefault="00BF550A" w:rsidP="00BF550A">
      <w:pPr>
        <w:rPr>
          <w:rFonts w:ascii="Times New Roman" w:hAnsi="Times New Roman" w:cs="Times New Roman"/>
          <w:bCs/>
          <w:i/>
          <w:lang w:val="en-US"/>
        </w:rPr>
      </w:pPr>
      <w:r>
        <w:rPr>
          <w:rFonts w:ascii="Times New Roman" w:hAnsi="Times New Roman" w:cs="Times New Roman"/>
          <w:bCs/>
          <w:i/>
          <w:noProof/>
          <w:lang w:val="de-DE" w:eastAsia="de-DE"/>
        </w:rPr>
        <w:lastRenderedPageBreak/>
        <w:drawing>
          <wp:inline distT="0" distB="0" distL="0" distR="0" wp14:anchorId="40C4A288" wp14:editId="529C0D87">
            <wp:extent cx="8892540" cy="444627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44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lang w:val="en-US"/>
        </w:rPr>
        <w:br w:type="textWrapping" w:clear="all"/>
      </w:r>
      <w:r w:rsidRPr="00E64450">
        <w:rPr>
          <w:rFonts w:ascii="Times New Roman" w:hAnsi="Times New Roman" w:cs="Times New Roman"/>
          <w:b/>
          <w:bCs/>
          <w:i/>
          <w:iCs/>
          <w:lang w:val="en-US"/>
        </w:rPr>
        <w:t xml:space="preserve">Figure </w:t>
      </w:r>
      <w:r>
        <w:rPr>
          <w:rFonts w:ascii="Times New Roman" w:hAnsi="Times New Roman" w:cs="Times New Roman"/>
          <w:b/>
          <w:bCs/>
          <w:i/>
          <w:iCs/>
          <w:lang w:val="en-US"/>
        </w:rPr>
        <w:t>A16</w:t>
      </w:r>
      <w:r w:rsidRPr="00E64450">
        <w:rPr>
          <w:rFonts w:ascii="Times New Roman" w:hAnsi="Times New Roman" w:cs="Times New Roman"/>
          <w:i/>
          <w:iCs/>
          <w:lang w:val="en-US"/>
        </w:rPr>
        <w:t xml:space="preserve">: Mean </w:t>
      </w:r>
      <w:r>
        <w:rPr>
          <w:rFonts w:ascii="Times New Roman" w:hAnsi="Times New Roman" w:cs="Times New Roman"/>
          <w:i/>
          <w:iCs/>
          <w:lang w:val="en-US"/>
        </w:rPr>
        <w:t>Interval Scores</w:t>
      </w:r>
      <w:r w:rsidRPr="00E64450">
        <w:rPr>
          <w:rFonts w:ascii="Times New Roman" w:hAnsi="Times New Roman" w:cs="Times New Roman"/>
          <w:i/>
          <w:iCs/>
          <w:lang w:val="en-US"/>
        </w:rPr>
        <w:t xml:space="preserve"> (M-</w:t>
      </w:r>
      <w:r>
        <w:rPr>
          <w:rFonts w:ascii="Times New Roman" w:hAnsi="Times New Roman" w:cs="Times New Roman"/>
          <w:i/>
          <w:iCs/>
          <w:lang w:val="en-US"/>
        </w:rPr>
        <w:t>IS</w:t>
      </w:r>
      <w:r w:rsidRPr="00E64450">
        <w:rPr>
          <w:rFonts w:ascii="Times New Roman" w:hAnsi="Times New Roman" w:cs="Times New Roman"/>
          <w:i/>
          <w:iCs/>
          <w:lang w:val="en-US"/>
        </w:rPr>
        <w:t xml:space="preserve">) for </w:t>
      </w:r>
      <w:r>
        <w:rPr>
          <w:rFonts w:ascii="Times New Roman" w:hAnsi="Times New Roman" w:cs="Times New Roman"/>
          <w:i/>
          <w:iCs/>
          <w:lang w:val="en-US"/>
        </w:rPr>
        <w:t>one</w:t>
      </w:r>
      <w:r w:rsidRPr="00E64450">
        <w:rPr>
          <w:rFonts w:ascii="Times New Roman" w:hAnsi="Times New Roman" w:cs="Times New Roman"/>
          <w:i/>
          <w:iCs/>
          <w:lang w:val="en-US"/>
        </w:rPr>
        <w:t xml:space="preserve"> model</w:t>
      </w:r>
      <w:r>
        <w:rPr>
          <w:rFonts w:ascii="Times New Roman" w:hAnsi="Times New Roman" w:cs="Times New Roman"/>
          <w:i/>
          <w:iCs/>
          <w:lang w:val="en-US"/>
        </w:rPr>
        <w:t xml:space="preserve"> per class</w:t>
      </w:r>
      <w:r w:rsidRPr="00E64450">
        <w:rPr>
          <w:rFonts w:ascii="Times New Roman" w:hAnsi="Times New Roman" w:cs="Times New Roman"/>
          <w:i/>
          <w:iCs/>
          <w:lang w:val="en-US"/>
        </w:rPr>
        <w:t>, by sex and cancer site (M-</w:t>
      </w:r>
      <w:r>
        <w:rPr>
          <w:rFonts w:ascii="Times New Roman" w:hAnsi="Times New Roman" w:cs="Times New Roman"/>
          <w:i/>
          <w:iCs/>
          <w:lang w:val="en-US"/>
        </w:rPr>
        <w:t>IS</w:t>
      </w:r>
      <w:r w:rsidRPr="00E64450">
        <w:rPr>
          <w:rFonts w:ascii="Times New Roman" w:hAnsi="Times New Roman" w:cs="Times New Roman"/>
          <w:i/>
          <w:iCs/>
          <w:lang w:val="en-US"/>
        </w:rPr>
        <w:t xml:space="preserve"> across </w:t>
      </w:r>
      <w:r w:rsidRPr="00E64450">
        <w:rPr>
          <w:rFonts w:ascii="Times New Roman" w:hAnsi="Times New Roman" w:cs="Times New Roman"/>
          <w:bCs/>
          <w:i/>
          <w:lang w:val="en-US"/>
        </w:rPr>
        <w:t>15 leave-future-out cross-validation scenarios on combined data from the Swiss registries of Vaud, Geneva and Neuchatel, 1982-2016 per sex and cancer site).</w:t>
      </w:r>
      <w:r>
        <w:rPr>
          <w:rFonts w:ascii="Times New Roman" w:hAnsi="Times New Roman" w:cs="Times New Roman"/>
          <w:bCs/>
          <w:i/>
          <w:lang w:val="en-US"/>
        </w:rPr>
        <w:t xml:space="preserve"> The number </w:t>
      </w:r>
      <w:r w:rsidRPr="003503FB">
        <w:rPr>
          <w:rFonts w:ascii="Times New Roman" w:hAnsi="Times New Roman" w:cs="Times New Roman"/>
          <w:bCs/>
          <w:i/>
          <w:lang w:val="en-US"/>
        </w:rPr>
        <w:t xml:space="preserve">of scenarios for which </w:t>
      </w:r>
      <w:r>
        <w:rPr>
          <w:rFonts w:ascii="Times New Roman" w:hAnsi="Times New Roman" w:cs="Times New Roman"/>
          <w:bCs/>
          <w:i/>
          <w:lang w:val="en-US"/>
        </w:rPr>
        <w:t xml:space="preserve">the fitting algorithm of </w:t>
      </w:r>
      <w:r w:rsidRPr="003503FB">
        <w:rPr>
          <w:rFonts w:ascii="Times New Roman" w:hAnsi="Times New Roman" w:cs="Times New Roman"/>
          <w:bCs/>
          <w:i/>
          <w:lang w:val="en-US"/>
        </w:rPr>
        <w:t>a method did not converge</w:t>
      </w:r>
      <w:r>
        <w:rPr>
          <w:rFonts w:ascii="Times New Roman" w:hAnsi="Times New Roman" w:cs="Times New Roman"/>
          <w:bCs/>
          <w:i/>
          <w:lang w:val="en-US"/>
        </w:rPr>
        <w:t xml:space="preserve"> is indicated at the bottom of the graph for APC|BAPC. The other methods shown always converged.</w:t>
      </w:r>
    </w:p>
    <w:p w:rsidR="00BF550A" w:rsidRDefault="00BF550A" w:rsidP="00BF550A">
      <w:pPr>
        <w:rPr>
          <w:rFonts w:ascii="Times New Roman" w:hAnsi="Times New Roman" w:cs="Times New Roman"/>
          <w:bCs/>
          <w:i/>
          <w:lang w:val="en-US"/>
        </w:rPr>
      </w:pPr>
    </w:p>
    <w:tbl>
      <w:tblPr>
        <w:tblStyle w:val="Tabellenraster"/>
        <w:tblW w:w="9955" w:type="dxa"/>
        <w:jc w:val="center"/>
        <w:tblLook w:val="04A0" w:firstRow="1" w:lastRow="0" w:firstColumn="1" w:lastColumn="0" w:noHBand="0" w:noVBand="1"/>
      </w:tblPr>
      <w:tblGrid>
        <w:gridCol w:w="2275"/>
        <w:gridCol w:w="1803"/>
        <w:gridCol w:w="2039"/>
        <w:gridCol w:w="1804"/>
        <w:gridCol w:w="2034"/>
      </w:tblGrid>
      <w:tr w:rsidR="00BF550A" w:rsidRPr="00744B57" w:rsidTr="008323A2">
        <w:trPr>
          <w:jc w:val="center"/>
        </w:trPr>
        <w:tc>
          <w:tcPr>
            <w:tcW w:w="2275" w:type="dxa"/>
          </w:tcPr>
          <w:p w:rsidR="00BF550A" w:rsidRPr="004A131D" w:rsidRDefault="00BF550A" w:rsidP="008323A2">
            <w:pPr>
              <w:pStyle w:val="KeinLeerraum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</w:pPr>
          </w:p>
        </w:tc>
        <w:tc>
          <w:tcPr>
            <w:tcW w:w="3842" w:type="dxa"/>
            <w:gridSpan w:val="2"/>
          </w:tcPr>
          <w:p w:rsidR="00BF550A" w:rsidRPr="004A131D" w:rsidRDefault="00BF550A" w:rsidP="008323A2">
            <w:pPr>
              <w:pStyle w:val="KeinLeerraum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</w:pPr>
            <w:r w:rsidRPr="004A131D"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  <w:t>ONE SCENARIO</w:t>
            </w:r>
          </w:p>
        </w:tc>
        <w:tc>
          <w:tcPr>
            <w:tcW w:w="3838" w:type="dxa"/>
            <w:gridSpan w:val="2"/>
          </w:tcPr>
          <w:p w:rsidR="00BF550A" w:rsidRPr="004A131D" w:rsidRDefault="00BF550A" w:rsidP="008323A2">
            <w:pPr>
              <w:pStyle w:val="KeinLeerraum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</w:pPr>
            <w:r w:rsidRPr="004A131D"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  <w:t>150 SCENARIOS</w:t>
            </w:r>
          </w:p>
        </w:tc>
      </w:tr>
      <w:tr w:rsidR="00BF550A" w:rsidRPr="00744B57" w:rsidTr="008323A2">
        <w:trPr>
          <w:trHeight w:val="712"/>
          <w:jc w:val="center"/>
        </w:trPr>
        <w:tc>
          <w:tcPr>
            <w:tcW w:w="2275" w:type="dxa"/>
          </w:tcPr>
          <w:p w:rsidR="00BF550A" w:rsidRPr="004A131D" w:rsidRDefault="00BF550A" w:rsidP="008323A2">
            <w:pPr>
              <w:pStyle w:val="KeinLeerraum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</w:pPr>
          </w:p>
        </w:tc>
        <w:tc>
          <w:tcPr>
            <w:tcW w:w="1803" w:type="dxa"/>
          </w:tcPr>
          <w:p w:rsidR="00BF550A" w:rsidRPr="004A131D" w:rsidRDefault="00BF550A" w:rsidP="008323A2">
            <w:pPr>
              <w:pStyle w:val="KeinLeerraum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</w:pPr>
            <w:r w:rsidRPr="004A131D"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  <w:t xml:space="preserve">All </w:t>
            </w:r>
            <w:r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  <w:t>n</w:t>
            </w:r>
            <w:r w:rsidRPr="004A131D"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  <w:t>on-Bayesian (155 models)</w:t>
            </w:r>
          </w:p>
        </w:tc>
        <w:tc>
          <w:tcPr>
            <w:tcW w:w="2039" w:type="dxa"/>
          </w:tcPr>
          <w:p w:rsidR="00BF550A" w:rsidRPr="004A131D" w:rsidRDefault="00BF550A" w:rsidP="008323A2">
            <w:pPr>
              <w:pStyle w:val="KeinLeerraum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</w:pPr>
            <w:r w:rsidRPr="004A131D"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  <w:t>Bayesian</w:t>
            </w:r>
          </w:p>
          <w:p w:rsidR="00BF550A" w:rsidRPr="004A131D" w:rsidRDefault="00BF550A" w:rsidP="008323A2">
            <w:pPr>
              <w:pStyle w:val="KeinLeerraum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</w:pPr>
            <w:r w:rsidRPr="004A131D"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  <w:t>(10 models)</w:t>
            </w:r>
          </w:p>
        </w:tc>
        <w:tc>
          <w:tcPr>
            <w:tcW w:w="1804" w:type="dxa"/>
          </w:tcPr>
          <w:p w:rsidR="00BF550A" w:rsidRPr="004A131D" w:rsidRDefault="00BF550A" w:rsidP="008323A2">
            <w:pPr>
              <w:pStyle w:val="KeinLeerraum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</w:pPr>
            <w:r w:rsidRPr="004A131D"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  <w:t xml:space="preserve">All </w:t>
            </w:r>
            <w:r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  <w:t>n</w:t>
            </w:r>
            <w:r w:rsidRPr="004A131D"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  <w:t>on-Bayesian (155 models)</w:t>
            </w:r>
          </w:p>
        </w:tc>
        <w:tc>
          <w:tcPr>
            <w:tcW w:w="2034" w:type="dxa"/>
          </w:tcPr>
          <w:p w:rsidR="00BF550A" w:rsidRPr="004A131D" w:rsidRDefault="00BF550A" w:rsidP="008323A2">
            <w:pPr>
              <w:pStyle w:val="KeinLeerraum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</w:pPr>
            <w:r w:rsidRPr="004A131D"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  <w:t>Bayesian</w:t>
            </w:r>
          </w:p>
          <w:p w:rsidR="00BF550A" w:rsidRPr="004A131D" w:rsidRDefault="00BF550A" w:rsidP="008323A2">
            <w:pPr>
              <w:pStyle w:val="KeinLeerraum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</w:pPr>
            <w:r w:rsidRPr="004A131D"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  <w:t>(10 models)</w:t>
            </w:r>
          </w:p>
        </w:tc>
      </w:tr>
      <w:tr w:rsidR="00BF550A" w:rsidRPr="00744B57" w:rsidTr="008323A2">
        <w:trPr>
          <w:trHeight w:val="553"/>
          <w:jc w:val="center"/>
        </w:trPr>
        <w:tc>
          <w:tcPr>
            <w:tcW w:w="2275" w:type="dxa"/>
          </w:tcPr>
          <w:p w:rsidR="00BF550A" w:rsidRPr="004A131D" w:rsidRDefault="00BF550A" w:rsidP="008323A2">
            <w:pPr>
              <w:pStyle w:val="KeinLeerraum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0"/>
              </w:rPr>
              <w:t>NRMSE</w:t>
            </w:r>
          </w:p>
        </w:tc>
        <w:tc>
          <w:tcPr>
            <w:tcW w:w="1803" w:type="dxa"/>
          </w:tcPr>
          <w:p w:rsidR="00BF550A" w:rsidRPr="004A131D" w:rsidRDefault="00BF550A" w:rsidP="008323A2">
            <w:pPr>
              <w:pStyle w:val="KeinLeerraum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</w:pPr>
            <w:r w:rsidRPr="004A131D"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  <w:t>0.56 min</w:t>
            </w:r>
          </w:p>
        </w:tc>
        <w:tc>
          <w:tcPr>
            <w:tcW w:w="2039" w:type="dxa"/>
          </w:tcPr>
          <w:p w:rsidR="00BF550A" w:rsidRPr="004A131D" w:rsidRDefault="00BF550A" w:rsidP="008323A2">
            <w:pPr>
              <w:pStyle w:val="KeinLeerraum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0"/>
              </w:rPr>
              <w:t>6.96</w:t>
            </w:r>
            <w:r w:rsidRPr="004A131D"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  <w:t xml:space="preserve"> min</w:t>
            </w:r>
          </w:p>
        </w:tc>
        <w:tc>
          <w:tcPr>
            <w:tcW w:w="1804" w:type="dxa"/>
          </w:tcPr>
          <w:p w:rsidR="00BF550A" w:rsidRPr="004A131D" w:rsidRDefault="00BF550A" w:rsidP="008323A2">
            <w:pPr>
              <w:pStyle w:val="KeinLeerraum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</w:pPr>
            <w:r w:rsidRPr="004A131D"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  <w:t>0.06 days</w:t>
            </w:r>
          </w:p>
        </w:tc>
        <w:tc>
          <w:tcPr>
            <w:tcW w:w="2034" w:type="dxa"/>
          </w:tcPr>
          <w:p w:rsidR="00BF550A" w:rsidRPr="00F87178" w:rsidRDefault="00BF550A" w:rsidP="008323A2">
            <w:pPr>
              <w:spacing w:line="276" w:lineRule="auto"/>
              <w:jc w:val="center"/>
              <w:rPr>
                <w:rFonts w:ascii="Times New Roman" w:hAnsi="Times New Roman" w:cs="Times New Roman"/>
                <w:szCs w:val="20"/>
                <w:lang w:val="en-US"/>
              </w:rPr>
            </w:pPr>
            <w:r w:rsidRPr="004A131D">
              <w:rPr>
                <w:rFonts w:ascii="Times New Roman" w:hAnsi="Times New Roman" w:cs="Times New Roman"/>
                <w:szCs w:val="20"/>
              </w:rPr>
              <w:t>0.</w:t>
            </w:r>
            <w:r>
              <w:rPr>
                <w:rFonts w:ascii="Times New Roman" w:hAnsi="Times New Roman" w:cs="Times New Roman"/>
                <w:szCs w:val="20"/>
              </w:rPr>
              <w:t>73</w:t>
            </w:r>
            <w:r w:rsidRPr="004A131D">
              <w:rPr>
                <w:rFonts w:ascii="Times New Roman" w:hAnsi="Times New Roman" w:cs="Times New Roman"/>
                <w:szCs w:val="20"/>
              </w:rPr>
              <w:t xml:space="preserve"> </w:t>
            </w:r>
            <w:proofErr w:type="spellStart"/>
            <w:r w:rsidRPr="004A131D">
              <w:rPr>
                <w:rFonts w:ascii="Times New Roman" w:hAnsi="Times New Roman" w:cs="Times New Roman"/>
                <w:szCs w:val="20"/>
              </w:rPr>
              <w:t>days</w:t>
            </w:r>
            <w:proofErr w:type="spellEnd"/>
          </w:p>
        </w:tc>
      </w:tr>
      <w:tr w:rsidR="00BF550A" w:rsidRPr="00744B57" w:rsidTr="008323A2">
        <w:trPr>
          <w:trHeight w:val="544"/>
          <w:jc w:val="center"/>
        </w:trPr>
        <w:tc>
          <w:tcPr>
            <w:tcW w:w="2275" w:type="dxa"/>
          </w:tcPr>
          <w:p w:rsidR="00BF550A" w:rsidRPr="004A131D" w:rsidRDefault="00BF550A" w:rsidP="008323A2">
            <w:pPr>
              <w:pStyle w:val="KeinLeerraum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0"/>
              </w:rPr>
              <w:t>NRMSE + IS</w:t>
            </w:r>
          </w:p>
        </w:tc>
        <w:tc>
          <w:tcPr>
            <w:tcW w:w="1803" w:type="dxa"/>
          </w:tcPr>
          <w:p w:rsidR="00BF550A" w:rsidRPr="004A131D" w:rsidRDefault="00BF550A" w:rsidP="008323A2">
            <w:pPr>
              <w:pStyle w:val="KeinLeerraum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</w:pPr>
            <w:r w:rsidRPr="004A131D"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  <w:t>7.43 min</w:t>
            </w:r>
          </w:p>
        </w:tc>
        <w:tc>
          <w:tcPr>
            <w:tcW w:w="2039" w:type="dxa"/>
          </w:tcPr>
          <w:p w:rsidR="00BF550A" w:rsidRPr="004A131D" w:rsidRDefault="00BF550A" w:rsidP="008323A2">
            <w:pPr>
              <w:pStyle w:val="KeinLeerraum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</w:pPr>
            <w:r w:rsidRPr="004A131D"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  <w:t>308.96 min</w:t>
            </w:r>
          </w:p>
        </w:tc>
        <w:tc>
          <w:tcPr>
            <w:tcW w:w="1804" w:type="dxa"/>
          </w:tcPr>
          <w:p w:rsidR="00BF550A" w:rsidRPr="004A131D" w:rsidRDefault="00BF550A" w:rsidP="008323A2">
            <w:pPr>
              <w:pStyle w:val="KeinLeerraum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</w:pPr>
            <w:r w:rsidRPr="004A131D"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  <w:t>0.77 days</w:t>
            </w:r>
          </w:p>
        </w:tc>
        <w:tc>
          <w:tcPr>
            <w:tcW w:w="2034" w:type="dxa"/>
          </w:tcPr>
          <w:p w:rsidR="00BF550A" w:rsidRPr="004A131D" w:rsidRDefault="00BF550A" w:rsidP="008323A2">
            <w:pPr>
              <w:pStyle w:val="KeinLeerraum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</w:pPr>
            <w:r w:rsidRPr="004A131D">
              <w:rPr>
                <w:rFonts w:ascii="Times New Roman" w:hAnsi="Times New Roman" w:cs="Times New Roman"/>
                <w:color w:val="000000" w:themeColor="text1"/>
                <w:szCs w:val="20"/>
                <w:lang w:val="en-US"/>
              </w:rPr>
              <w:t>32.18 days</w:t>
            </w:r>
          </w:p>
        </w:tc>
      </w:tr>
    </w:tbl>
    <w:p w:rsidR="00BF550A" w:rsidRDefault="00BF550A" w:rsidP="00BF550A">
      <w:pPr>
        <w:rPr>
          <w:rFonts w:ascii="Times New Roman" w:hAnsi="Times New Roman" w:cs="Times New Roman"/>
          <w:bCs/>
          <w:i/>
          <w:lang w:val="en-US"/>
        </w:rPr>
      </w:pPr>
      <w:r>
        <w:rPr>
          <w:rFonts w:ascii="Times New Roman" w:hAnsi="Times New Roman" w:cs="Times New Roman"/>
          <w:b/>
          <w:bCs/>
          <w:i/>
          <w:iCs/>
          <w:lang w:val="en-US"/>
        </w:rPr>
        <w:t>Table</w:t>
      </w:r>
      <w:r w:rsidRPr="00E64450">
        <w:rPr>
          <w:rFonts w:ascii="Times New Roman" w:hAnsi="Times New Roman" w:cs="Times New Roman"/>
          <w:b/>
          <w:bCs/>
          <w:i/>
          <w:iCs/>
          <w:lang w:val="en-US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lang w:val="en-US"/>
        </w:rPr>
        <w:t>A1</w:t>
      </w:r>
      <w:r w:rsidRPr="00E64450">
        <w:rPr>
          <w:rFonts w:ascii="Times New Roman" w:hAnsi="Times New Roman" w:cs="Times New Roman"/>
          <w:i/>
          <w:iCs/>
          <w:lang w:val="en-US"/>
        </w:rPr>
        <w:t xml:space="preserve">: </w:t>
      </w:r>
      <w:r>
        <w:rPr>
          <w:rFonts w:ascii="Times New Roman" w:hAnsi="Times New Roman" w:cs="Times New Roman"/>
          <w:i/>
          <w:iCs/>
          <w:lang w:val="en-US"/>
        </w:rPr>
        <w:t xml:space="preserve">Computational time by prediction method (Bayesian vs non-Bayesian), using 8 cores on a </w:t>
      </w:r>
      <w:proofErr w:type="spellStart"/>
      <w:r>
        <w:rPr>
          <w:rFonts w:ascii="Times New Roman" w:hAnsi="Times New Roman" w:cs="Times New Roman"/>
          <w:i/>
          <w:iCs/>
          <w:lang w:val="en-US"/>
        </w:rPr>
        <w:t>Threadripper</w:t>
      </w:r>
      <w:proofErr w:type="spellEnd"/>
      <w:r>
        <w:rPr>
          <w:rFonts w:ascii="Times New Roman" w:hAnsi="Times New Roman" w:cs="Times New Roman"/>
          <w:i/>
          <w:iCs/>
          <w:lang w:val="en-US"/>
        </w:rPr>
        <w:t xml:space="preserve"> 1920x 4Ghz machine.</w:t>
      </w:r>
    </w:p>
    <w:p w:rsidR="00BF550A" w:rsidRDefault="00BF550A" w:rsidP="00BF550A">
      <w:pPr>
        <w:rPr>
          <w:rFonts w:ascii="Times New Roman" w:hAnsi="Times New Roman" w:cs="Times New Roman"/>
          <w:bCs/>
          <w:i/>
          <w:lang w:val="en-US"/>
        </w:rPr>
      </w:pPr>
    </w:p>
    <w:p w:rsidR="00BF550A" w:rsidRPr="00BF550A" w:rsidRDefault="00BF550A">
      <w:pPr>
        <w:rPr>
          <w:lang w:val="en-US"/>
        </w:rPr>
      </w:pPr>
    </w:p>
    <w:bookmarkEnd w:id="0"/>
    <w:p w:rsidR="00BF550A" w:rsidRDefault="00BF550A"/>
    <w:sectPr w:rsidR="00BF550A" w:rsidSect="00BF550A">
      <w:pgSz w:w="16838" w:h="11906" w:orient="landscape"/>
      <w:pgMar w:top="1417" w:right="1134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550A"/>
    <w:rsid w:val="00093D1C"/>
    <w:rsid w:val="00BF55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BF550A"/>
    <w:pPr>
      <w:spacing w:after="125" w:line="261" w:lineRule="auto"/>
      <w:ind w:left="10" w:hanging="10"/>
    </w:pPr>
    <w:rPr>
      <w:rFonts w:ascii="Cambria" w:eastAsia="Cambria" w:hAnsi="Cambria" w:cs="Cambria"/>
      <w:color w:val="000000"/>
      <w:lang w:val="fr-CH" w:eastAsia="fr-CH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uiPriority w:val="1"/>
    <w:qFormat/>
    <w:rsid w:val="00BF550A"/>
    <w:pPr>
      <w:spacing w:line="240" w:lineRule="auto"/>
      <w:jc w:val="left"/>
    </w:pPr>
    <w:rPr>
      <w:rFonts w:ascii="Arial" w:hAnsi="Arial"/>
      <w:sz w:val="20"/>
      <w:lang w:val="fr-CH"/>
    </w:rPr>
  </w:style>
  <w:style w:type="paragraph" w:styleId="Beschriftung">
    <w:name w:val="caption"/>
    <w:basedOn w:val="Standard"/>
    <w:next w:val="Standard"/>
    <w:uiPriority w:val="35"/>
    <w:unhideWhenUsed/>
    <w:qFormat/>
    <w:rsid w:val="00BF550A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table" w:styleId="Tabellenraster">
    <w:name w:val="Table Grid"/>
    <w:basedOn w:val="NormaleTabelle"/>
    <w:uiPriority w:val="59"/>
    <w:rsid w:val="00BF550A"/>
    <w:pPr>
      <w:spacing w:line="240" w:lineRule="auto"/>
      <w:jc w:val="left"/>
    </w:pPr>
    <w:rPr>
      <w:rFonts w:ascii="Arial" w:hAnsi="Arial"/>
      <w:sz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F55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F550A"/>
    <w:rPr>
      <w:rFonts w:ascii="Tahoma" w:eastAsia="Cambria" w:hAnsi="Tahoma" w:cs="Tahoma"/>
      <w:color w:val="000000"/>
      <w:sz w:val="16"/>
      <w:szCs w:val="16"/>
      <w:lang w:val="fr-CH" w:eastAsia="fr-CH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BF550A"/>
    <w:pPr>
      <w:spacing w:after="125" w:line="261" w:lineRule="auto"/>
      <w:ind w:left="10" w:hanging="10"/>
    </w:pPr>
    <w:rPr>
      <w:rFonts w:ascii="Cambria" w:eastAsia="Cambria" w:hAnsi="Cambria" w:cs="Cambria"/>
      <w:color w:val="000000"/>
      <w:lang w:val="fr-CH" w:eastAsia="fr-CH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uiPriority w:val="1"/>
    <w:qFormat/>
    <w:rsid w:val="00BF550A"/>
    <w:pPr>
      <w:spacing w:line="240" w:lineRule="auto"/>
      <w:jc w:val="left"/>
    </w:pPr>
    <w:rPr>
      <w:rFonts w:ascii="Arial" w:hAnsi="Arial"/>
      <w:sz w:val="20"/>
      <w:lang w:val="fr-CH"/>
    </w:rPr>
  </w:style>
  <w:style w:type="paragraph" w:styleId="Beschriftung">
    <w:name w:val="caption"/>
    <w:basedOn w:val="Standard"/>
    <w:next w:val="Standard"/>
    <w:uiPriority w:val="35"/>
    <w:unhideWhenUsed/>
    <w:qFormat/>
    <w:rsid w:val="00BF550A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table" w:styleId="Tabellenraster">
    <w:name w:val="Table Grid"/>
    <w:basedOn w:val="NormaleTabelle"/>
    <w:uiPriority w:val="59"/>
    <w:rsid w:val="00BF550A"/>
    <w:pPr>
      <w:spacing w:line="240" w:lineRule="auto"/>
      <w:jc w:val="left"/>
    </w:pPr>
    <w:rPr>
      <w:rFonts w:ascii="Arial" w:hAnsi="Arial"/>
      <w:sz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F55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F550A"/>
    <w:rPr>
      <w:rFonts w:ascii="Tahoma" w:eastAsia="Cambria" w:hAnsi="Tahoma" w:cs="Tahoma"/>
      <w:color w:val="000000"/>
      <w:sz w:val="16"/>
      <w:szCs w:val="16"/>
      <w:lang w:val="fr-CH" w:eastAsia="fr-C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" Type="http://schemas.microsoft.com/office/2007/relationships/stylesWithEffects" Target="stylesWithEffects.xml"/><Relationship Id="rId16" Type="http://schemas.openxmlformats.org/officeDocument/2006/relationships/image" Target="media/image12.tiff"/><Relationship Id="rId20" Type="http://schemas.openxmlformats.org/officeDocument/2006/relationships/image" Target="media/image16.tiff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1719</Words>
  <Characters>10836</Characters>
  <Application>Microsoft Office Word</Application>
  <DocSecurity>0</DocSecurity>
  <Lines>90</Lines>
  <Paragraphs>25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Monika Kortenjann</dc:creator>
  <cp:lastModifiedBy>Monika Kortenjann</cp:lastModifiedBy>
  <cp:revision>1</cp:revision>
  <dcterms:created xsi:type="dcterms:W3CDTF">2023-03-30T11:24:00Z</dcterms:created>
  <dcterms:modified xsi:type="dcterms:W3CDTF">2023-03-30T11:25:00Z</dcterms:modified>
</cp:coreProperties>
</file>