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4CE50" w14:textId="77777777" w:rsidR="00AB5FAD" w:rsidRPr="00D83E55" w:rsidRDefault="00446792" w:rsidP="0099510A">
      <w:pPr>
        <w:pStyle w:val="Heading2"/>
        <w:spacing w:before="0" w:line="480" w:lineRule="auto"/>
        <w:contextualSpacing/>
        <w:jc w:val="center"/>
        <w:rPr>
          <w:rFonts w:ascii="Times New Roman" w:hAnsi="Times New Roman" w:cs="Times New Roman"/>
          <w:color w:val="000000" w:themeColor="text1"/>
          <w:sz w:val="28"/>
          <w:szCs w:val="28"/>
        </w:rPr>
      </w:pPr>
      <w:r w:rsidRPr="00D83E55">
        <w:rPr>
          <w:rFonts w:ascii="Times New Roman" w:hAnsi="Times New Roman" w:cs="Times New Roman"/>
          <w:color w:val="000000" w:themeColor="text1"/>
          <w:sz w:val="28"/>
          <w:szCs w:val="28"/>
        </w:rPr>
        <w:t>SUPPLEMENTARY DATA</w:t>
      </w:r>
    </w:p>
    <w:p w14:paraId="2EFBB9E7" w14:textId="77777777" w:rsidR="00AB5FAD" w:rsidRPr="00D83E55" w:rsidRDefault="0026116B" w:rsidP="00944F96">
      <w:pPr>
        <w:spacing w:line="480" w:lineRule="auto"/>
      </w:pPr>
      <w:r w:rsidRPr="00D83E55">
        <w:rPr>
          <w:b/>
        </w:rPr>
        <w:t>SUPPLEMENTARY NOTES</w:t>
      </w:r>
    </w:p>
    <w:p w14:paraId="0A17A545" w14:textId="77777777" w:rsidR="0042126F" w:rsidRDefault="0042126F" w:rsidP="005C33AC">
      <w:pPr>
        <w:pStyle w:val="ListParagraph"/>
        <w:tabs>
          <w:tab w:val="left" w:pos="360"/>
        </w:tabs>
        <w:spacing w:line="480" w:lineRule="auto"/>
        <w:ind w:left="0"/>
        <w:contextualSpacing w:val="0"/>
        <w:rPr>
          <w:rFonts w:ascii="Times New Roman" w:hAnsi="Times New Roman" w:cs="Times New Roman"/>
          <w:b/>
        </w:rPr>
      </w:pPr>
      <w:r>
        <w:rPr>
          <w:rFonts w:ascii="Times New Roman" w:hAnsi="Times New Roman" w:cs="Times New Roman"/>
          <w:b/>
        </w:rPr>
        <w:t xml:space="preserve">1 </w:t>
      </w:r>
      <w:r w:rsidR="007C0A65" w:rsidRPr="00D83E55">
        <w:rPr>
          <w:rFonts w:ascii="Times New Roman" w:hAnsi="Times New Roman" w:cs="Times New Roman"/>
          <w:b/>
        </w:rPr>
        <w:t>Mouse</w:t>
      </w:r>
      <w:r>
        <w:rPr>
          <w:rFonts w:ascii="Times New Roman" w:hAnsi="Times New Roman" w:cs="Times New Roman"/>
          <w:b/>
        </w:rPr>
        <w:t xml:space="preserve"> dataset</w:t>
      </w:r>
    </w:p>
    <w:p w14:paraId="482BED15" w14:textId="78DBAA7B" w:rsidR="0042126F" w:rsidRPr="00D83E55" w:rsidRDefault="00884AD6" w:rsidP="00D83E55">
      <w:pPr>
        <w:spacing w:line="480" w:lineRule="auto"/>
        <w:jc w:val="both"/>
        <w:rPr>
          <w:strike/>
        </w:rPr>
      </w:pPr>
      <w:r>
        <w:t>Mouse RNA-</w:t>
      </w:r>
      <w:proofErr w:type="spellStart"/>
      <w:r>
        <w:t>seq</w:t>
      </w:r>
      <w:proofErr w:type="spellEnd"/>
      <w:r>
        <w:t xml:space="preserve"> data</w:t>
      </w:r>
      <w:r w:rsidR="001A24A9">
        <w:t xml:space="preserve"> were retrieved from </w:t>
      </w:r>
      <w:r w:rsidR="001A24A9" w:rsidRPr="00B606DF">
        <w:t xml:space="preserve">Hill </w:t>
      </w:r>
      <w:r w:rsidR="001A24A9" w:rsidRPr="00B606DF">
        <w:rPr>
          <w:i/>
          <w:iCs/>
        </w:rPr>
        <w:t>et al.</w:t>
      </w:r>
      <w:r w:rsidR="001A24A9" w:rsidRPr="00B606DF">
        <w:t xml:space="preserve"> </w:t>
      </w:r>
      <w:r w:rsidR="001A24A9">
        <w:fldChar w:fldCharType="begin"/>
      </w:r>
      <w:r w:rsidR="001A24A9">
        <w:instrText xml:space="preserve"> ADDIN ZOTERO_ITEM CSL_CITATION {"citationID":"PwSK8x79","properties":{"formattedCitation":"(Hill {\\i{}et al.}, 2018)","plainCitation":"(Hill et al., 2018)","noteIndex":0},"citationItems":[{"id":1555,"uris":["http://zotero.org/groups/496964/items/4HEHKLGY"],"uri":["http://zotero.org/groups/496964/items/4HEHKLGY"],"itemData":{"id":1555,"type":"article-journal","title":"Distinct macrophage populations direct inflammatory versus physiological changes in adipose tissue","container-title":"Proceedings of the National Academy of Sciences of the United States of America","page":"E5096-E5105","volume":"115","issue":"22","source":"PubMed","abstract":"Obesity is characterized by an accumulation of macrophages in adipose, some of which form distinct crown-like structures (CLS) around fat cells. While multiple discrete adipose tissue macrophage (ATM) subsets are thought to exist, their respective effects on adipose tissue, and the transcriptional mechanisms that underlie the functional differences between ATM subsets, are not well understood. We report that obese fat tissue of mice and humans contain multiple distinct populations of ATMs with unique tissue distributions, transcriptomes, chromatin landscapes, and functions. Mouse Ly6c ATMs reside outside of CLS and are adipogenic, while CD9 ATMs reside within CLS, are lipid-laden, and are proinflammatory. Adoptive transfer of Ly6c ATMs into lean mice activates gene programs typical of normal adipocyte physiology. By contrast, adoptive transfer of CD9 ATMs drives gene expression that is characteristic of obesity. Importantly, human adipose tissue contains similar ATM populations, including lipid-laden CD9 ATMs that increase with body mass. These results provide a higher resolution of the cellular and functional heterogeneity within ATMs and provide a framework within which to develop new immune-directed therapies for the treatment of obesity and related sequela.","DOI":"10.1073/pnas.1802611115","ISSN":"1091-6490","note":"PMID: 29760084\nPMCID: PMC5984532","journalAbbreviation":"Proc. Natl. Acad. Sci. U.S.A.","language":"eng","author":[{"family":"Hill","given":"David A."},{"family":"Lim","given":"Hee-Woong"},{"family":"Kim","given":"Yong Hoon"},{"family":"Ho","given":"Wesley Y."},{"family":"Foong","given":"Yee Hoon"},{"family":"Nelson","given":"Victoria L."},{"family":"Nguyen","given":"Hoang C. B."},{"family":"Chegireddy","given":"Kavya"},{"family":"Kim","given":"Jihoon"},{"family":"Habertheuer","given":"Andreas"},{"family":"Vallabhajosyula","given":"Prashanth"},{"family":"Kambayashi","given":"Taku"},{"family":"Won","given":"Kyoung-Jae"},{"family":"Lazar","given":"Mitchell A."}],"issued":{"date-parts":[["2018",5,29]]}}}],"schema":"https://github.com/citation-style-language/schema/raw/master/csl-citation.json"} </w:instrText>
      </w:r>
      <w:r w:rsidR="001A24A9">
        <w:fldChar w:fldCharType="separate"/>
      </w:r>
      <w:r w:rsidR="001A24A9" w:rsidRPr="00B606DF">
        <w:t>(2018)</w:t>
      </w:r>
      <w:r w:rsidR="001A24A9">
        <w:fldChar w:fldCharType="end"/>
      </w:r>
      <w:r w:rsidR="001A24A9">
        <w:t xml:space="preserve"> (NCBI: </w:t>
      </w:r>
      <w:r w:rsidR="001A24A9" w:rsidRPr="00677EB7">
        <w:t>PRJNA453187</w:t>
      </w:r>
      <w:r w:rsidR="001A24A9">
        <w:t xml:space="preserve">). </w:t>
      </w:r>
      <w:r w:rsidR="002D1A62">
        <w:t>Two conditions</w:t>
      </w:r>
      <w:r w:rsidR="00725890">
        <w:t xml:space="preserve"> </w:t>
      </w:r>
      <w:r w:rsidR="00326769">
        <w:t xml:space="preserve">of </w:t>
      </w:r>
      <w:r w:rsidR="00326769" w:rsidRPr="00A14EE5">
        <w:t xml:space="preserve">Ly6c </w:t>
      </w:r>
      <w:r w:rsidR="00326769">
        <w:t>adipose tissue macrophage</w:t>
      </w:r>
      <w:r w:rsidR="00326769" w:rsidRPr="00A14EE5">
        <w:t xml:space="preserve"> transfer </w:t>
      </w:r>
      <w:r w:rsidR="002D1A62">
        <w:t xml:space="preserve">and PBS-injected control </w:t>
      </w:r>
      <w:r w:rsidR="00326769">
        <w:t xml:space="preserve">in </w:t>
      </w:r>
      <w:r w:rsidR="00326769" w:rsidRPr="00AC295E">
        <w:t>epididymal white adipose tissue</w:t>
      </w:r>
      <w:r w:rsidR="001A24A9">
        <w:t xml:space="preserve"> with four replicates each</w:t>
      </w:r>
      <w:r w:rsidR="00D50B0F">
        <w:t xml:space="preserve"> were considered</w:t>
      </w:r>
      <w:r w:rsidR="001A24A9">
        <w:t>.</w:t>
      </w:r>
      <w:r w:rsidR="00326769" w:rsidRPr="00AC295E">
        <w:t xml:space="preserve"> </w:t>
      </w:r>
      <w:r w:rsidR="0042126F">
        <w:t xml:space="preserve">The </w:t>
      </w:r>
      <w:proofErr w:type="spellStart"/>
      <w:r w:rsidR="0042126F">
        <w:t>BiGG</w:t>
      </w:r>
      <w:proofErr w:type="spellEnd"/>
      <w:r w:rsidR="0042126F">
        <w:t xml:space="preserve"> iMM1415 model </w:t>
      </w:r>
      <w:r w:rsidR="0042126F">
        <w:fldChar w:fldCharType="begin"/>
      </w:r>
      <w:r w:rsidR="00762605">
        <w:instrText xml:space="preserve"> ADDIN ZOTERO_ITEM CSL_CITATION {"citationID":"vgRntneD","properties":{"formattedCitation":"(Sigurdsson {\\i{}et al.}, 2010)","plainCitation":"(Sigurdsson et al., 2010)","dontUpdate":true,"noteIndex":0},"citationItems":[{"id":1553,"uris":["http://zotero.org/groups/496964/items/ZQUVWYB4"],"uri":["http://zotero.org/groups/496964/items/ZQUVWYB4"],"itemData":{"id":1553,"type":"article-journal","title":"A detailed genome-wide reconstruction of mouse metabolism based on human Recon 1.","container-title":"BMC systems biology","page":"140-140","volume":"4","source":"europepmc.org","abstract":"Abstract: BACKGROUND: Well-curated and validated network reconstructions are extremely valuable tools in systems biology. Detailed metabolic...","DOI":"10.1186/1752-0509-4-140","ISSN":"1752-0509","journalAbbreviation":"BMC Syst Biol","language":"eng","author":[{"family":"Sigurdsson","given":"M. I."},{"family":"Jamshidi","given":"N."},{"family":"Steingrimsson","given":"E."},{"family":"Thiele","given":"I."},{"family":"Palsson","given":"Bø"}],"issued":{"date-parts":[["2010"]]}}}],"schema":"https://github.com/citation-style-language/schema/raw/master/csl-citation.json"} </w:instrText>
      </w:r>
      <w:r w:rsidR="0042126F">
        <w:fldChar w:fldCharType="separate"/>
      </w:r>
      <w:r w:rsidR="0042126F" w:rsidRPr="003065CE">
        <w:t>(</w:t>
      </w:r>
      <w:r w:rsidR="0042126F" w:rsidRPr="006C4E9D">
        <w:t>http://bigg.ucsd.edu/models</w:t>
      </w:r>
      <w:r w:rsidR="0042126F">
        <w:t xml:space="preserve">, </w:t>
      </w:r>
      <w:r w:rsidR="0042126F" w:rsidRPr="003065CE">
        <w:t xml:space="preserve">Sigurdsson </w:t>
      </w:r>
      <w:r w:rsidR="0042126F" w:rsidRPr="003065CE">
        <w:rPr>
          <w:i/>
          <w:iCs/>
        </w:rPr>
        <w:t>et al.</w:t>
      </w:r>
      <w:r w:rsidR="0042126F" w:rsidRPr="003065CE">
        <w:t>, 2010)</w:t>
      </w:r>
      <w:r w:rsidR="0042126F">
        <w:fldChar w:fldCharType="end"/>
      </w:r>
      <w:r w:rsidR="0042126F">
        <w:t xml:space="preserve"> was used as the comprehensive </w:t>
      </w:r>
      <w:r w:rsidR="00C949D3">
        <w:t xml:space="preserve">mouse </w:t>
      </w:r>
      <w:r w:rsidR="0042126F">
        <w:t>model with 2484 reactions, 1137 genes, and 1704 metabolites.</w:t>
      </w:r>
    </w:p>
    <w:p w14:paraId="58330E20" w14:textId="77777777" w:rsidR="005C33AC" w:rsidRPr="001C5080" w:rsidRDefault="0042126F" w:rsidP="005C33AC">
      <w:pPr>
        <w:pStyle w:val="ListParagraph"/>
        <w:tabs>
          <w:tab w:val="left" w:pos="360"/>
        </w:tabs>
        <w:spacing w:line="480" w:lineRule="auto"/>
        <w:ind w:left="0"/>
        <w:contextualSpacing w:val="0"/>
        <w:rPr>
          <w:rFonts w:ascii="Times New Roman" w:hAnsi="Times New Roman" w:cs="Times New Roman"/>
          <w:b/>
        </w:rPr>
      </w:pPr>
      <w:r>
        <w:rPr>
          <w:rFonts w:ascii="Times New Roman" w:hAnsi="Times New Roman" w:cs="Times New Roman"/>
          <w:b/>
        </w:rPr>
        <w:t>2</w:t>
      </w:r>
      <w:r w:rsidR="005C33AC">
        <w:rPr>
          <w:rFonts w:ascii="Times New Roman" w:hAnsi="Times New Roman" w:cs="Times New Roman"/>
          <w:b/>
        </w:rPr>
        <w:t xml:space="preserve"> </w:t>
      </w:r>
      <w:r w:rsidR="005C33AC" w:rsidRPr="001C5080">
        <w:rPr>
          <w:rFonts w:ascii="Times New Roman" w:hAnsi="Times New Roman" w:cs="Times New Roman"/>
          <w:b/>
        </w:rPr>
        <w:t>Genome-scale metabolic network</w:t>
      </w:r>
      <w:r>
        <w:rPr>
          <w:rFonts w:ascii="Times New Roman" w:hAnsi="Times New Roman" w:cs="Times New Roman"/>
          <w:b/>
        </w:rPr>
        <w:t xml:space="preserve"> analysis</w:t>
      </w:r>
    </w:p>
    <w:p w14:paraId="39B1D71D" w14:textId="77777777" w:rsidR="008D3F2C" w:rsidRPr="00D83E55" w:rsidRDefault="008D3F2C" w:rsidP="00944F96">
      <w:pPr>
        <w:tabs>
          <w:tab w:val="left" w:pos="360"/>
        </w:tabs>
        <w:spacing w:line="480" w:lineRule="auto"/>
        <w:jc w:val="both"/>
        <w:rPr>
          <w:b/>
          <w:i/>
        </w:rPr>
      </w:pPr>
      <w:r w:rsidRPr="00D83E55">
        <w:rPr>
          <w:b/>
          <w:i/>
        </w:rPr>
        <w:t>2.1 FBA, FVA, and blocked reactions</w:t>
      </w:r>
    </w:p>
    <w:p w14:paraId="7696462E" w14:textId="77777777" w:rsidR="00AB5FAD" w:rsidRPr="001C5080" w:rsidRDefault="00AB5FAD" w:rsidP="00944F96">
      <w:pPr>
        <w:tabs>
          <w:tab w:val="left" w:pos="360"/>
        </w:tabs>
        <w:spacing w:line="480" w:lineRule="auto"/>
        <w:jc w:val="both"/>
      </w:pPr>
      <w:r w:rsidRPr="001C5080">
        <w:t xml:space="preserve">These classic algorithms are summarized here as used in this paper. Let </w:t>
      </w:r>
      <m:oMath>
        <m:r>
          <m:rPr>
            <m:scr m:val="script"/>
          </m:rPr>
          <w:rPr>
            <w:rFonts w:ascii="Cambria Math" w:hAnsi="Cambria Math"/>
          </w:rPr>
          <m:t>M</m:t>
        </m:r>
      </m:oMath>
      <w:r w:rsidRPr="001C5080">
        <w:t xml:space="preserve"> be a GSMN with </w:t>
      </w:r>
      <w:r w:rsidRPr="001C5080">
        <w:rPr>
          <w:i/>
        </w:rPr>
        <w:t>n</w:t>
      </w:r>
      <w:r w:rsidRPr="001C5080">
        <w:t xml:space="preserve"> reactions, </w:t>
      </w:r>
      <w:r w:rsidRPr="001C5080">
        <w:rPr>
          <w:i/>
        </w:rPr>
        <w:t>m</w:t>
      </w:r>
      <w:r w:rsidRPr="001C5080">
        <w:t xml:space="preserve"> metabolites. </w:t>
      </w:r>
      <w:r w:rsidRPr="001C5080">
        <w:rPr>
          <w:b/>
        </w:rPr>
        <w:t>S</w:t>
      </w:r>
      <w:r w:rsidRPr="001C5080">
        <w:t xml:space="preserve"> denotes</w:t>
      </w:r>
      <w:r w:rsidR="00D83E55">
        <w:t xml:space="preserve"> </w:t>
      </w:r>
      <w:r w:rsidRPr="001C5080">
        <w:t xml:space="preserve">the stoichiometric matrix of dimension </w:t>
      </w:r>
      <m:oMath>
        <m:r>
          <w:rPr>
            <w:rFonts w:ascii="Cambria Math" w:hAnsi="Cambria Math"/>
          </w:rPr>
          <m:t>m×n</m:t>
        </m:r>
      </m:oMath>
      <w:r w:rsidRPr="001C5080">
        <w:t xml:space="preserve">, which contains the stoichiometric coefficients of metabolites in each reaction, with positive coefficients for products and negative coefficients for substrates. Let </w:t>
      </w:r>
      <m:oMath>
        <m:r>
          <m:rPr>
            <m:sty m:val="bi"/>
          </m:rPr>
          <w:rPr>
            <w:rFonts w:ascii="Cambria Math" w:hAnsi="Cambria Math"/>
          </w:rPr>
          <m:t>v</m:t>
        </m:r>
      </m:oMath>
      <w:r w:rsidRPr="001C5080">
        <w:t xml:space="preserve"> be a vector representing the fluxes on the </w:t>
      </w:r>
      <w:r w:rsidRPr="001C5080">
        <w:rPr>
          <w:i/>
        </w:rPr>
        <w:t xml:space="preserve">n </w:t>
      </w:r>
      <w:r w:rsidRPr="001C5080">
        <w:t xml:space="preserve">reactions, which are constrained by lower and upper bounds, given by the vectors </w:t>
      </w:r>
      <w:proofErr w:type="spellStart"/>
      <w:r w:rsidRPr="001C5080">
        <w:rPr>
          <w:b/>
        </w:rPr>
        <w:t>lb</w:t>
      </w:r>
      <w:proofErr w:type="spellEnd"/>
      <w:r w:rsidRPr="001C5080">
        <w:t xml:space="preserve"> and </w:t>
      </w:r>
      <w:proofErr w:type="spellStart"/>
      <w:r w:rsidRPr="001C5080">
        <w:rPr>
          <w:b/>
        </w:rPr>
        <w:t>ub</w:t>
      </w:r>
      <w:proofErr w:type="spellEnd"/>
      <w:r w:rsidRPr="001C5080">
        <w:t xml:space="preserve">, respectively. Assuming that the flux distribution exists in a quasi-steady state, </w:t>
      </w:r>
      <w:r w:rsidRPr="001C5080">
        <w:rPr>
          <w:i/>
        </w:rPr>
        <w:t>i.e.</w:t>
      </w:r>
      <w:r w:rsidRPr="001C5080">
        <w:t xml:space="preserve"> the rate of production of each metabolite is equal to its rate of consumption, the balance in the system is expressed as</w:t>
      </w:r>
    </w:p>
    <w:p w14:paraId="7E0F39F5" w14:textId="77777777" w:rsidR="00AB5FAD" w:rsidRPr="001C5080" w:rsidRDefault="00AB5FAD" w:rsidP="00944F96">
      <w:pPr>
        <w:tabs>
          <w:tab w:val="left" w:pos="360"/>
        </w:tabs>
        <w:spacing w:line="480" w:lineRule="auto"/>
        <w:jc w:val="both"/>
        <w:rPr>
          <w:b/>
        </w:rPr>
      </w:pPr>
      <w:r w:rsidRPr="001C5080">
        <w:rPr>
          <w:b/>
        </w:rPr>
        <w:tab/>
      </w:r>
      <m:oMath>
        <m:r>
          <m:rPr>
            <m:sty m:val="b"/>
          </m:rPr>
          <w:rPr>
            <w:rFonts w:ascii="Cambria Math" w:hAnsi="Cambria Math"/>
          </w:rPr>
          <m:t>S</m:t>
        </m:r>
        <m:r>
          <w:rPr>
            <w:rFonts w:ascii="Cambria Math" w:hAnsi="Cambria Math"/>
          </w:rPr>
          <m:t>∙</m:t>
        </m:r>
        <m:r>
          <m:rPr>
            <m:sty m:val="bi"/>
          </m:rPr>
          <w:rPr>
            <w:rFonts w:ascii="Cambria Math" w:hAnsi="Cambria Math"/>
          </w:rPr>
          <m:t>v</m:t>
        </m:r>
        <m:r>
          <w:rPr>
            <w:rFonts w:ascii="Cambria Math" w:hAnsi="Cambria Math"/>
          </w:rPr>
          <m:t>=</m:t>
        </m:r>
        <m:r>
          <m:rPr>
            <m:sty m:val="b"/>
          </m:rPr>
          <w:rPr>
            <w:rFonts w:ascii="Cambria Math" w:hAnsi="Cambria Math"/>
          </w:rPr>
          <m:t>0</m:t>
        </m:r>
      </m:oMath>
      <w:r w:rsidRPr="001C5080">
        <w:t>.</w:t>
      </w:r>
    </w:p>
    <w:p w14:paraId="292F77E6" w14:textId="77777777" w:rsidR="00AB5FAD" w:rsidRPr="00762605" w:rsidRDefault="00AB5FAD" w:rsidP="00944F96">
      <w:pPr>
        <w:spacing w:line="480" w:lineRule="auto"/>
        <w:ind w:firstLine="360"/>
        <w:jc w:val="both"/>
      </w:pPr>
      <w:r w:rsidRPr="001C5080">
        <w:t xml:space="preserve">Flux Balance Analysis (FBA) uses linear programming (LP) to optimize an objective function </w:t>
      </w:r>
      <m:oMath>
        <m:sSup>
          <m:sSupPr>
            <m:ctrlPr>
              <w:rPr>
                <w:rFonts w:ascii="Cambria Math" w:hAnsi="Cambria Math"/>
              </w:rPr>
            </m:ctrlPr>
          </m:sSupPr>
          <m:e>
            <m:r>
              <m:rPr>
                <m:sty m:val="b"/>
              </m:rPr>
              <w:rPr>
                <w:rFonts w:ascii="Cambria Math" w:hAnsi="Cambria Math"/>
              </w:rPr>
              <m:t>c</m:t>
            </m:r>
          </m:e>
          <m:sup>
            <m:r>
              <m:rPr>
                <m:sty m:val="p"/>
              </m:rPr>
              <w:rPr>
                <w:rFonts w:ascii="Cambria Math" w:hAnsi="Cambria Math"/>
              </w:rPr>
              <m:t>T</m:t>
            </m:r>
          </m:sup>
        </m:sSup>
        <m:r>
          <w:rPr>
            <w:rFonts w:ascii="Cambria Math" w:hAnsi="Cambria Math"/>
          </w:rPr>
          <m:t>∙</m:t>
        </m:r>
        <m:r>
          <m:rPr>
            <m:sty m:val="bi"/>
          </m:rPr>
          <w:rPr>
            <w:rFonts w:ascii="Cambria Math" w:hAnsi="Cambria Math"/>
          </w:rPr>
          <m:t>v</m:t>
        </m:r>
      </m:oMath>
      <w:r w:rsidRPr="001C5080">
        <w:t xml:space="preserve"> where </w:t>
      </w:r>
      <w:r w:rsidRPr="001C5080">
        <w:rPr>
          <w:b/>
        </w:rPr>
        <w:t>c</w:t>
      </w:r>
      <w:r w:rsidRPr="001C5080">
        <w:t xml:space="preserve"> is a vector of weights. </w:t>
      </w:r>
      <w:r w:rsidRPr="00762605">
        <w:t xml:space="preserve">Maximizing the biomass production </w:t>
      </w:r>
      <m:oMath>
        <m:sSub>
          <m:sSubPr>
            <m:ctrlPr>
              <w:rPr>
                <w:rFonts w:ascii="Cambria Math" w:hAnsi="Cambria Math"/>
              </w:rPr>
            </m:ctrlPr>
          </m:sSubPr>
          <m:e>
            <m:r>
              <w:rPr>
                <w:rFonts w:ascii="Cambria Math" w:hAnsi="Cambria Math"/>
              </w:rPr>
              <m:t>v</m:t>
            </m:r>
          </m:e>
          <m:sub>
            <m:r>
              <m:rPr>
                <m:sty m:val="p"/>
              </m:rPr>
              <w:rPr>
                <w:rFonts w:ascii="Cambria Math" w:hAnsi="Cambria Math"/>
              </w:rPr>
              <m:t>Biomass</m:t>
            </m:r>
          </m:sub>
        </m:sSub>
      </m:oMath>
      <w:r w:rsidRPr="00762605">
        <w:t xml:space="preserve"> is </w:t>
      </w:r>
      <w:r w:rsidR="00543FB0">
        <w:t xml:space="preserve">usually </w:t>
      </w:r>
      <w:r w:rsidRPr="00762605">
        <w:t>of interest and can be achieved by formulating the particul</w:t>
      </w:r>
      <w:r w:rsidRPr="007E384E">
        <w:t xml:space="preserve">ar </w:t>
      </w:r>
      <m:oMath>
        <m:sSubSup>
          <m:sSubSupPr>
            <m:ctrlPr>
              <w:rPr>
                <w:rFonts w:ascii="Cambria Math" w:hAnsi="Cambria Math"/>
              </w:rPr>
            </m:ctrlPr>
          </m:sSubSupPr>
          <m:e>
            <m:r>
              <m:rPr>
                <m:sty m:val="b"/>
              </m:rPr>
              <w:rPr>
                <w:rFonts w:ascii="Cambria Math" w:hAnsi="Cambria Math"/>
              </w:rPr>
              <m:t>c</m:t>
            </m:r>
          </m:e>
          <m:sub>
            <m:r>
              <m:rPr>
                <m:sty m:val="p"/>
              </m:rPr>
              <w:rPr>
                <w:rFonts w:ascii="Cambria Math" w:hAnsi="Cambria Math"/>
              </w:rPr>
              <m:t>Biomass</m:t>
            </m:r>
          </m:sub>
          <m:sup>
            <m:r>
              <m:rPr>
                <m:sty m:val="p"/>
              </m:rPr>
              <w:rPr>
                <w:rFonts w:ascii="Cambria Math" w:hAnsi="Cambria Math"/>
              </w:rPr>
              <m:t>T</m:t>
            </m:r>
          </m:sup>
        </m:sSubSup>
      </m:oMath>
      <w:r w:rsidRPr="00762605">
        <w:t xml:space="preserve"> vector with a weight equal to 1 for the growth reaction and weights equal to 0 for all the other reactions. In this context, the optimization problem addressed by FBA can be stated as</w:t>
      </w:r>
    </w:p>
    <w:p w14:paraId="1D176AD4" w14:textId="77777777" w:rsidR="00AB5FAD" w:rsidRPr="007E384E" w:rsidRDefault="00AB5FAD" w:rsidP="00944F96">
      <w:pPr>
        <w:tabs>
          <w:tab w:val="left" w:pos="360"/>
        </w:tabs>
        <w:spacing w:line="480" w:lineRule="auto"/>
        <w:jc w:val="both"/>
        <w:rPr>
          <w:b/>
        </w:rPr>
      </w:pPr>
      <w:r w:rsidRPr="00762605">
        <w:lastRenderedPageBreak/>
        <w:tab/>
        <w:t xml:space="preserve">find   </w:t>
      </w:r>
      <m:oMath>
        <m:sSubSup>
          <m:sSubSupPr>
            <m:ctrlPr>
              <w:rPr>
                <w:rFonts w:ascii="Cambria Math" w:hAnsi="Cambria Math"/>
                <w:b/>
              </w:rPr>
            </m:ctrlPr>
          </m:sSubSupPr>
          <m:e>
            <m:r>
              <w:rPr>
                <w:rFonts w:ascii="Cambria Math" w:hAnsi="Cambria Math"/>
              </w:rPr>
              <m:t>v</m:t>
            </m:r>
          </m:e>
          <m:sub>
            <m:r>
              <m:rPr>
                <m:sty m:val="p"/>
              </m:rPr>
              <w:rPr>
                <w:rFonts w:ascii="Cambria Math" w:hAnsi="Cambria Math"/>
              </w:rPr>
              <m:t>Biomass</m:t>
            </m:r>
          </m:sub>
          <m:sup>
            <m:r>
              <m:rPr>
                <m:sty m:val="b"/>
              </m:rPr>
              <w:rPr>
                <w:rFonts w:ascii="Cambria Math" w:hAnsi="Cambria Math"/>
              </w:rPr>
              <m:t>*</m:t>
            </m:r>
          </m:sup>
        </m:sSubSup>
        <m:r>
          <w:rPr>
            <w:rFonts w:ascii="Cambria Math" w:hAnsi="Cambria Math"/>
          </w:rPr>
          <m:t>=</m:t>
        </m:r>
        <m:sSub>
          <m:sSubPr>
            <m:ctrlPr>
              <w:rPr>
                <w:rFonts w:ascii="Cambria Math" w:hAnsi="Cambria Math"/>
              </w:rPr>
            </m:ctrlPr>
          </m:sSubPr>
          <m:e>
            <m:r>
              <m:rPr>
                <m:sty m:val="p"/>
              </m:rPr>
              <w:rPr>
                <w:rFonts w:ascii="Cambria Math" w:hAnsi="Cambria Math"/>
              </w:rPr>
              <m:t>max</m:t>
            </m:r>
          </m:e>
          <m:sub>
            <m:r>
              <m:rPr>
                <m:sty m:val="bi"/>
              </m:rPr>
              <w:rPr>
                <w:rFonts w:ascii="Cambria Math" w:hAnsi="Cambria Math"/>
              </w:rPr>
              <m:t>v</m:t>
            </m:r>
          </m:sub>
        </m:sSub>
        <m:d>
          <m:dPr>
            <m:ctrlPr>
              <w:rPr>
                <w:rFonts w:ascii="Cambria Math" w:hAnsi="Cambria Math"/>
                <w:i/>
              </w:rPr>
            </m:ctrlPr>
          </m:dPr>
          <m:e>
            <m:r>
              <w:rPr>
                <w:rFonts w:ascii="Cambria Math" w:hAnsi="Cambria Math"/>
              </w:rPr>
              <m:t xml:space="preserve"> </m:t>
            </m:r>
            <m:sSubSup>
              <m:sSubSupPr>
                <m:ctrlPr>
                  <w:rPr>
                    <w:rFonts w:ascii="Cambria Math" w:hAnsi="Cambria Math"/>
                  </w:rPr>
                </m:ctrlPr>
              </m:sSubSupPr>
              <m:e>
                <m:r>
                  <m:rPr>
                    <m:sty m:val="b"/>
                  </m:rPr>
                  <w:rPr>
                    <w:rFonts w:ascii="Cambria Math" w:hAnsi="Cambria Math"/>
                  </w:rPr>
                  <m:t>c</m:t>
                </m:r>
              </m:e>
              <m:sub>
                <m:r>
                  <m:rPr>
                    <m:sty m:val="p"/>
                  </m:rPr>
                  <w:rPr>
                    <w:rFonts w:ascii="Cambria Math" w:hAnsi="Cambria Math"/>
                  </w:rPr>
                  <m:t>Biomass</m:t>
                </m:r>
              </m:sub>
              <m:sup>
                <m:r>
                  <m:rPr>
                    <m:sty m:val="p"/>
                  </m:rPr>
                  <w:rPr>
                    <w:rFonts w:ascii="Cambria Math" w:hAnsi="Cambria Math"/>
                  </w:rPr>
                  <m:t>T</m:t>
                </m:r>
              </m:sup>
            </m:sSubSup>
            <m:r>
              <w:rPr>
                <w:rFonts w:ascii="Cambria Math" w:hAnsi="Cambria Math"/>
              </w:rPr>
              <m:t>∙</m:t>
            </m:r>
            <m:r>
              <m:rPr>
                <m:sty m:val="bi"/>
              </m:rPr>
              <w:rPr>
                <w:rFonts w:ascii="Cambria Math" w:hAnsi="Cambria Math"/>
              </w:rPr>
              <m:t>v</m:t>
            </m:r>
          </m:e>
        </m:d>
      </m:oMath>
      <w:r w:rsidRPr="00762605">
        <w:rPr>
          <w:b/>
        </w:rPr>
        <w:t xml:space="preserve">   </w:t>
      </w:r>
      <w:r w:rsidRPr="00762605">
        <w:t xml:space="preserve">subject to   </w:t>
      </w:r>
      <m:oMath>
        <m:r>
          <m:rPr>
            <m:sty m:val="b"/>
          </m:rPr>
          <w:rPr>
            <w:rFonts w:ascii="Cambria Math" w:hAnsi="Cambria Math"/>
          </w:rPr>
          <m:t>S</m:t>
        </m:r>
        <m:r>
          <w:rPr>
            <w:rFonts w:ascii="Cambria Math" w:hAnsi="Cambria Math"/>
          </w:rPr>
          <m:t>∙</m:t>
        </m:r>
        <m:r>
          <m:rPr>
            <m:sty m:val="bi"/>
          </m:rPr>
          <w:rPr>
            <w:rFonts w:ascii="Cambria Math" w:hAnsi="Cambria Math"/>
          </w:rPr>
          <m:t>v</m:t>
        </m:r>
        <m:r>
          <w:rPr>
            <w:rFonts w:ascii="Cambria Math" w:hAnsi="Cambria Math"/>
          </w:rPr>
          <m:t>=</m:t>
        </m:r>
        <m:r>
          <m:rPr>
            <m:sty m:val="b"/>
          </m:rPr>
          <w:rPr>
            <w:rFonts w:ascii="Cambria Math" w:hAnsi="Cambria Math"/>
          </w:rPr>
          <m:t>0</m:t>
        </m:r>
        <m:r>
          <m:rPr>
            <m:sty m:val="p"/>
          </m:rPr>
          <w:rPr>
            <w:rFonts w:ascii="Cambria Math" w:hAnsi="Cambria Math"/>
          </w:rPr>
          <m:t xml:space="preserve"> and </m:t>
        </m:r>
        <m:r>
          <m:rPr>
            <m:sty m:val="b"/>
          </m:rPr>
          <w:rPr>
            <w:rFonts w:ascii="Cambria Math" w:hAnsi="Cambria Math"/>
          </w:rPr>
          <m:t>lb</m:t>
        </m:r>
        <m:r>
          <w:rPr>
            <w:rFonts w:ascii="Cambria Math" w:hAnsi="Cambria Math"/>
          </w:rPr>
          <m:t>≤</m:t>
        </m:r>
        <m:r>
          <m:rPr>
            <m:sty m:val="bi"/>
          </m:rPr>
          <w:rPr>
            <w:rFonts w:ascii="Cambria Math" w:hAnsi="Cambria Math"/>
          </w:rPr>
          <m:t>v</m:t>
        </m:r>
        <m:r>
          <w:rPr>
            <w:rFonts w:ascii="Cambria Math" w:hAnsi="Cambria Math"/>
          </w:rPr>
          <m:t>≤</m:t>
        </m:r>
        <m:r>
          <m:rPr>
            <m:sty m:val="b"/>
          </m:rPr>
          <w:rPr>
            <w:rFonts w:ascii="Cambria Math" w:hAnsi="Cambria Math"/>
          </w:rPr>
          <m:t>ub</m:t>
        </m:r>
      </m:oMath>
    </w:p>
    <w:p w14:paraId="266A0A4E" w14:textId="77777777" w:rsidR="00AB5FAD" w:rsidRPr="001C5080" w:rsidRDefault="00AB5FAD" w:rsidP="00944F96">
      <w:pPr>
        <w:spacing w:line="480" w:lineRule="auto"/>
        <w:jc w:val="both"/>
      </w:pPr>
      <w:r w:rsidRPr="001F2E90">
        <w:t xml:space="preserve">and the model is said to be </w:t>
      </w:r>
      <w:r w:rsidRPr="001F2E90">
        <w:rPr>
          <w:i/>
        </w:rPr>
        <w:t>viable</w:t>
      </w:r>
      <w:r w:rsidRPr="001F2E90">
        <w:t xml:space="preserve"> if </w:t>
      </w:r>
      <m:oMath>
        <m:sSubSup>
          <m:sSubSupPr>
            <m:ctrlPr>
              <w:rPr>
                <w:rFonts w:ascii="Cambria Math" w:hAnsi="Cambria Math"/>
                <w:b/>
                <w:i/>
              </w:rPr>
            </m:ctrlPr>
          </m:sSubSupPr>
          <m:e>
            <m:r>
              <w:rPr>
                <w:rFonts w:ascii="Cambria Math" w:hAnsi="Cambria Math"/>
              </w:rPr>
              <m:t>v</m:t>
            </m:r>
          </m:e>
          <m:sub>
            <m:r>
              <m:rPr>
                <m:sty m:val="p"/>
              </m:rPr>
              <w:rPr>
                <w:rFonts w:ascii="Cambria Math" w:hAnsi="Cambria Math"/>
              </w:rPr>
              <m:t>Biomass</m:t>
            </m:r>
          </m:sub>
          <m:sup>
            <m:r>
              <m:rPr>
                <m:sty m:val="bi"/>
              </m:rPr>
              <w:rPr>
                <w:rFonts w:ascii="Cambria Math" w:hAnsi="Cambria Math"/>
              </w:rPr>
              <m:t>*</m:t>
            </m:r>
          </m:sup>
        </m:sSubSup>
        <m:r>
          <w:rPr>
            <w:rFonts w:ascii="Cambria Math" w:hAnsi="Cambria Math"/>
          </w:rPr>
          <m:t>&gt;0</m:t>
        </m:r>
      </m:oMath>
      <w:r w:rsidRPr="00762605">
        <w:t>.</w:t>
      </w:r>
      <w:r w:rsidRPr="001C5080">
        <w:t xml:space="preserve"> </w:t>
      </w:r>
    </w:p>
    <w:p w14:paraId="4D1A0A28" w14:textId="77777777" w:rsidR="00AB5FAD" w:rsidRPr="001C5080" w:rsidRDefault="00AB5FAD" w:rsidP="00944F96">
      <w:pPr>
        <w:spacing w:line="480" w:lineRule="auto"/>
        <w:ind w:firstLine="360"/>
        <w:jc w:val="both"/>
      </w:pPr>
      <w:r w:rsidRPr="001C5080">
        <w:t xml:space="preserve">Flux Variability Analysis (FVA) can be used to detect the reactions that are blocked in the model, </w:t>
      </w:r>
      <w:r w:rsidRPr="001C5080">
        <w:rPr>
          <w:i/>
        </w:rPr>
        <w:t>i.e.</w:t>
      </w:r>
      <w:r w:rsidRPr="001C5080">
        <w:t xml:space="preserve"> that cannot carry a flux and </w:t>
      </w:r>
      <w:r w:rsidR="00170733">
        <w:t>could</w:t>
      </w:r>
      <w:r w:rsidR="00170733" w:rsidRPr="001C5080">
        <w:t xml:space="preserve"> </w:t>
      </w:r>
      <w:r w:rsidRPr="001C5080">
        <w:t>be removed from the model without affecting its predictive properties. It consists in solving the following LP problem:</w:t>
      </w:r>
    </w:p>
    <w:p w14:paraId="7B0486BB" w14:textId="77777777" w:rsidR="00AB5FAD" w:rsidRPr="001C5080" w:rsidRDefault="00AB5FAD" w:rsidP="00944F96">
      <w:pPr>
        <w:spacing w:line="480" w:lineRule="auto"/>
        <w:ind w:firstLine="360"/>
        <w:jc w:val="both"/>
      </w:pPr>
      <w:r w:rsidRPr="001C5080">
        <w:t xml:space="preserve">find </w:t>
      </w:r>
      <m:oMath>
        <m:r>
          <m:rPr>
            <m:nor/>
          </m:rPr>
          <m:t>min</m:t>
        </m:r>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oMath>
      <w:r w:rsidRPr="001C5080">
        <w:t xml:space="preserve"> and </w:t>
      </w:r>
      <m:oMath>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v</m:t>
                </m:r>
              </m:e>
              <m:sub>
                <m:r>
                  <w:rPr>
                    <w:rFonts w:ascii="Cambria Math" w:hAnsi="Cambria Math"/>
                  </w:rPr>
                  <m:t>i</m:t>
                </m:r>
              </m:sub>
            </m:sSub>
          </m:e>
        </m:func>
      </m:oMath>
      <w:r w:rsidRPr="001C5080">
        <w:t xml:space="preserve"> for </w:t>
      </w:r>
      <w:proofErr w:type="spellStart"/>
      <w:r w:rsidRPr="001C5080">
        <w:rPr>
          <w:i/>
        </w:rPr>
        <w:t>i</w:t>
      </w:r>
      <w:proofErr w:type="spellEnd"/>
      <w:r w:rsidRPr="001C5080">
        <w:t xml:space="preserve"> = </w:t>
      </w:r>
      <w:proofErr w:type="gramStart"/>
      <w:r w:rsidRPr="001C5080">
        <w:t>1..</w:t>
      </w:r>
      <w:proofErr w:type="gramEnd"/>
      <w:r w:rsidRPr="001C5080">
        <w:rPr>
          <w:i/>
        </w:rPr>
        <w:t>n</w:t>
      </w:r>
    </w:p>
    <w:p w14:paraId="77B1AAD7" w14:textId="77777777" w:rsidR="00AB5FAD" w:rsidRPr="001C5080" w:rsidRDefault="00AB5FAD" w:rsidP="00944F96">
      <w:pPr>
        <w:tabs>
          <w:tab w:val="left" w:pos="360"/>
        </w:tabs>
        <w:spacing w:line="480" w:lineRule="auto"/>
        <w:jc w:val="both"/>
      </w:pPr>
      <w:r w:rsidRPr="001C5080">
        <w:tab/>
        <w:t>subject to</w:t>
      </w:r>
      <w:r w:rsidRPr="001C5080">
        <w:tab/>
      </w:r>
      <m:oMath>
        <m:r>
          <m:rPr>
            <m:sty m:val="b"/>
          </m:rPr>
          <w:rPr>
            <w:rFonts w:ascii="Cambria Math" w:hAnsi="Cambria Math"/>
          </w:rPr>
          <m:t>S</m:t>
        </m:r>
        <m:r>
          <w:rPr>
            <w:rFonts w:ascii="Cambria Math" w:hAnsi="Cambria Math"/>
          </w:rPr>
          <m:t>∙</m:t>
        </m:r>
        <m:r>
          <m:rPr>
            <m:sty m:val="bi"/>
          </m:rPr>
          <w:rPr>
            <w:rFonts w:ascii="Cambria Math" w:hAnsi="Cambria Math"/>
          </w:rPr>
          <m:t>v</m:t>
        </m:r>
        <m:r>
          <w:rPr>
            <w:rFonts w:ascii="Cambria Math" w:hAnsi="Cambria Math"/>
          </w:rPr>
          <m:t>=</m:t>
        </m:r>
        <m:r>
          <m:rPr>
            <m:sty m:val="b"/>
          </m:rPr>
          <w:rPr>
            <w:rFonts w:ascii="Cambria Math" w:hAnsi="Cambria Math"/>
          </w:rPr>
          <m:t>0</m:t>
        </m:r>
      </m:oMath>
    </w:p>
    <w:p w14:paraId="75F4047F" w14:textId="77777777" w:rsidR="00AB5FAD" w:rsidRPr="001C5080" w:rsidRDefault="00AB5FAD" w:rsidP="00944F96">
      <w:pPr>
        <w:tabs>
          <w:tab w:val="left" w:pos="360"/>
        </w:tabs>
        <w:spacing w:line="480" w:lineRule="auto"/>
        <w:jc w:val="both"/>
        <w:rPr>
          <w:b/>
        </w:rPr>
      </w:pPr>
      <w:r w:rsidRPr="001C5080">
        <w:rPr>
          <w:b/>
        </w:rPr>
        <w:tab/>
      </w:r>
      <w:r w:rsidRPr="001C5080">
        <w:rPr>
          <w:b/>
        </w:rPr>
        <w:tab/>
      </w:r>
      <w:r w:rsidRPr="001C5080">
        <w:rPr>
          <w:b/>
        </w:rPr>
        <w:tab/>
      </w:r>
      <m:oMath>
        <m:r>
          <m:rPr>
            <m:sty m:val="b"/>
          </m:rPr>
          <w:rPr>
            <w:rFonts w:ascii="Cambria Math" w:hAnsi="Cambria Math"/>
          </w:rPr>
          <m:t>lb</m:t>
        </m:r>
        <m:r>
          <w:rPr>
            <w:rFonts w:ascii="Cambria Math" w:hAnsi="Cambria Math"/>
          </w:rPr>
          <m:t>≤</m:t>
        </m:r>
        <m:r>
          <m:rPr>
            <m:sty m:val="bi"/>
          </m:rPr>
          <w:rPr>
            <w:rFonts w:ascii="Cambria Math" w:hAnsi="Cambria Math"/>
          </w:rPr>
          <m:t>v</m:t>
        </m:r>
        <m:r>
          <w:rPr>
            <w:rFonts w:ascii="Cambria Math" w:hAnsi="Cambria Math"/>
          </w:rPr>
          <m:t>≤</m:t>
        </m:r>
        <m:r>
          <m:rPr>
            <m:sty m:val="b"/>
          </m:rPr>
          <w:rPr>
            <w:rFonts w:ascii="Cambria Math" w:hAnsi="Cambria Math"/>
          </w:rPr>
          <m:t>ub</m:t>
        </m:r>
      </m:oMath>
    </w:p>
    <w:p w14:paraId="2D5D68DC" w14:textId="77777777" w:rsidR="00AB5FAD" w:rsidRPr="001C5080" w:rsidRDefault="00AB5FAD" w:rsidP="00944F96">
      <w:pPr>
        <w:tabs>
          <w:tab w:val="left" w:pos="360"/>
        </w:tabs>
        <w:spacing w:line="480" w:lineRule="auto"/>
        <w:jc w:val="both"/>
      </w:pPr>
      <w:r w:rsidRPr="001C5080">
        <w:rPr>
          <w:b/>
        </w:rPr>
        <w:tab/>
      </w:r>
      <w:r w:rsidRPr="001C5080">
        <w:rPr>
          <w:b/>
        </w:rPr>
        <w:tab/>
      </w:r>
      <w:r w:rsidRPr="001C5080">
        <w:rPr>
          <w:b/>
        </w:rPr>
        <w:tab/>
      </w:r>
      <m:oMath>
        <m:r>
          <w:rPr>
            <w:rFonts w:ascii="Cambria Math" w:hAnsi="Cambria Math"/>
          </w:rPr>
          <m:t>0</m:t>
        </m:r>
        <m:r>
          <m:rPr>
            <m:sty m:val="bi"/>
          </m:rPr>
          <w:rPr>
            <w:rFonts w:ascii="Cambria Math" w:hAnsi="Cambria Math"/>
          </w:rPr>
          <m:t>&lt;</m:t>
        </m:r>
        <m:sSubSup>
          <m:sSubSupPr>
            <m:ctrlPr>
              <w:rPr>
                <w:rFonts w:ascii="Cambria Math" w:hAnsi="Cambria Math"/>
              </w:rPr>
            </m:ctrlPr>
          </m:sSubSupPr>
          <m:e>
            <m:r>
              <m:rPr>
                <m:sty m:val="b"/>
              </m:rPr>
              <w:rPr>
                <w:rFonts w:ascii="Cambria Math" w:hAnsi="Cambria Math"/>
              </w:rPr>
              <m:t>c</m:t>
            </m:r>
          </m:e>
          <m:sub>
            <m:r>
              <m:rPr>
                <m:sty m:val="p"/>
              </m:rPr>
              <w:rPr>
                <w:rFonts w:ascii="Cambria Math" w:hAnsi="Cambria Math"/>
              </w:rPr>
              <m:t>Biomass</m:t>
            </m:r>
          </m:sub>
          <m:sup>
            <m:r>
              <m:rPr>
                <m:sty m:val="p"/>
              </m:rPr>
              <w:rPr>
                <w:rFonts w:ascii="Cambria Math" w:hAnsi="Cambria Math"/>
              </w:rPr>
              <m:t>T</m:t>
            </m:r>
          </m:sup>
        </m:sSubSup>
        <m:r>
          <w:rPr>
            <w:rFonts w:ascii="Cambria Math" w:hAnsi="Cambria Math"/>
          </w:rPr>
          <m:t>∙</m:t>
        </m:r>
        <m:r>
          <m:rPr>
            <m:sty m:val="bi"/>
          </m:rPr>
          <w:rPr>
            <w:rFonts w:ascii="Cambria Math" w:hAnsi="Cambria Math"/>
          </w:rPr>
          <m:t>v≤</m:t>
        </m:r>
        <m:sSubSup>
          <m:sSubSupPr>
            <m:ctrlPr>
              <w:rPr>
                <w:rFonts w:ascii="Cambria Math" w:hAnsi="Cambria Math"/>
                <w:b/>
              </w:rPr>
            </m:ctrlPr>
          </m:sSubSupPr>
          <m:e>
            <m:r>
              <w:rPr>
                <w:rFonts w:ascii="Cambria Math" w:hAnsi="Cambria Math"/>
              </w:rPr>
              <m:t>v</m:t>
            </m:r>
          </m:e>
          <m:sub>
            <m:r>
              <m:rPr>
                <m:sty m:val="p"/>
              </m:rPr>
              <w:rPr>
                <w:rFonts w:ascii="Cambria Math" w:hAnsi="Cambria Math"/>
              </w:rPr>
              <m:t>Biomass</m:t>
            </m:r>
          </m:sub>
          <m:sup>
            <m:r>
              <m:rPr>
                <m:sty m:val="b"/>
              </m:rPr>
              <w:rPr>
                <w:rFonts w:ascii="Cambria Math" w:hAnsi="Cambria Math"/>
              </w:rPr>
              <m:t>*</m:t>
            </m:r>
          </m:sup>
        </m:sSubSup>
      </m:oMath>
    </w:p>
    <w:p w14:paraId="738C88F9" w14:textId="77777777" w:rsidR="00AB5FAD" w:rsidRDefault="00AB5FAD" w:rsidP="00944F96">
      <w:pPr>
        <w:pStyle w:val="ListParagraph"/>
        <w:tabs>
          <w:tab w:val="left" w:pos="0"/>
          <w:tab w:val="left" w:pos="360"/>
        </w:tabs>
        <w:spacing w:line="480" w:lineRule="auto"/>
        <w:ind w:left="0"/>
        <w:rPr>
          <w:rFonts w:ascii="Times New Roman" w:hAnsi="Times New Roman" w:cs="Times New Roman"/>
        </w:rPr>
      </w:pPr>
      <w:r w:rsidRPr="001C5080">
        <w:rPr>
          <w:rFonts w:ascii="Times New Roman" w:hAnsi="Times New Roman" w:cs="Times New Roman"/>
        </w:rPr>
        <w:t>The</w:t>
      </w:r>
      <w:r w:rsidRPr="001C5080">
        <w:rPr>
          <w:rFonts w:ascii="Times New Roman" w:hAnsi="Times New Roman" w:cs="Times New Roman"/>
          <w:i/>
        </w:rPr>
        <w:t xml:space="preserve"> </w:t>
      </w:r>
      <w:proofErr w:type="spellStart"/>
      <w:r w:rsidRPr="001C5080">
        <w:rPr>
          <w:rFonts w:ascii="Times New Roman" w:hAnsi="Times New Roman" w:cs="Times New Roman"/>
          <w:i/>
        </w:rPr>
        <w:t>i</w:t>
      </w:r>
      <w:r w:rsidRPr="001C5080">
        <w:rPr>
          <w:rFonts w:ascii="Times New Roman" w:hAnsi="Times New Roman" w:cs="Times New Roman"/>
          <w:vertAlign w:val="superscript"/>
        </w:rPr>
        <w:t>th</w:t>
      </w:r>
      <w:proofErr w:type="spellEnd"/>
      <w:r w:rsidRPr="001C5080">
        <w:rPr>
          <w:rFonts w:ascii="Times New Roman" w:hAnsi="Times New Roman" w:cs="Times New Roman"/>
        </w:rPr>
        <w:t xml:space="preserve"> reaction is considered to be blocked if </w:t>
      </w:r>
      <m:oMath>
        <m:func>
          <m:funcPr>
            <m:ctrlPr>
              <w:rPr>
                <w:rFonts w:ascii="Cambria Math" w:hAnsi="Cambria Math" w:cs="Times New Roman"/>
                <w:i/>
              </w:rPr>
            </m:ctrlPr>
          </m:funcPr>
          <m:fName>
            <m:r>
              <m:rPr>
                <m:sty m:val="p"/>
              </m:rPr>
              <w:rPr>
                <w:rFonts w:ascii="Cambria Math" w:hAnsi="Cambria Math" w:cs="Times New Roman"/>
              </w:rPr>
              <m:t>min</m:t>
            </m:r>
          </m:fName>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max</m:t>
            </m:r>
          </m:fName>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e>
        </m:func>
        <m:r>
          <w:rPr>
            <w:rFonts w:ascii="Cambria Math" w:hAnsi="Cambria Math" w:cs="Times New Roman"/>
          </w:rPr>
          <m:t>= 0</m:t>
        </m:r>
      </m:oMath>
      <w:r w:rsidRPr="001C5080">
        <w:rPr>
          <w:rFonts w:ascii="Times New Roman" w:hAnsi="Times New Roman" w:cs="Times New Roman"/>
        </w:rPr>
        <w:t xml:space="preserve"> </w:t>
      </w:r>
      <w:r w:rsidRPr="001C5080">
        <w:rPr>
          <w:rFonts w:ascii="Times New Roman" w:hAnsi="Times New Roman" w:cs="Times New Roman"/>
        </w:rPr>
        <w:fldChar w:fldCharType="begin"/>
      </w:r>
      <w:r w:rsidR="00B84452">
        <w:rPr>
          <w:rFonts w:ascii="Times New Roman" w:hAnsi="Times New Roman" w:cs="Times New Roman"/>
        </w:rPr>
        <w:instrText xml:space="preserve"> ADDIN ZOTERO_ITEM CSL_CITATION {"citationID":"1j2jeeea91","properties":{"formattedCitation":"(Henry {\\i{}et al.}, 2007)","plainCitation":"(Henry et al., 2007)","noteIndex":0},"citationItems":[{"id":1347,"uris":["http://zotero.org/groups/496964/items/EQE29F2B"],"uri":["http://zotero.org/groups/496964/items/EQE29F2B"],"itemData":{"id":1347,"type":"article-journal","title":"Thermodynamics-Based Metabolic Flux Analysis","container-title":"Biophysical Journal","page":"1792-1805","volume":"92","issue":"5","source":"PubMed Central","abstract":"A new form of metabolic flux analysis (MFA) called thermodynamics-based metabolic flux analysis (TMFA) is introduced with the capability of generating thermodynamically feasible flux and metabolite activity profiles on a genome scale. TMFA involves the use of a set of linear thermodynamic constraints in addition to the mass balance constraints typically used in MFA. TMFA produces flux distributions that do not contain any thermodynamically infeasible reactions or pathways, and it provides information about the free energy change of reactions and the range of metabolite activities in addition to reaction fluxes. TMFA is applied to study the thermodynamically feasible ranges for the fluxes and the Gibbs free energy change, ΔrG′, of the reactions and the activities of the metabolites in the genome-scale metabolic model of Escherichia coli developed by Palsson and co-workers. In the TMFA of the genome scale model, the metabolite activities and reaction ΔrG′ are able to achieve a wide range of values at optimal growth. The reaction dihydroorotase is identified as a possible thermodynamic bottleneck in E. coli metabolism with a ΔrG′ constrained close to zero while numerous reactions are identified throughout metabolism for which ΔrG′ is always highly negative regardless of metabolite concentrations. As it has been proposed previously, these reactions with exclusively negative ΔrG′ might be candidates for cell regulation, and we find that a significant number of these reactions appear to be the first steps in the linear portion of numerous biosynthesis pathways. The thermodynamically feasible ranges for the concentration ratios ATP/ADP, NAD(P)/NAD(P)H, and \\documentclass[10pt]{article}\n\\usepackage{amsmath}\n\\usepackage{wasysym} \n\\usepackage{amsfonts} \n\\usepackage{amssymb} \n\\usepackage{amsbsy}\n\\usepackage{mathrsfs}\n\\usepackage{pmc}\n\\pagestyle{empty}\n\n\\oddsidemargin -1.0in\n\n\\begin{document}\n\\begin{equation*}{\\mathrm{H}}_{{\\mathrm{extracellular}}}^{+}/{\\mathrm{H}}_{{\\mathrm{intracellular}}}^{+}\\end{equation*}\\end{document} are also determined and found to encompass the values observed experimentally in every case. Further, we find that the NAD/NADH and NADP/NADPH ratios maintained in the cell are close to the minimum feasible ratio and maximum feasible ratio, respectively.","DOI":"10.1529/biophysj.106.093138","ISSN":"0006-3495","note":"PMID: 17172310\nPMCID: PMC1796839","journalAbbreviation":"Biophys J","author":[{"family":"Henry","given":"Christopher S."},{"family":"Broadbelt","given":"Linda J."},{"family":"Hatzimanikatis","given":"Vassily"}],"issued":{"date-parts":[["2007",3,1]]}}}],"schema":"https://github.com/citation-style-language/schema/raw/master/csl-citation.json"} </w:instrText>
      </w:r>
      <w:r w:rsidRPr="001C5080">
        <w:rPr>
          <w:rFonts w:ascii="Times New Roman" w:hAnsi="Times New Roman" w:cs="Times New Roman"/>
        </w:rPr>
        <w:fldChar w:fldCharType="separate"/>
      </w:r>
      <w:r w:rsidR="00B84452" w:rsidRPr="00B84452">
        <w:rPr>
          <w:rFonts w:ascii="Times New Roman" w:hAnsi="Times New Roman" w:cs="Times New Roman"/>
        </w:rPr>
        <w:t xml:space="preserve">(Henry </w:t>
      </w:r>
      <w:r w:rsidR="00B84452" w:rsidRPr="00B84452">
        <w:rPr>
          <w:rFonts w:ascii="Times New Roman" w:hAnsi="Times New Roman" w:cs="Times New Roman"/>
          <w:i/>
          <w:iCs/>
        </w:rPr>
        <w:t>et al.</w:t>
      </w:r>
      <w:r w:rsidR="00B84452" w:rsidRPr="00B84452">
        <w:rPr>
          <w:rFonts w:ascii="Times New Roman" w:hAnsi="Times New Roman" w:cs="Times New Roman"/>
        </w:rPr>
        <w:t>, 2007)</w:t>
      </w:r>
      <w:r w:rsidRPr="001C5080">
        <w:rPr>
          <w:rFonts w:ascii="Times New Roman" w:hAnsi="Times New Roman" w:cs="Times New Roman"/>
        </w:rPr>
        <w:fldChar w:fldCharType="end"/>
      </w:r>
      <w:r w:rsidRPr="001C5080">
        <w:rPr>
          <w:rFonts w:ascii="Times New Roman" w:hAnsi="Times New Roman" w:cs="Times New Roman"/>
        </w:rPr>
        <w:t>.</w:t>
      </w:r>
    </w:p>
    <w:p w14:paraId="716FBC7A" w14:textId="603926F1" w:rsidR="00250BC4" w:rsidRPr="00D83E55" w:rsidRDefault="001A3AE1" w:rsidP="00D83E55">
      <w:pPr>
        <w:pStyle w:val="ListParagraph"/>
        <w:tabs>
          <w:tab w:val="left" w:pos="360"/>
        </w:tabs>
        <w:spacing w:line="480" w:lineRule="auto"/>
        <w:ind w:left="0"/>
        <w:contextualSpacing w:val="0"/>
        <w:jc w:val="both"/>
        <w:rPr>
          <w:rFonts w:ascii="Times New Roman" w:hAnsi="Times New Roman" w:cs="Times New Roman"/>
          <w:b/>
          <w:i/>
        </w:rPr>
      </w:pPr>
      <w:r w:rsidRPr="00D83E55">
        <w:rPr>
          <w:rFonts w:ascii="Times New Roman" w:hAnsi="Times New Roman" w:cs="Times New Roman"/>
          <w:b/>
          <w:i/>
        </w:rPr>
        <w:t xml:space="preserve">2.2 </w:t>
      </w:r>
      <w:r w:rsidR="00D83E55">
        <w:rPr>
          <w:rFonts w:ascii="Times New Roman" w:hAnsi="Times New Roman" w:cs="Times New Roman"/>
          <w:b/>
          <w:i/>
        </w:rPr>
        <w:t>Software used</w:t>
      </w:r>
    </w:p>
    <w:p w14:paraId="669E969E" w14:textId="77777777" w:rsidR="00250BC4" w:rsidRDefault="00D4586B" w:rsidP="00D83E55">
      <w:pPr>
        <w:pStyle w:val="ListParagraph"/>
        <w:tabs>
          <w:tab w:val="left" w:pos="360"/>
        </w:tabs>
        <w:spacing w:line="480" w:lineRule="auto"/>
        <w:ind w:left="0"/>
        <w:contextualSpacing w:val="0"/>
        <w:jc w:val="both"/>
        <w:rPr>
          <w:rFonts w:ascii="Times New Roman" w:hAnsi="Times New Roman" w:cs="Times New Roman"/>
        </w:rPr>
      </w:pPr>
      <w:r w:rsidRPr="001C5080">
        <w:rPr>
          <w:rFonts w:ascii="Times New Roman" w:hAnsi="Times New Roman" w:cs="Times New Roman"/>
        </w:rPr>
        <w:t xml:space="preserve">The </w:t>
      </w:r>
      <w:r>
        <w:rPr>
          <w:rFonts w:ascii="Times New Roman" w:hAnsi="Times New Roman" w:cs="Times New Roman"/>
        </w:rPr>
        <w:t>analyses were done using R (v3.4</w:t>
      </w:r>
      <w:r w:rsidRPr="001C5080">
        <w:rPr>
          <w:rFonts w:ascii="Times New Roman" w:hAnsi="Times New Roman" w:cs="Times New Roman"/>
        </w:rPr>
        <w:t xml:space="preserve">.2). </w:t>
      </w:r>
      <w:r w:rsidR="003C07A1" w:rsidRPr="001C5080">
        <w:rPr>
          <w:rFonts w:ascii="Times New Roman" w:hAnsi="Times New Roman" w:cs="Times New Roman"/>
        </w:rPr>
        <w:t xml:space="preserve">FBA, FVA, dead-end detection, reaction and gene knock-out analyses were performed with the </w:t>
      </w:r>
      <w:proofErr w:type="spellStart"/>
      <w:r w:rsidR="003C07A1" w:rsidRPr="001C5080">
        <w:rPr>
          <w:rFonts w:ascii="Times New Roman" w:hAnsi="Times New Roman" w:cs="Times New Roman"/>
          <w:i/>
        </w:rPr>
        <w:t>sybil</w:t>
      </w:r>
      <w:proofErr w:type="spellEnd"/>
      <w:r w:rsidR="003C07A1" w:rsidRPr="001C5080">
        <w:rPr>
          <w:rFonts w:ascii="Times New Roman" w:hAnsi="Times New Roman" w:cs="Times New Roman"/>
        </w:rPr>
        <w:t xml:space="preserve"> R package (v2.0.4) </w:t>
      </w:r>
      <w:r w:rsidR="003C07A1" w:rsidRPr="001C5080">
        <w:rPr>
          <w:rFonts w:ascii="Times New Roman" w:hAnsi="Times New Roman" w:cs="Times New Roman"/>
        </w:rPr>
        <w:fldChar w:fldCharType="begin"/>
      </w:r>
      <w:r w:rsidR="003C07A1">
        <w:rPr>
          <w:rFonts w:ascii="Times New Roman" w:hAnsi="Times New Roman" w:cs="Times New Roman"/>
        </w:rPr>
        <w:instrText xml:space="preserve"> ADDIN ZOTERO_ITEM CSL_CITATION {"citationID":"2nuvsp23le","properties":{"formattedCitation":"(Gelius-Dietrich {\\i{}et al.}, 2013)","plainCitation":"(Gelius-Dietrich et al., 2013)","noteIndex":0},"citationItems":[{"id":1300,"uris":["http://zotero.org/groups/496964/items/3PZSN3ZS"],"uri":["http://zotero.org/groups/496964/items/3PZSN3ZS"],"itemData":{"id":1300,"type":"article-journal","title":"sybil – Efficient constraint-based modelling in R","container-title":"BMC Systems Biology","page":"125","volume":"7","source":"PubMed Central","abstract":"Background\nConstraint-based analyses of metabolic networks are widely used to simulate the properties of genome-scale metabolic networks. Publicly available implementations tend to be slow, impeding large scale analyses such as the genome-wide computation of pairwise gene knock-outs, or the automated search for model improvements. Furthermore, available implementations cannot easily be extended or adapted by users.\n\nResults\nHere, we present sybil, an open source software library for constraint-based analyses in R; R is a free, platform-independent environment for statistical computing and graphics that is widely used in bioinformatics. Among other functions, sybil currently provides efficient methods for flux-balance analysis (FBA), MOMA, and ROOM that are about ten times faster than previous implementations when calculating the effect of whole-genome single gene deletions in silico on a complete E. coli metabolic model.\n\nConclusions\nDue to the object-oriented architecture of sybil, users can easily build analysis pipelines in R or even implement their own constraint-based algorithms. Based on its highly efficient communication with different mathematical optimisation programs, sybil facilitates the exploration of high-dimensional optimisation problems on small time scales. Sybil and all its dependencies are open source. Sybil and its documentation are available for download from the comprehensive R archive network (CRAN).","DOI":"10.1186/1752-0509-7-125","ISSN":"1752-0509","note":"PMID: 24224957\nPMCID: PMC3843580","journalAbbreviation":"BMC Syst Biol","author":[{"family":"Gelius-Dietrich","given":"Gabriel"},{"family":"Desouki","given":"Abdelmoneim Amer"},{"family":"Fritzemeier","given":"Claus Jonathan"},{"family":"Lercher","given":"Martin J"}],"issued":{"date-parts":[["2013",11,13]]}}}],"schema":"https://github.com/citation-style-language/schema/raw/master/csl-citation.json"} </w:instrText>
      </w:r>
      <w:r w:rsidR="003C07A1" w:rsidRPr="001C5080">
        <w:rPr>
          <w:rFonts w:ascii="Times New Roman" w:hAnsi="Times New Roman" w:cs="Times New Roman"/>
        </w:rPr>
        <w:fldChar w:fldCharType="separate"/>
      </w:r>
      <w:r w:rsidR="003C07A1" w:rsidRPr="00B84452">
        <w:rPr>
          <w:rFonts w:ascii="Times New Roman" w:hAnsi="Times New Roman" w:cs="Times New Roman"/>
        </w:rPr>
        <w:t xml:space="preserve">(Gelius-Dietrich </w:t>
      </w:r>
      <w:r w:rsidR="003C07A1" w:rsidRPr="00B84452">
        <w:rPr>
          <w:rFonts w:ascii="Times New Roman" w:hAnsi="Times New Roman" w:cs="Times New Roman"/>
          <w:i/>
          <w:iCs/>
        </w:rPr>
        <w:t>et al.</w:t>
      </w:r>
      <w:r w:rsidR="003C07A1" w:rsidRPr="00B84452">
        <w:rPr>
          <w:rFonts w:ascii="Times New Roman" w:hAnsi="Times New Roman" w:cs="Times New Roman"/>
        </w:rPr>
        <w:t>, 2013)</w:t>
      </w:r>
      <w:r w:rsidR="003C07A1" w:rsidRPr="001C5080">
        <w:rPr>
          <w:rFonts w:ascii="Times New Roman" w:hAnsi="Times New Roman" w:cs="Times New Roman"/>
        </w:rPr>
        <w:fldChar w:fldCharType="end"/>
      </w:r>
      <w:r w:rsidR="003C07A1" w:rsidRPr="001C5080">
        <w:rPr>
          <w:rFonts w:ascii="Times New Roman" w:hAnsi="Times New Roman" w:cs="Times New Roman"/>
        </w:rPr>
        <w:t xml:space="preserve">. The </w:t>
      </w:r>
      <w:proofErr w:type="spellStart"/>
      <w:r w:rsidR="003C07A1" w:rsidRPr="001C5080">
        <w:rPr>
          <w:rFonts w:ascii="Times New Roman" w:hAnsi="Times New Roman" w:cs="Times New Roman"/>
          <w:i/>
        </w:rPr>
        <w:t>clp</w:t>
      </w:r>
      <w:proofErr w:type="spellEnd"/>
      <w:r w:rsidR="003C07A1" w:rsidRPr="001C5080">
        <w:rPr>
          <w:rFonts w:ascii="Times New Roman" w:hAnsi="Times New Roman" w:cs="Times New Roman"/>
        </w:rPr>
        <w:t xml:space="preserve"> solver (v1.16.10) with </w:t>
      </w:r>
      <w:proofErr w:type="spellStart"/>
      <w:r w:rsidR="003C07A1" w:rsidRPr="001C5080">
        <w:rPr>
          <w:rFonts w:ascii="Times New Roman" w:hAnsi="Times New Roman" w:cs="Times New Roman"/>
          <w:i/>
        </w:rPr>
        <w:t>inibarrier</w:t>
      </w:r>
      <w:proofErr w:type="spellEnd"/>
      <w:r w:rsidR="003C07A1" w:rsidRPr="001C5080">
        <w:rPr>
          <w:rFonts w:ascii="Times New Roman" w:hAnsi="Times New Roman" w:cs="Times New Roman"/>
        </w:rPr>
        <w:t xml:space="preserve"> algorithm via </w:t>
      </w:r>
      <w:r w:rsidR="00512759">
        <w:rPr>
          <w:rFonts w:ascii="Times New Roman" w:hAnsi="Times New Roman" w:cs="Times New Roman"/>
        </w:rPr>
        <w:t xml:space="preserve">the </w:t>
      </w:r>
      <w:proofErr w:type="spellStart"/>
      <w:r w:rsidR="003C07A1" w:rsidRPr="001C5080">
        <w:rPr>
          <w:rFonts w:ascii="Times New Roman" w:hAnsi="Times New Roman" w:cs="Times New Roman"/>
          <w:i/>
        </w:rPr>
        <w:t>clpAPI</w:t>
      </w:r>
      <w:proofErr w:type="spellEnd"/>
      <w:r w:rsidR="003C07A1" w:rsidRPr="001C5080">
        <w:rPr>
          <w:rFonts w:ascii="Times New Roman" w:hAnsi="Times New Roman" w:cs="Times New Roman"/>
          <w:i/>
        </w:rPr>
        <w:t xml:space="preserve"> </w:t>
      </w:r>
      <w:r w:rsidR="003C07A1" w:rsidRPr="001C5080">
        <w:rPr>
          <w:rFonts w:ascii="Times New Roman" w:hAnsi="Times New Roman" w:cs="Times New Roman"/>
        </w:rPr>
        <w:t xml:space="preserve">R package (v1.2.7) </w:t>
      </w:r>
      <w:r w:rsidR="003C07A1" w:rsidRPr="001C5080">
        <w:rPr>
          <w:rFonts w:ascii="Times New Roman" w:hAnsi="Times New Roman" w:cs="Times New Roman"/>
        </w:rPr>
        <w:fldChar w:fldCharType="begin"/>
      </w:r>
      <w:r w:rsidR="003C07A1">
        <w:rPr>
          <w:rFonts w:ascii="Times New Roman" w:hAnsi="Times New Roman" w:cs="Times New Roman"/>
        </w:rPr>
        <w:instrText xml:space="preserve"> ADDIN ZOTERO_ITEM CSL_CITATION {"citationID":"22q7nhb1cv","properties":{"formattedCitation":"(Gelius-Dietrich, 2016)","plainCitation":"(Gelius-Dietrich, 2016)","noteIndex":0},"citationItems":[{"id":1358,"uris":["http://zotero.org/groups/496964/items/PEQNJEEU"],"uri":["http://zotero.org/groups/496964/items/PEQNJEEU"],"itemData":{"id":1358,"type":"book","title":"clpAPI: R Interface to C API of COIN-OR Clp. R package version 1.2.7.","URL":"http://CRAN.R-project.org/package=clpAPI","author":[{"family":"Gelius-Dietrich","given":"Gabriel"}],"issued":{"date-parts":[["2016"]]}}}],"schema":"https://github.com/citation-style-language/schema/raw/master/csl-citation.json"} </w:instrText>
      </w:r>
      <w:r w:rsidR="003C07A1" w:rsidRPr="001C5080">
        <w:rPr>
          <w:rFonts w:ascii="Times New Roman" w:hAnsi="Times New Roman" w:cs="Times New Roman"/>
        </w:rPr>
        <w:fldChar w:fldCharType="separate"/>
      </w:r>
      <w:r w:rsidR="003C07A1" w:rsidRPr="001C5080">
        <w:rPr>
          <w:rFonts w:ascii="Times New Roman" w:hAnsi="Times New Roman" w:cs="Times New Roman"/>
        </w:rPr>
        <w:t>(Gelius-Dietrich, 2016)</w:t>
      </w:r>
      <w:r w:rsidR="003C07A1" w:rsidRPr="001C5080">
        <w:rPr>
          <w:rFonts w:ascii="Times New Roman" w:hAnsi="Times New Roman" w:cs="Times New Roman"/>
        </w:rPr>
        <w:fldChar w:fldCharType="end"/>
      </w:r>
      <w:r w:rsidR="003C07A1" w:rsidRPr="001C5080">
        <w:rPr>
          <w:rFonts w:ascii="Times New Roman" w:hAnsi="Times New Roman" w:cs="Times New Roman"/>
        </w:rPr>
        <w:t xml:space="preserve"> was used for the simulation</w:t>
      </w:r>
      <w:r w:rsidR="003C07A1">
        <w:rPr>
          <w:rFonts w:ascii="Times New Roman" w:hAnsi="Times New Roman" w:cs="Times New Roman"/>
        </w:rPr>
        <w:t xml:space="preserve"> of </w:t>
      </w:r>
      <w:r w:rsidR="003C07A1" w:rsidRPr="00F71021">
        <w:rPr>
          <w:rFonts w:ascii="Times New Roman" w:hAnsi="Times New Roman" w:cs="Times New Roman"/>
          <w:i/>
        </w:rPr>
        <w:t xml:space="preserve">Y. </w:t>
      </w:r>
      <w:proofErr w:type="spellStart"/>
      <w:r w:rsidR="003C07A1" w:rsidRPr="00F71021">
        <w:rPr>
          <w:rFonts w:ascii="Times New Roman" w:hAnsi="Times New Roman" w:cs="Times New Roman"/>
          <w:i/>
        </w:rPr>
        <w:t>lipolytica</w:t>
      </w:r>
      <w:proofErr w:type="spellEnd"/>
      <w:r w:rsidR="003C07A1">
        <w:rPr>
          <w:rFonts w:ascii="Times New Roman" w:hAnsi="Times New Roman" w:cs="Times New Roman"/>
        </w:rPr>
        <w:t xml:space="preserve">. The </w:t>
      </w:r>
      <w:proofErr w:type="spellStart"/>
      <w:r w:rsidR="003C07A1" w:rsidRPr="00F71021">
        <w:rPr>
          <w:rFonts w:ascii="Times New Roman" w:hAnsi="Times New Roman" w:cs="Times New Roman"/>
          <w:i/>
        </w:rPr>
        <w:t>glpk</w:t>
      </w:r>
      <w:proofErr w:type="spellEnd"/>
      <w:r w:rsidR="003C07A1">
        <w:rPr>
          <w:rFonts w:ascii="Times New Roman" w:hAnsi="Times New Roman" w:cs="Times New Roman"/>
        </w:rPr>
        <w:t xml:space="preserve"> solver (v4.59) with simplex algorithm via</w:t>
      </w:r>
      <w:r w:rsidR="00512759">
        <w:rPr>
          <w:rFonts w:ascii="Times New Roman" w:hAnsi="Times New Roman" w:cs="Times New Roman"/>
        </w:rPr>
        <w:t xml:space="preserve"> the</w:t>
      </w:r>
      <w:r w:rsidR="003C07A1">
        <w:rPr>
          <w:rFonts w:ascii="Times New Roman" w:hAnsi="Times New Roman" w:cs="Times New Roman"/>
        </w:rPr>
        <w:t xml:space="preserve"> </w:t>
      </w:r>
      <w:proofErr w:type="spellStart"/>
      <w:r w:rsidR="003C07A1" w:rsidRPr="00F71021">
        <w:rPr>
          <w:rFonts w:ascii="Times New Roman" w:hAnsi="Times New Roman" w:cs="Times New Roman"/>
          <w:i/>
        </w:rPr>
        <w:t>glpkAPI</w:t>
      </w:r>
      <w:proofErr w:type="spellEnd"/>
      <w:r w:rsidR="003C07A1">
        <w:rPr>
          <w:rFonts w:ascii="Times New Roman" w:hAnsi="Times New Roman" w:cs="Times New Roman"/>
        </w:rPr>
        <w:t xml:space="preserve"> R package (v1.3.0) </w:t>
      </w:r>
      <w:r w:rsidR="003C07A1">
        <w:rPr>
          <w:rFonts w:ascii="Times New Roman" w:hAnsi="Times New Roman" w:cs="Times New Roman"/>
        </w:rPr>
        <w:fldChar w:fldCharType="begin"/>
      </w:r>
      <w:r w:rsidR="003C07A1">
        <w:rPr>
          <w:rFonts w:ascii="Times New Roman" w:hAnsi="Times New Roman" w:cs="Times New Roman"/>
        </w:rPr>
        <w:instrText xml:space="preserve"> ADDIN ZOTERO_ITEM CSL_CITATION {"citationID":"dMXeCBTH","properties":{"formattedCitation":"(Gelius-Dietrich, 2015)","plainCitation":"(Gelius-Dietrich, 2015)","noteIndex":0},"citationItems":[{"id":1562,"uris":["http://zotero.org/groups/496964/items/U4BM3F2W"],"uri":["http://zotero.org/groups/496964/items/U4BM3F2W"],"itemData":{"id":1562,"type":"book","title":"glpkAPI: R Interface to C API of GLPK. R package version 1.3.0.","URL":"https://CRAN.R-project.org/package=glpkAPI","author":[{"family":"Gelius-Dietrich","given":"Gabriel"}],"issued":{"date-parts":[["2015"]]}}}],"schema":"https://github.com/citation-style-language/schema/raw/master/csl-citation.json"} </w:instrText>
      </w:r>
      <w:r w:rsidR="003C07A1">
        <w:rPr>
          <w:rFonts w:ascii="Times New Roman" w:hAnsi="Times New Roman" w:cs="Times New Roman"/>
        </w:rPr>
        <w:fldChar w:fldCharType="separate"/>
      </w:r>
      <w:r w:rsidR="003C07A1">
        <w:rPr>
          <w:rFonts w:ascii="Times New Roman" w:hAnsi="Times New Roman" w:cs="Times New Roman"/>
          <w:noProof/>
        </w:rPr>
        <w:t>(Gelius-Dietrich, 2015)</w:t>
      </w:r>
      <w:r w:rsidR="003C07A1">
        <w:rPr>
          <w:rFonts w:ascii="Times New Roman" w:hAnsi="Times New Roman" w:cs="Times New Roman"/>
        </w:rPr>
        <w:fldChar w:fldCharType="end"/>
      </w:r>
      <w:r w:rsidR="003C07A1">
        <w:rPr>
          <w:rFonts w:ascii="Times New Roman" w:hAnsi="Times New Roman" w:cs="Times New Roman"/>
        </w:rPr>
        <w:t xml:space="preserve"> was used for the simulation </w:t>
      </w:r>
      <w:r w:rsidR="00C949D3">
        <w:rPr>
          <w:rFonts w:ascii="Times New Roman" w:hAnsi="Times New Roman" w:cs="Times New Roman"/>
        </w:rPr>
        <w:t>of mouse</w:t>
      </w:r>
      <w:r w:rsidR="003C07A1">
        <w:rPr>
          <w:rFonts w:ascii="Times New Roman" w:hAnsi="Times New Roman" w:cs="Times New Roman"/>
        </w:rPr>
        <w:t>.</w:t>
      </w:r>
      <w:r w:rsidR="003C07A1" w:rsidRPr="001C5080">
        <w:rPr>
          <w:rFonts w:ascii="Times New Roman" w:hAnsi="Times New Roman" w:cs="Times New Roman"/>
        </w:rPr>
        <w:t xml:space="preserve"> The </w:t>
      </w:r>
      <w:proofErr w:type="spellStart"/>
      <w:r w:rsidR="003C07A1" w:rsidRPr="001C5080">
        <w:rPr>
          <w:rFonts w:ascii="Times New Roman" w:hAnsi="Times New Roman" w:cs="Times New Roman"/>
          <w:i/>
        </w:rPr>
        <w:t>sybil</w:t>
      </w:r>
      <w:proofErr w:type="spellEnd"/>
      <w:r w:rsidR="003C07A1" w:rsidRPr="001C5080">
        <w:rPr>
          <w:rFonts w:ascii="Times New Roman" w:hAnsi="Times New Roman" w:cs="Times New Roman"/>
        </w:rPr>
        <w:t xml:space="preserve"> tolerance was set to 1e-8. </w:t>
      </w:r>
    </w:p>
    <w:p w14:paraId="6D0526CE" w14:textId="036B314F" w:rsidR="003C07A1" w:rsidRDefault="00380B03" w:rsidP="00D83E55">
      <w:pPr>
        <w:pStyle w:val="ListParagraph"/>
        <w:tabs>
          <w:tab w:val="left" w:pos="360"/>
        </w:tabs>
        <w:spacing w:line="480" w:lineRule="auto"/>
        <w:ind w:left="0"/>
        <w:contextualSpacing w:val="0"/>
        <w:jc w:val="both"/>
        <w:rPr>
          <w:rFonts w:ascii="Times New Roman" w:hAnsi="Times New Roman" w:cs="Times New Roman"/>
        </w:rPr>
      </w:pPr>
      <w:r>
        <w:rPr>
          <w:rFonts w:ascii="Times New Roman" w:hAnsi="Times New Roman" w:cs="Times New Roman"/>
        </w:rPr>
        <w:tab/>
      </w:r>
      <w:r w:rsidR="003C07A1" w:rsidRPr="001C5080">
        <w:rPr>
          <w:rFonts w:ascii="Times New Roman" w:hAnsi="Times New Roman" w:cs="Times New Roman"/>
        </w:rPr>
        <w:t xml:space="preserve">The </w:t>
      </w:r>
      <w:proofErr w:type="spellStart"/>
      <w:r w:rsidR="00FC44AE" w:rsidRPr="008D3F2C">
        <w:rPr>
          <w:rFonts w:ascii="Times New Roman" w:hAnsi="Times New Roman" w:cs="Times New Roman"/>
          <w:i/>
        </w:rPr>
        <w:t>create</w:t>
      </w:r>
      <w:r w:rsidR="00FC44AE" w:rsidRPr="00D83E55">
        <w:rPr>
          <w:rFonts w:ascii="Times New Roman" w:hAnsi="Times New Roman" w:cs="Times New Roman"/>
          <w:i/>
        </w:rPr>
        <w:t>TissueSpecificModel</w:t>
      </w:r>
      <w:proofErr w:type="spellEnd"/>
      <w:r w:rsidR="00FC44AE">
        <w:rPr>
          <w:rFonts w:ascii="Times New Roman" w:hAnsi="Times New Roman" w:cs="Times New Roman"/>
          <w:lang w:val="vi-VN"/>
        </w:rPr>
        <w:t xml:space="preserve"> </w:t>
      </w:r>
      <w:r w:rsidR="00597C37" w:rsidRPr="001C5080">
        <w:rPr>
          <w:rFonts w:ascii="Times New Roman" w:hAnsi="Times New Roman" w:cs="Times New Roman"/>
        </w:rPr>
        <w:t xml:space="preserve">function </w:t>
      </w:r>
      <w:r w:rsidR="003C07A1" w:rsidRPr="001C5080">
        <w:rPr>
          <w:rFonts w:ascii="Times New Roman" w:hAnsi="Times New Roman" w:cs="Times New Roman"/>
        </w:rPr>
        <w:t xml:space="preserve">implemented in </w:t>
      </w:r>
      <w:r w:rsidR="000447A7">
        <w:rPr>
          <w:rFonts w:ascii="Times New Roman" w:hAnsi="Times New Roman" w:cs="Times New Roman"/>
        </w:rPr>
        <w:t>t</w:t>
      </w:r>
      <w:r w:rsidR="003C07A1" w:rsidRPr="001C5080">
        <w:rPr>
          <w:rFonts w:ascii="Times New Roman" w:hAnsi="Times New Roman" w:cs="Times New Roman"/>
        </w:rPr>
        <w:t xml:space="preserve">he COBRA Toolbox v3.0 </w:t>
      </w:r>
      <w:r w:rsidR="003C07A1" w:rsidRPr="001C5080">
        <w:rPr>
          <w:rFonts w:ascii="Times New Roman" w:hAnsi="Times New Roman" w:cs="Times New Roman"/>
        </w:rPr>
        <w:fldChar w:fldCharType="begin"/>
      </w:r>
      <w:r w:rsidR="003C07A1">
        <w:rPr>
          <w:rFonts w:ascii="Times New Roman" w:hAnsi="Times New Roman" w:cs="Times New Roman"/>
        </w:rPr>
        <w:instrText xml:space="preserve"> ADDIN ZOTERO_ITEM CSL_CITATION {"citationID":"asnm8hsvqp","properties":{"formattedCitation":"(Heirendt {\\i{}et al.}, 2017)","plainCitation":"(Heirendt et al., 2017)","noteIndex":0},"citationItems":[{"id":1511,"uris":["http://zotero.org/groups/496964/items/WHI6GDU6"],"uri":["http://zotero.org/groups/496964/items/WHI6GDU6"],"itemData":{"id":1511,"type":"article-journal","title":"Creation and analysis of biochemical constraint-based models: the COBRA Toolbox v3.0","container-title":"arXiv:1710.04038 [q-bio]","source":"arXiv.org","abstract":"COnstraint-Based Reconstruction and Analysis (COBRA) provides a molecular mechanistic framework for integrative analysis of experimental data and quantitative prediction of physicochemically and biochemically feasible phenotypic states. The COBRA Toolbox is a comprehensive software suite of interoperable COBRA methods. It has found widespread applications in biology, biomedicine, and biotechnology because its functions can be flexibly combined to implement tailored COBRA protocols for any biochemical network. Version 3.0 includes new methods for quality controlled reconstruction, modelling, topological analysis, strain and experimental design, network visualisation as well as network integration of cheminformatic, metabolomic, transcriptomic, proteomic, and thermochemical data. New multi-lingual code integration also enables an expansion in COBRA application scope via high-precision, high-performance, and nonlinear numerical optimisation solvers for multi-scale, multi-cellular and reaction kinetic modelling, respectively. This protocol can be adapted for the generation and analysis of a constraint-based model in a wide variety of molecular systems biology scenarios.","URL":"http://arxiv.org/abs/1710.04038","note":"arXiv: 1710.04038","shortTitle":"Creation and analysis of biochemical constraint-based models","author":[{"family":"Heirendt","given":"Laurent"},{"family":"Arreckx","given":"Sylvain"},{"family":"Pfau","given":"Thomas"},{"family":"Mendoza","given":"Sebastian N."},{"family":"Richelle","given":"Anne"},{"family":"Heinken","given":"Almut"},{"family":"Haraldsdottir","given":"Hulda S."},{"family":"Keating","given":"Sarah M."},{"family":"Vlasov","given":"Vanja"},{"family":"Wachowiak","given":"Jacek"},{"family":"Magnusdottir","given":"Stefania"},{"family":"Ng","given":"Chiam Yu"},{"family":"Preciat","given":"German"},{"family":"Zagare","given":"Alise"},{"family":"Chan","given":"Siu H. J."},{"family":"Aurich","given":"Maike K."},{"family":"Clancy","given":"Catherine M."},{"family":"Modamio","given":"Jennifer"},{"family":"Sauls","given":"John T."},{"family":"Noronha","given":"Alberto"},{"family":"Bordbar","given":"Aarash"},{"family":"Cousins","given":"Benjamin"},{"family":"Assal","given":"Diana C. El"},{"family":"Ghaderi","given":"Susan"},{"family":"Ahookhosh","given":"Masoud"},{"family":"Guebila","given":"Marouen Ben"},{"family":"Apaolaza","given":"Inigo"},{"family":"Kostromins","given":"Andrejs"},{"family":"Le","given":"Hoai M."},{"family":"Ma","given":"Ding"},{"family":"Sun","given":"Yuekai"},{"family":"Valcarcel","given":"Luis V."},{"family":"Wang","given":"Lin"},{"family":"Yurkovich","given":"James T."},{"family":"Vuong","given":"Phan T."},{"family":"Assal","given":"Lemmer P. El"},{"family":"Hinton","given":"Scott"},{"family":"Bryant","given":"William A."},{"family":"Artacho","given":"Francisco J. Aragon"},{"family":"Planes","given":"Francisco J."},{"family":"Stalidzans","given":"Egils"},{"family":"Maass","given":"Alejandro"},{"family":"Vempala","given":"Santosh"},{"family":"Hucka","given":"Michael"},{"family":"Saunders","given":"Michael A."},{"family":"Maranas","given":"Costas D."},{"family":"Lewis","given":"Nathan E."},{"family":"Sauter","given":"Thomas"},{"family":"Palsson","given":"Bernhard Ø"},{"family":"Thiele","given":"Ines"},{"family":"Fleming","given":"Ronan M. T."}],"issued":{"date-parts":[["2017",10,11]]},"accessed":{"date-parts":[["2017",12,31]]}}}],"schema":"https://github.com/citation-style-language/schema/raw/master/csl-citation.json"} </w:instrText>
      </w:r>
      <w:r w:rsidR="003C07A1" w:rsidRPr="001C5080">
        <w:rPr>
          <w:rFonts w:ascii="Times New Roman" w:hAnsi="Times New Roman" w:cs="Times New Roman"/>
        </w:rPr>
        <w:fldChar w:fldCharType="separate"/>
      </w:r>
      <w:r w:rsidR="003C07A1" w:rsidRPr="00B84452">
        <w:rPr>
          <w:rFonts w:ascii="Times New Roman" w:hAnsi="Times New Roman" w:cs="Times New Roman"/>
        </w:rPr>
        <w:t xml:space="preserve">(Heirendt </w:t>
      </w:r>
      <w:r w:rsidR="003C07A1" w:rsidRPr="00B84452">
        <w:rPr>
          <w:rFonts w:ascii="Times New Roman" w:hAnsi="Times New Roman" w:cs="Times New Roman"/>
          <w:i/>
          <w:iCs/>
        </w:rPr>
        <w:t>et al.</w:t>
      </w:r>
      <w:r w:rsidR="003C07A1" w:rsidRPr="00B84452">
        <w:rPr>
          <w:rFonts w:ascii="Times New Roman" w:hAnsi="Times New Roman" w:cs="Times New Roman"/>
        </w:rPr>
        <w:t>, 2017)</w:t>
      </w:r>
      <w:r w:rsidR="003C07A1" w:rsidRPr="001C5080">
        <w:rPr>
          <w:rFonts w:ascii="Times New Roman" w:hAnsi="Times New Roman" w:cs="Times New Roman"/>
        </w:rPr>
        <w:fldChar w:fldCharType="end"/>
      </w:r>
      <w:r w:rsidR="003C07A1" w:rsidRPr="001C5080">
        <w:rPr>
          <w:rFonts w:ascii="Times New Roman" w:hAnsi="Times New Roman" w:cs="Times New Roman"/>
        </w:rPr>
        <w:t xml:space="preserve"> was employed to perform</w:t>
      </w:r>
      <w:r w:rsidR="00053CDC">
        <w:rPr>
          <w:rFonts w:ascii="Times New Roman" w:hAnsi="Times New Roman" w:cs="Times New Roman"/>
        </w:rPr>
        <w:t xml:space="preserve"> the</w:t>
      </w:r>
      <w:r w:rsidR="003C07A1" w:rsidRPr="001C5080">
        <w:rPr>
          <w:rFonts w:ascii="Times New Roman" w:hAnsi="Times New Roman" w:cs="Times New Roman"/>
        </w:rPr>
        <w:t xml:space="preserve"> analyses with the GIMME </w:t>
      </w:r>
      <w:r w:rsidR="003C07A1" w:rsidRPr="001C5080">
        <w:rPr>
          <w:rFonts w:ascii="Times New Roman" w:hAnsi="Times New Roman" w:cs="Times New Roman"/>
        </w:rPr>
        <w:fldChar w:fldCharType="begin"/>
      </w:r>
      <w:r w:rsidR="003C07A1">
        <w:rPr>
          <w:rFonts w:ascii="Times New Roman" w:hAnsi="Times New Roman" w:cs="Times New Roman"/>
        </w:rPr>
        <w:instrText xml:space="preserve"> ADDIN ZOTERO_ITEM CSL_CITATION {"citationID":"a1f68jf6dp6","properties":{"formattedCitation":"(Becker and Palsson, 2008)","plainCitation":"(Becker and Palsson, 2008)","noteIndex":0},"citationItems":[{"id":1118,"uris":["http://zotero.org/groups/496964/items/C4BQFQDN"],"uri":["http://zotero.org/groups/496964/items/C4BQFQDN"],"itemData":{"id":1118,"type":"article-journal","title":"Context-specific metabolic networks are consistent with experiments","container-title":"PLoS computational biology","page":"e1000082","volume":"4","issue":"5","source":"PubMed","abstract":"Reconstructions of cellular metabolism are publicly available for a variety of different microorganisms and some mammalian genomes. To date, these reconstructions are \"genome-scale\" and strive to include all reactions implied by the genome annotation, as well as those with direct experimental evidence. Clearly, many of the reactions in a genome-scale reconstruction will not be active under particular conditions or in a particular cell type. Methods to tailor these comprehensive genome-scale reconstructions into context-specific networks will aid predictive in silico modeling for a particular situation. We present a method called Gene Inactivity Moderated by Metabolism and Expression (GIMME) to achieve this goal. The GIMME algorithm uses quantitative gene expression data and one or more presupposed metabolic objectives to produce the context-specific reconstruction that is most consistent with the available data. Furthermore, the algorithm provides a quantitative inconsistency score indicating how consistent a set of gene expression data is with a particular metabolic objective. We show that this algorithm produces results consistent with biological experiments and intuition for adaptive evolution of bacteria, rational design of metabolic engineering strains, and human skeletal muscle cells. This work represents progress towards producing constraint-based models of metabolism that are specific to the conditions where the expression profiling data is available.","DOI":"10.1371/journal.pcbi.1000082","ISSN":"1553-7358","note":"PMID: 18483554\nPMCID: PMC2366062","journalAbbreviation":"PLoS Comput. Biol.","language":"eng","author":[{"family":"Becker","given":"Scott A."},{"family":"Palsson","given":"Bernhard O."}],"issued":{"date-parts":[["2008",5]]}}}],"schema":"https://github.com/citation-style-language/schema/raw/master/csl-citation.json"} </w:instrText>
      </w:r>
      <w:r w:rsidR="003C07A1" w:rsidRPr="001C5080">
        <w:rPr>
          <w:rFonts w:ascii="Times New Roman" w:hAnsi="Times New Roman" w:cs="Times New Roman"/>
        </w:rPr>
        <w:fldChar w:fldCharType="separate"/>
      </w:r>
      <w:r w:rsidR="003C07A1" w:rsidRPr="001C5080">
        <w:rPr>
          <w:rFonts w:ascii="Times New Roman" w:hAnsi="Times New Roman" w:cs="Times New Roman"/>
        </w:rPr>
        <w:t xml:space="preserve">(Becker and </w:t>
      </w:r>
      <w:proofErr w:type="spellStart"/>
      <w:r w:rsidR="003C07A1" w:rsidRPr="001C5080">
        <w:rPr>
          <w:rFonts w:ascii="Times New Roman" w:hAnsi="Times New Roman" w:cs="Times New Roman"/>
        </w:rPr>
        <w:t>Palsson</w:t>
      </w:r>
      <w:proofErr w:type="spellEnd"/>
      <w:r w:rsidR="003C07A1" w:rsidRPr="001C5080">
        <w:rPr>
          <w:rFonts w:ascii="Times New Roman" w:hAnsi="Times New Roman" w:cs="Times New Roman"/>
        </w:rPr>
        <w:t>, 2008)</w:t>
      </w:r>
      <w:r w:rsidR="003C07A1" w:rsidRPr="001C5080">
        <w:rPr>
          <w:rFonts w:ascii="Times New Roman" w:hAnsi="Times New Roman" w:cs="Times New Roman"/>
        </w:rPr>
        <w:fldChar w:fldCharType="end"/>
      </w:r>
      <w:r w:rsidR="00036C54">
        <w:rPr>
          <w:rFonts w:ascii="Times New Roman" w:hAnsi="Times New Roman" w:cs="Times New Roman"/>
        </w:rPr>
        <w:t xml:space="preserve"> and </w:t>
      </w:r>
      <w:proofErr w:type="spellStart"/>
      <w:r w:rsidR="00036C54">
        <w:rPr>
          <w:rFonts w:ascii="Times New Roman" w:hAnsi="Times New Roman" w:cs="Times New Roman"/>
        </w:rPr>
        <w:t>iMAT</w:t>
      </w:r>
      <w:proofErr w:type="spellEnd"/>
      <w:r w:rsidR="00036C54">
        <w:rPr>
          <w:rFonts w:ascii="Times New Roman" w:hAnsi="Times New Roman" w:cs="Times New Roman"/>
        </w:rPr>
        <w:t xml:space="preserve"> </w:t>
      </w:r>
      <w:r w:rsidR="00DC7D0E">
        <w:rPr>
          <w:rFonts w:ascii="Times New Roman" w:hAnsi="Times New Roman" w:cs="Times New Roman"/>
        </w:rPr>
        <w:fldChar w:fldCharType="begin"/>
      </w:r>
      <w:r w:rsidR="00DC06E0">
        <w:rPr>
          <w:rFonts w:ascii="Times New Roman" w:hAnsi="Times New Roman" w:cs="Times New Roman"/>
        </w:rPr>
        <w:instrText xml:space="preserve"> ADDIN ZOTERO_ITEM CSL_CITATION {"citationID":"zSMHA45H","properties":{"formattedCitation":"(Zur {\\i{}et al.}, 2010)","plainCitation":"(Zur et al., 2010)","noteIndex":0},"citationItems":[{"id":1122,"uris":["http://zotero.org/groups/496964/items/DNW8B4IX"],"uri":["http://zotero.org/groups/496964/items/DNW8B4IX"],"itemData":{"id":1122,"type":"article-journal","title":"iMAT: an integrative metabolic analysis tool","container-title":"Bioinformatics (Oxford, England)","page":"3140-3142","volume":"26","issue":"24","source":"PubMed","abstract":"SUMMARY: iMAT is an Integrative Metabolic Analysis Tool, enabling the integration of transcriptomic and proteomic data with genome-scale metabolic network models to predict enzymes' metabolic flux, based on the method previously described by Shlomi et al. The prediction of metabolic fluxes based on high-throughput molecular data sources could help to advance our understanding of cellular metabolism, since current experimental approaches are limited to measuring fluxes through merely a few dozen enzymes.\nAVAILABILITY AND IMPLEMENTATION: http://imat.cs.tau.ac.il/.","DOI":"10.1093/bioinformatics/btq602","ISSN":"1367-4811","note":"PMID: 21081510","shortTitle":"iMAT","journalAbbreviation":"Bioinformatics","language":"eng","author":[{"family":"Zur","given":"Hadas"},{"family":"Ruppin","given":"Eytan"},{"family":"Shlomi","given":"Tomer"}],"issued":{"date-parts":[["2010",12,15]]}}}],"schema":"https://github.com/citation-style-language/schema/raw/master/csl-citation.json"} </w:instrText>
      </w:r>
      <w:r w:rsidR="00DC7D0E">
        <w:rPr>
          <w:rFonts w:ascii="Times New Roman" w:hAnsi="Times New Roman" w:cs="Times New Roman"/>
        </w:rPr>
        <w:fldChar w:fldCharType="separate"/>
      </w:r>
      <w:r w:rsidR="00DC06E0" w:rsidRPr="008D3F2C">
        <w:rPr>
          <w:rFonts w:ascii="Times New Roman" w:hAnsi="Times New Roman" w:cs="Times New Roman"/>
        </w:rPr>
        <w:t>(</w:t>
      </w:r>
      <w:proofErr w:type="spellStart"/>
      <w:r w:rsidR="00DC06E0" w:rsidRPr="008D3F2C">
        <w:rPr>
          <w:rFonts w:ascii="Times New Roman" w:hAnsi="Times New Roman" w:cs="Times New Roman"/>
        </w:rPr>
        <w:t>Zur</w:t>
      </w:r>
      <w:proofErr w:type="spellEnd"/>
      <w:r w:rsidR="00DC06E0" w:rsidRPr="008D3F2C">
        <w:rPr>
          <w:rFonts w:ascii="Times New Roman" w:hAnsi="Times New Roman" w:cs="Times New Roman"/>
        </w:rPr>
        <w:t xml:space="preserve"> </w:t>
      </w:r>
      <w:r w:rsidR="00DC06E0" w:rsidRPr="008D3F2C">
        <w:rPr>
          <w:rFonts w:ascii="Times New Roman" w:hAnsi="Times New Roman" w:cs="Times New Roman"/>
          <w:i/>
          <w:iCs/>
        </w:rPr>
        <w:t>et al.</w:t>
      </w:r>
      <w:r w:rsidR="00DC06E0" w:rsidRPr="008D3F2C">
        <w:rPr>
          <w:rFonts w:ascii="Times New Roman" w:hAnsi="Times New Roman" w:cs="Times New Roman"/>
        </w:rPr>
        <w:t>, 2010)</w:t>
      </w:r>
      <w:r w:rsidR="00DC7D0E">
        <w:rPr>
          <w:rFonts w:ascii="Times New Roman" w:hAnsi="Times New Roman" w:cs="Times New Roman"/>
        </w:rPr>
        <w:fldChar w:fldCharType="end"/>
      </w:r>
      <w:r w:rsidR="00DC06E0">
        <w:rPr>
          <w:rFonts w:ascii="Times New Roman" w:hAnsi="Times New Roman" w:cs="Times New Roman"/>
        </w:rPr>
        <w:t xml:space="preserve"> </w:t>
      </w:r>
      <w:r w:rsidR="00036C54" w:rsidRPr="001C5080">
        <w:rPr>
          <w:rFonts w:ascii="Times New Roman" w:hAnsi="Times New Roman" w:cs="Times New Roman"/>
        </w:rPr>
        <w:t>algorithm</w:t>
      </w:r>
      <w:r w:rsidR="00036C54">
        <w:rPr>
          <w:rFonts w:ascii="Times New Roman" w:hAnsi="Times New Roman" w:cs="Times New Roman"/>
        </w:rPr>
        <w:t>s</w:t>
      </w:r>
      <w:r w:rsidR="000447A7">
        <w:rPr>
          <w:rFonts w:ascii="Times New Roman" w:hAnsi="Times New Roman" w:cs="Times New Roman"/>
        </w:rPr>
        <w:t xml:space="preserve"> in </w:t>
      </w:r>
      <w:proofErr w:type="spellStart"/>
      <w:r w:rsidR="000447A7">
        <w:rPr>
          <w:rFonts w:ascii="Times New Roman" w:hAnsi="Times New Roman" w:cs="Times New Roman"/>
        </w:rPr>
        <w:t>Matlab</w:t>
      </w:r>
      <w:proofErr w:type="spellEnd"/>
      <w:r w:rsidR="000447A7">
        <w:rPr>
          <w:rFonts w:ascii="Times New Roman" w:hAnsi="Times New Roman" w:cs="Times New Roman"/>
        </w:rPr>
        <w:t xml:space="preserve"> (R2018a)</w:t>
      </w:r>
      <w:r w:rsidR="003C07A1" w:rsidRPr="001C5080">
        <w:rPr>
          <w:rFonts w:ascii="Times New Roman" w:hAnsi="Times New Roman" w:cs="Times New Roman"/>
        </w:rPr>
        <w:t>.</w:t>
      </w:r>
    </w:p>
    <w:p w14:paraId="79AE8CE4" w14:textId="77777777" w:rsidR="005C33AC" w:rsidRPr="001C5080" w:rsidRDefault="0042126F" w:rsidP="005C33AC">
      <w:pPr>
        <w:pStyle w:val="ListParagraph"/>
        <w:tabs>
          <w:tab w:val="left" w:pos="360"/>
        </w:tabs>
        <w:spacing w:line="480" w:lineRule="auto"/>
        <w:ind w:left="0"/>
        <w:contextualSpacing w:val="0"/>
        <w:rPr>
          <w:rFonts w:ascii="Times New Roman" w:hAnsi="Times New Roman" w:cs="Times New Roman"/>
          <w:b/>
        </w:rPr>
      </w:pPr>
      <w:r>
        <w:rPr>
          <w:rFonts w:ascii="Times New Roman" w:hAnsi="Times New Roman" w:cs="Times New Roman"/>
          <w:b/>
        </w:rPr>
        <w:t>3</w:t>
      </w:r>
      <w:r w:rsidR="005C33AC">
        <w:rPr>
          <w:rFonts w:ascii="Times New Roman" w:hAnsi="Times New Roman" w:cs="Times New Roman"/>
          <w:b/>
        </w:rPr>
        <w:t xml:space="preserve"> </w:t>
      </w:r>
      <w:r w:rsidR="005C33AC" w:rsidRPr="001C5080">
        <w:rPr>
          <w:rFonts w:ascii="Times New Roman" w:hAnsi="Times New Roman" w:cs="Times New Roman"/>
          <w:b/>
        </w:rPr>
        <w:t>RNA-</w:t>
      </w:r>
      <w:proofErr w:type="spellStart"/>
      <w:r w:rsidR="005C33AC" w:rsidRPr="001C5080">
        <w:rPr>
          <w:rFonts w:ascii="Times New Roman" w:hAnsi="Times New Roman" w:cs="Times New Roman"/>
          <w:b/>
        </w:rPr>
        <w:t>seq</w:t>
      </w:r>
      <w:proofErr w:type="spellEnd"/>
      <w:r w:rsidR="005C33AC" w:rsidRPr="001C5080">
        <w:rPr>
          <w:rFonts w:ascii="Times New Roman" w:hAnsi="Times New Roman" w:cs="Times New Roman"/>
          <w:b/>
        </w:rPr>
        <w:t xml:space="preserve"> data</w:t>
      </w:r>
      <w:r w:rsidR="00D23CE3">
        <w:rPr>
          <w:rFonts w:ascii="Times New Roman" w:hAnsi="Times New Roman" w:cs="Times New Roman"/>
          <w:b/>
        </w:rPr>
        <w:t xml:space="preserve"> analysis</w:t>
      </w:r>
    </w:p>
    <w:p w14:paraId="386001F0" w14:textId="67189BD4" w:rsidR="005C33AC" w:rsidRPr="001C5080" w:rsidRDefault="005C33AC" w:rsidP="005C33AC">
      <w:pPr>
        <w:spacing w:line="480" w:lineRule="auto"/>
        <w:jc w:val="both"/>
      </w:pPr>
      <w:r w:rsidRPr="001C5080">
        <w:t>RNA-</w:t>
      </w:r>
      <w:proofErr w:type="spellStart"/>
      <w:r w:rsidRPr="001C5080">
        <w:t>seq</w:t>
      </w:r>
      <w:proofErr w:type="spellEnd"/>
      <w:r w:rsidRPr="001C5080">
        <w:t xml:space="preserve"> reads were aligned </w:t>
      </w:r>
      <w:r w:rsidR="00D83E55">
        <w:t>on</w:t>
      </w:r>
      <w:r w:rsidR="00D83E55" w:rsidRPr="001C5080">
        <w:t xml:space="preserve"> </w:t>
      </w:r>
      <w:r w:rsidRPr="001C5080">
        <w:t xml:space="preserve">the </w:t>
      </w:r>
      <w:r w:rsidRPr="001C5080">
        <w:rPr>
          <w:i/>
        </w:rPr>
        <w:t xml:space="preserve">Y. </w:t>
      </w:r>
      <w:proofErr w:type="spellStart"/>
      <w:r w:rsidRPr="001C5080">
        <w:rPr>
          <w:i/>
        </w:rPr>
        <w:t>lipolytica</w:t>
      </w:r>
      <w:proofErr w:type="spellEnd"/>
      <w:r w:rsidRPr="001C5080">
        <w:t xml:space="preserve"> genome GCA_000002525.2_ASM252v1 </w:t>
      </w:r>
      <w:r w:rsidR="00250BC4">
        <w:t>or</w:t>
      </w:r>
      <w:r w:rsidR="00774866">
        <w:t xml:space="preserve"> the mouse</w:t>
      </w:r>
      <w:r w:rsidR="00250BC4">
        <w:t xml:space="preserve"> </w:t>
      </w:r>
      <w:r w:rsidR="0033494A">
        <w:t xml:space="preserve">genome </w:t>
      </w:r>
      <w:r w:rsidR="00844826" w:rsidRPr="00844826">
        <w:t>GCA_000001635.8</w:t>
      </w:r>
      <w:r w:rsidR="00844826">
        <w:t xml:space="preserve"> </w:t>
      </w:r>
      <w:r w:rsidRPr="001C5080">
        <w:t xml:space="preserve">using </w:t>
      </w:r>
      <w:r w:rsidRPr="001C5080">
        <w:rPr>
          <w:i/>
        </w:rPr>
        <w:t>tophat2</w:t>
      </w:r>
      <w:r w:rsidRPr="001C5080">
        <w:t xml:space="preserve"> (v2.0.13) </w:t>
      </w:r>
      <w:r w:rsidRPr="001C5080">
        <w:fldChar w:fldCharType="begin"/>
      </w:r>
      <w:r>
        <w:instrText xml:space="preserve"> ADDIN ZOTERO_ITEM CSL_CITATION {"citationID":"Eix3ERQM","properties":{"formattedCitation":"(Kim {\\i{}et al.}, 2013)","plainCitation":"(Kim et al., 2013)","noteIndex":0},"citationItems":[{"id":1229,"uris":["http://zotero.org/groups/496964/items/UUIBZ28S"],"uri":["http://zotero.org/groups/496964/items/UUIBZ28S"],"itemData":{"id":1229,"type":"article-journal","title":"TopHat2: accurate alignment of transcriptomes in the presence of insertions, deletions and gene fusions","container-title":"Genome Biology","page":"R36","volume":"14","source":"BioMed Central","abstract":"TopHat is a popular spliced aligner for RNA-sequence (RNA-seq) experiments. In this paper, we describe TopHat2, which incorporates many significant enhancements to TopHat. TopHat2 can align reads of various lengths produced by the latest sequencing technologies, while allowing for variable-length indels with respect to the reference genome. In addition to de novo spliced alignment, TopHat2 can align reads across fusion breaks, which can occur after genomic translocations. TopHat2 combines the ability to identify novel splice sites with direct mapping to known transcripts, producing sensitive and accurate alignments, even for highly repetitive genomes or in the presence of pseudogenes. TopHat2 is available at                   http://ccb.jhu.edu/software/tophat                                  .","DOI":"10.1186/gb-2013-14-4-r36","ISSN":"1474-760X","shortTitle":"TopHat2","journalAbbreviation":"Genome Biology","author":[{"family":"Kim","given":"Daehwan"},{"family":"Pertea","given":"Geo"},{"family":"Trapnell","given":"Cole"},{"family":"Pimentel","given":"Harold"},{"family":"Kelley","given":"Ryan"},{"family":"Salzberg","given":"Steven L."}],"issued":{"date-parts":[["2013"]]}}}],"schema":"https://github.com/citation-style-language/schema/raw/master/csl-citation.json"} </w:instrText>
      </w:r>
      <w:r w:rsidRPr="001C5080">
        <w:fldChar w:fldCharType="separate"/>
      </w:r>
      <w:r w:rsidRPr="00B84452">
        <w:t xml:space="preserve">(Kim </w:t>
      </w:r>
      <w:r w:rsidRPr="00B84452">
        <w:rPr>
          <w:i/>
          <w:iCs/>
        </w:rPr>
        <w:t>et al.</w:t>
      </w:r>
      <w:r w:rsidRPr="00B84452">
        <w:t>, 2013)</w:t>
      </w:r>
      <w:r w:rsidRPr="001C5080">
        <w:fldChar w:fldCharType="end"/>
      </w:r>
      <w:r w:rsidRPr="001C5080">
        <w:t xml:space="preserve">. The number of reads mapped onto </w:t>
      </w:r>
      <w:r w:rsidRPr="001C5080">
        <w:lastRenderedPageBreak/>
        <w:t xml:space="preserve">each gene locus was obtained with </w:t>
      </w:r>
      <w:proofErr w:type="spellStart"/>
      <w:r w:rsidRPr="001C5080">
        <w:rPr>
          <w:i/>
        </w:rPr>
        <w:t>HTSeq</w:t>
      </w:r>
      <w:proofErr w:type="spellEnd"/>
      <w:r w:rsidRPr="001C5080">
        <w:rPr>
          <w:i/>
        </w:rPr>
        <w:t>-count</w:t>
      </w:r>
      <w:r w:rsidRPr="001C5080">
        <w:t xml:space="preserve"> (v0.6.1) </w:t>
      </w:r>
      <w:r w:rsidRPr="001C5080">
        <w:fldChar w:fldCharType="begin"/>
      </w:r>
      <w:r>
        <w:instrText xml:space="preserve"> ADDIN ZOTERO_ITEM CSL_CITATION {"citationID":"1lgecrn2dt","properties":{"formattedCitation":"(Anders {\\i{}et al.}, 2015)","plainCitation":"(Anders et al., 2015)","noteIndex":0},"citationItems":[{"id":1233,"uris":["http://zotero.org/groups/496964/items/46FKEI5K"],"uri":["http://zotero.org/groups/496964/items/46FKEI5K"],"itemData":{"id":1233,"type":"article-journal","title":"HTSeq—a Python framework to work with high-throughput sequencing data","container-title":"Bioinformatics","page":"166-169","volume":"31","issue":"2","source":"academic.oup.com","DOI":"10.1093/bioinformatics/btu638","ISSN":"1367-4803","journalAbbreviation":"Bioinformatics","author":[{"family":"Anders","given":"Simon"},{"family":"Pyl","given":"Paul Theodor"},{"family":"Huber","given":"Wolfgang"}],"issued":{"date-parts":[["2015",1,15]]}}}],"schema":"https://github.com/citation-style-language/schema/raw/master/csl-citation.json"} </w:instrText>
      </w:r>
      <w:r w:rsidRPr="001C5080">
        <w:fldChar w:fldCharType="separate"/>
      </w:r>
      <w:r w:rsidRPr="00B84452">
        <w:t xml:space="preserve">(Anders </w:t>
      </w:r>
      <w:r w:rsidRPr="00B84452">
        <w:rPr>
          <w:i/>
          <w:iCs/>
        </w:rPr>
        <w:t>et al.</w:t>
      </w:r>
      <w:r w:rsidRPr="00B84452">
        <w:t>, 2015)</w:t>
      </w:r>
      <w:r w:rsidRPr="001C5080">
        <w:fldChar w:fldCharType="end"/>
      </w:r>
      <w:r w:rsidRPr="001C5080">
        <w:t>. The RNA-</w:t>
      </w:r>
      <w:proofErr w:type="spellStart"/>
      <w:r w:rsidRPr="001C5080">
        <w:t>seq</w:t>
      </w:r>
      <w:proofErr w:type="spellEnd"/>
      <w:r w:rsidRPr="001C5080">
        <w:t xml:space="preserve"> read counts </w:t>
      </w:r>
      <w:r w:rsidR="005B08E9">
        <w:t>were</w:t>
      </w:r>
      <w:r w:rsidRPr="001C5080">
        <w:t xml:space="preserve"> normalized using the TMM method from the </w:t>
      </w:r>
      <w:proofErr w:type="spellStart"/>
      <w:r w:rsidR="00B840F6" w:rsidRPr="001C5080">
        <w:rPr>
          <w:i/>
        </w:rPr>
        <w:t>edgeR</w:t>
      </w:r>
      <w:proofErr w:type="spellEnd"/>
      <w:r w:rsidR="00B840F6" w:rsidRPr="001C5080">
        <w:t xml:space="preserve"> </w:t>
      </w:r>
      <w:r w:rsidRPr="001C5080">
        <w:t xml:space="preserve">R package (v3.12.1) </w:t>
      </w:r>
      <w:r w:rsidRPr="001C5080">
        <w:fldChar w:fldCharType="begin"/>
      </w:r>
      <w:r>
        <w:instrText xml:space="preserve"> ADDIN ZOTERO_ITEM CSL_CITATION {"citationID":"33bp3etac","properties":{"formattedCitation":"(Robinson and Oshlack, 2010)","plainCitation":"(Robinson and Oshlack, 2010)","noteIndex":0},"citationItems":[{"id":1280,"uris":["http://zotero.org/groups/496964/items/9DZ3JSJQ"],"uri":["http://zotero.org/groups/496964/items/9DZ3JSJQ"],"itemData":{"id":1280,"type":"article-journal","title":"A scaling normalization method for differential expression analysis of RNA-seq data","container-title":"Genome Biology","page":"R25","volume":"11","issue":"3","source":"www.genomebiology.com","abstract":"PMID: 20196867","DOI":"10.1186/gb-2010-11-3-r25","ISSN":"1465-6906","note":"PMID: 20196867","language":"en","author":[{"family":"Robinson","given":"Mark D."},{"family":"Oshlack","given":"Alicia"}],"issued":{"date-parts":[["2010",3,2]]}}}],"schema":"https://github.com/citation-style-language/schema/raw/master/csl-citation.json"} </w:instrText>
      </w:r>
      <w:r w:rsidRPr="001C5080">
        <w:fldChar w:fldCharType="separate"/>
      </w:r>
      <w:r w:rsidRPr="001C5080">
        <w:t>(Robinson and Oshlack, 2010)</w:t>
      </w:r>
      <w:r w:rsidRPr="001C5080">
        <w:fldChar w:fldCharType="end"/>
      </w:r>
      <w:r w:rsidRPr="001C5080">
        <w:t>, and subsequently transformed to log</w:t>
      </w:r>
      <w:r w:rsidRPr="001C5080">
        <w:rPr>
          <w:vertAlign w:val="subscript"/>
        </w:rPr>
        <w:t>2</w:t>
      </w:r>
      <w:r w:rsidRPr="001C5080">
        <w:t xml:space="preserve">-counts with </w:t>
      </w:r>
      <w:proofErr w:type="spellStart"/>
      <w:r w:rsidRPr="001C5080">
        <w:rPr>
          <w:i/>
        </w:rPr>
        <w:t>voom</w:t>
      </w:r>
      <w:proofErr w:type="spellEnd"/>
      <w:r w:rsidRPr="001C5080">
        <w:t xml:space="preserve"> transformation </w:t>
      </w:r>
      <w:r w:rsidRPr="001C5080">
        <w:fldChar w:fldCharType="begin"/>
      </w:r>
      <w:r>
        <w:instrText xml:space="preserve"> ADDIN ZOTERO_ITEM CSL_CITATION {"citationID":"j0puuovvi","properties":{"formattedCitation":"(Law {\\i{}et al.}, 2014)","plainCitation":"(Law et al., 2014)","noteIndex":0},"citationItems":[{"id":1236,"uris":["http://zotero.org/groups/496964/items/PDPCECVP"],"uri":["http://zotero.org/groups/496964/items/PDPCECVP"],"itemData":{"id":1236,"type":"article-journal","title":"voom: precision weights unlock linear model analysis tools for RNA-seq read counts","container-title":"Genome Biology","page":"R29","volume":"15","source":"BioMed Central","abstract":"New normal linear modeling strategies are presented for analyzing read counts from RNA-seq experiments. The voom method estimates the mean-variance relationship of the log-counts, generates a precision weight for each observation and enters these into the limma empirical Bayes analysis pipeline. This opens access for RNA-seq analysts to a large body of methodology developed for microarrays. Simulation studies show that voom performs as well or better than count-based RNA-seq methods even when the data are generated according to the assumptions of the earlier methods. Two case studies illustrate the use of linear modeling and gene set testing methods.","DOI":"10.1186/gb-2014-15-2-r29","ISSN":"1474-760X","shortTitle":"voom","journalAbbreviation":"Genome Biology","author":[{"family":"Law","given":"Charity W."},{"family":"Chen","given":"Yunshun"},{"family":"Shi","given":"Wei"},{"family":"Smyth","given":"Gordon K."}],"issued":{"date-parts":[["2014"]]}}}],"schema":"https://github.com/citation-style-language/schema/raw/master/csl-citation.json"} </w:instrText>
      </w:r>
      <w:r w:rsidRPr="001C5080">
        <w:fldChar w:fldCharType="separate"/>
      </w:r>
      <w:r w:rsidRPr="00B84452">
        <w:t xml:space="preserve">(Law </w:t>
      </w:r>
      <w:r w:rsidRPr="00B84452">
        <w:rPr>
          <w:i/>
          <w:iCs/>
        </w:rPr>
        <w:t>et al.</w:t>
      </w:r>
      <w:r w:rsidRPr="00B84452">
        <w:t>, 2014)</w:t>
      </w:r>
      <w:r w:rsidRPr="001C5080">
        <w:fldChar w:fldCharType="end"/>
      </w:r>
      <w:r w:rsidRPr="001C5080">
        <w:t xml:space="preserve">. </w:t>
      </w:r>
      <w:r w:rsidR="00A627B9">
        <w:t>Then</w:t>
      </w:r>
      <w:r w:rsidR="007E2F9D">
        <w:t>, t</w:t>
      </w:r>
      <w:r w:rsidRPr="001C5080">
        <w:t>he average log</w:t>
      </w:r>
      <w:r w:rsidRPr="001C5080">
        <w:rPr>
          <w:vertAlign w:val="subscript"/>
        </w:rPr>
        <w:t>2</w:t>
      </w:r>
      <w:r w:rsidRPr="001C5080">
        <w:t xml:space="preserve">-counts in each condition was computed and referred to as </w:t>
      </w:r>
      <w:r w:rsidRPr="001C5080">
        <w:rPr>
          <w:b/>
        </w:rPr>
        <w:t>expr</w:t>
      </w:r>
      <w:r w:rsidRPr="001C5080">
        <w:t xml:space="preserve"> in our analysis. RPKM expression</w:t>
      </w:r>
      <w:r w:rsidR="00DA1F60">
        <w:t xml:space="preserve"> </w:t>
      </w:r>
      <w:proofErr w:type="spellStart"/>
      <w:r w:rsidR="00DA1F60">
        <w:t>pkmExpr</w:t>
      </w:r>
      <w:proofErr w:type="spellEnd"/>
      <w:r w:rsidRPr="001C5080">
        <w:t xml:space="preserve"> denoted normalized expression by gene length and library size and was computed as number of reads per kilobase per million mapped reads.</w:t>
      </w:r>
    </w:p>
    <w:p w14:paraId="56371872" w14:textId="15CD1693" w:rsidR="005C33AC" w:rsidRPr="001C5080" w:rsidRDefault="00BA5126" w:rsidP="00D83E55">
      <w:pPr>
        <w:spacing w:line="480" w:lineRule="auto"/>
        <w:ind w:firstLine="360"/>
        <w:jc w:val="both"/>
      </w:pPr>
      <w:r>
        <w:t xml:space="preserve">To determine differentially expressed genes, </w:t>
      </w:r>
      <w:r w:rsidR="005C33AC" w:rsidRPr="001C5080">
        <w:t xml:space="preserve">we built a linear model with one factor per condition on the transformed data, and performed differential analysis via moderated </w:t>
      </w:r>
      <w:r w:rsidR="005C33AC" w:rsidRPr="001C5080">
        <w:rPr>
          <w:i/>
        </w:rPr>
        <w:t>t</w:t>
      </w:r>
      <w:r w:rsidR="005C33AC" w:rsidRPr="001C5080">
        <w:t xml:space="preserve">-statistics on 21 pair-wise contrasts between the seven conditions studied in Maguire </w:t>
      </w:r>
      <w:r w:rsidR="005C33AC" w:rsidRPr="001C5080">
        <w:rPr>
          <w:i/>
        </w:rPr>
        <w:t>et al</w:t>
      </w:r>
      <w:r w:rsidR="001F2E90">
        <w:rPr>
          <w:i/>
        </w:rPr>
        <w:t xml:space="preserve">. </w:t>
      </w:r>
      <w:r w:rsidR="001F2E90">
        <w:rPr>
          <w:i/>
        </w:rPr>
        <w:fldChar w:fldCharType="begin"/>
      </w:r>
      <w:r w:rsidR="001F2E90">
        <w:rPr>
          <w:i/>
        </w:rPr>
        <w:instrText xml:space="preserve"> ADDIN ZOTERO_ITEM CSL_CITATION {"citationID":"7tlzKqT7","properties":{"formattedCitation":"(Maguire {\\i{}et al.}, 2014)","plainCitation":"(Maguire et al., 2014)","noteIndex":0},"citationItems":[{"id":1212,"uris":["http://zotero.org/groups/496964/items/A7AADQFU"],"uri":["http://zotero.org/groups/496964/items/A7AADQFU"],"itemData":{"id":1212,"type":"article-journal","title":"Zinc finger transcription factors displaced SREBP proteins as the major Sterol regulators during Saccharomycotina evolution","container-title":"PLoS genetics","page":"e1004076","volume":"10","issue":"1","source":"PubMed","abstract":"In most eukaryotes, including the majority of fungi, expression of sterol biosynthesis genes is regulated by Sterol-Regulatory Element Binding Proteins (SREBPs), which are basic helix-loop-helix transcription activators. However, in yeasts such as Saccharomyces cerevisiae and Candida albicans sterol synthesis is instead regulated by Upc2, an unrelated transcription factor with a Gal4-type zinc finger. The SREBPs in S. cerevisiae (Hms1) and C. albicans (Cph2) have lost a domain, are not major regulators of sterol synthesis, and instead regulate filamentous growth. We report here that rewiring of the sterol regulon, with Upc2 taking over from SREBP, likely occurred in the common ancestor of all Saccharomycotina. Yarrowia lipolytica, a deep-branching species, is the only genome known to contain intact and full-length orthologs of both SREBP (Sre1) and Upc2. Deleting YlUPC2, but not YlSRE1, confers susceptibility to azole drugs. Sterol levels are significantly reduced in the YlUPC2 deletion. RNA-seq analysis shows that hypoxic regulation of sterol synthesis genes in Y. lipolytica is predominantly mediated by Upc2. However, YlSre1 still retains a role in hypoxic regulation; growth of Y. lipolytica in hypoxic conditions is reduced in a Ylupc2 deletion and is abolished in a Ylsre1/Ylupc2 double deletion, and YlSre1 regulates sterol gene expression during hypoxia adaptation. We show that YlSRE1, and to a lesser extent YlUPC2, are required for switching from yeast to filamentous growth in hypoxia. Sre1 appears to have an ancestral role in the regulation of filamentation, which became decoupled from its role in sterol gene regulation by the arrival of Upc2 in the Saccharomycotina.","DOI":"10.1371/journal.pgen.1004076","ISSN":"1553-7404","note":"PMID: 24453983\nPMCID: PMC3894159","journalAbbreviation":"PLoS Genet.","language":"ENG","author":[{"family":"Maguire","given":"Sarah L."},{"family":"Wang","given":"Can"},{"family":"Holland","given":"Linda M."},{"family":"Brunel","given":"François"},{"family":"Neuvéglise","given":"Cécile"},{"family":"Nicaud","given":"Jean-Marc"},{"family":"Zavrel","given":"Martin"},{"family":"White","given":"Theodore C."},{"family":"Wolfe","given":"Kenneth H."},{"family":"Butler","given":"Geraldine"}],"issued":{"date-parts":[["2014",1]]}}}],"schema":"https://github.com/citation-style-language/schema/raw/master/csl-citation.json"} </w:instrText>
      </w:r>
      <w:r w:rsidR="001F2E90">
        <w:rPr>
          <w:i/>
        </w:rPr>
        <w:fldChar w:fldCharType="separate"/>
      </w:r>
      <w:r w:rsidR="001F2E90" w:rsidRPr="001F2E90">
        <w:t>(2014)</w:t>
      </w:r>
      <w:r w:rsidR="001F2E90">
        <w:rPr>
          <w:i/>
        </w:rPr>
        <w:fldChar w:fldCharType="end"/>
      </w:r>
      <w:r w:rsidR="00AB2D09">
        <w:t xml:space="preserve">, as well as </w:t>
      </w:r>
      <w:r w:rsidR="00B840F6">
        <w:t>one</w:t>
      </w:r>
      <w:r w:rsidR="00AB2D09">
        <w:t xml:space="preserve"> contrast between the two conditions in Hill </w:t>
      </w:r>
      <w:r w:rsidR="00AB2D09" w:rsidRPr="00D83E55">
        <w:rPr>
          <w:i/>
        </w:rPr>
        <w:t>et al</w:t>
      </w:r>
      <w:r w:rsidR="00762605">
        <w:t xml:space="preserve">. </w:t>
      </w:r>
      <w:r w:rsidR="00762605">
        <w:fldChar w:fldCharType="begin"/>
      </w:r>
      <w:r w:rsidR="00762605">
        <w:instrText xml:space="preserve"> ADDIN ZOTERO_ITEM CSL_CITATION {"citationID":"RohGer5j","properties":{"formattedCitation":"(Hill {\\i{}et al.}, 2018)","plainCitation":"(Hill et al., 2018)","noteIndex":0},"citationItems":[{"id":1555,"uris":["http://zotero.org/groups/496964/items/4HEHKLGY"],"uri":["http://zotero.org/groups/496964/items/4HEHKLGY"],"itemData":{"id":1555,"type":"article-journal","title":"Distinct macrophage populations direct inflammatory versus physiological changes in adipose tissue","container-title":"Proceedings of the National Academy of Sciences of the United States of America","page":"E5096-E5105","volume":"115","issue":"22","source":"PubMed","abstract":"Obesity is characterized by an accumulation of macrophages in adipose, some of which form distinct crown-like structures (CLS) around fat cells. While multiple discrete adipose tissue macrophage (ATM) subsets are thought to exist, their respective effects on adipose tissue, and the transcriptional mechanisms that underlie the functional differences between ATM subsets, are not well understood. We report that obese fat tissue of mice and humans contain multiple distinct populations of ATMs with unique tissue distributions, transcriptomes, chromatin landscapes, and functions. Mouse Ly6c ATMs reside outside of CLS and are adipogenic, while CD9 ATMs reside within CLS, are lipid-laden, and are proinflammatory. Adoptive transfer of Ly6c ATMs into lean mice activates gene programs typical of normal adipocyte physiology. By contrast, adoptive transfer of CD9 ATMs drives gene expression that is characteristic of obesity. Importantly, human adipose tissue contains similar ATM populations, including lipid-laden CD9 ATMs that increase with body mass. These results provide a higher resolution of the cellular and functional heterogeneity within ATMs and provide a framework within which to develop new immune-directed therapies for the treatment of obesity and related sequela.","DOI":"10.1073/pnas.1802611115","ISSN":"1091-6490","note":"PMID: 29760084\nPMCID: PMC5984532","journalAbbreviation":"Proc. Natl. Acad. Sci. U.S.A.","language":"eng","author":[{"family":"Hill","given":"David A."},{"family":"Lim","given":"Hee-Woong"},{"family":"Kim","given":"Yong Hoon"},{"family":"Ho","given":"Wesley Y."},{"family":"Foong","given":"Yee Hoon"},{"family":"Nelson","given":"Victoria L."},{"family":"Nguyen","given":"Hoang C. B."},{"family":"Chegireddy","given":"Kavya"},{"family":"Kim","given":"Jihoon"},{"family":"Habertheuer","given":"Andreas"},{"family":"Vallabhajosyula","given":"Prashanth"},{"family":"Kambayashi","given":"Taku"},{"family":"Won","given":"Kyoung-Jae"},{"family":"Lazar","given":"Mitchell A."}],"issued":{"date-parts":[["2018",5,29]]}}}],"schema":"https://github.com/citation-style-language/schema/raw/master/csl-citation.json"} </w:instrText>
      </w:r>
      <w:r w:rsidR="00762605">
        <w:fldChar w:fldCharType="separate"/>
      </w:r>
      <w:r w:rsidR="00762605" w:rsidRPr="00762605">
        <w:t>(2018)</w:t>
      </w:r>
      <w:r w:rsidR="00762605">
        <w:fldChar w:fldCharType="end"/>
      </w:r>
      <w:r w:rsidR="002D5F37">
        <w:t xml:space="preserve"> </w:t>
      </w:r>
      <w:r w:rsidR="002D5F37" w:rsidRPr="001C5080">
        <w:t xml:space="preserve">with the </w:t>
      </w:r>
      <w:proofErr w:type="spellStart"/>
      <w:r w:rsidR="002D5F37" w:rsidRPr="001C5080">
        <w:rPr>
          <w:i/>
        </w:rPr>
        <w:t>limma</w:t>
      </w:r>
      <w:proofErr w:type="spellEnd"/>
      <w:r w:rsidR="002D5F37" w:rsidRPr="001C5080">
        <w:t xml:space="preserve"> R package (v3.30.13) </w:t>
      </w:r>
      <w:r w:rsidR="002D5F37" w:rsidRPr="001C5080">
        <w:fldChar w:fldCharType="begin"/>
      </w:r>
      <w:r w:rsidR="002D5F37">
        <w:instrText xml:space="preserve"> ADDIN ZOTERO_ITEM CSL_CITATION {"citationID":"7OiyhBCc","properties":{"formattedCitation":"(Smyth, 2005)","plainCitation":"(Smyth, 2005)","noteIndex":0},"citationItems":[{"id":1368,"uris":["http://zotero.org/groups/496964/items/D89U9T5G"],"uri":["http://zotero.org/groups/496964/items/D89U9T5G"],"itemData":{"id":1368,"type":"chapter","title":"limma: Linear Models for Microarray Data","container-title":"Bioinformatics and Computational Biology Solutions Using R and Bioconductor","collection-title":"Statistics for Biology and Health","publisher":"Springer, New York, NY","page":"397-420","source":"link.springer.com","abstract":"A survey is given of differential expression analyses using the linear modeling features of the limma package. The chapter starts with the simplest replicated designs and progresses through experiments with two or more groups, direct designs, factorial designs and time course experiments. Experiments with technical as well as biological replication are considered. Empirical Bayes test statistics are explained. The use of quality weights, adaptive background correction and control spots in conjunction with linear modelling is illustrated on the β7 data.","ISBN":"978-0-387-25146-2","note":"DOI: 10.1007/0-387-29362-0_23","shortTitle":"limma","language":"en","author":[{"family":"Smyth","given":"G. K."}],"issued":{"date-parts":[["2005"]]},"accessed":{"date-parts":[["2017",10,6]]}}}],"schema":"https://github.com/citation-style-language/schema/raw/master/csl-citation.json"} </w:instrText>
      </w:r>
      <w:r w:rsidR="002D5F37" w:rsidRPr="001C5080">
        <w:fldChar w:fldCharType="separate"/>
      </w:r>
      <w:r w:rsidR="002D5F37" w:rsidRPr="001C5080">
        <w:t>(Smyth, 2005)</w:t>
      </w:r>
      <w:r w:rsidR="002D5F37" w:rsidRPr="001C5080">
        <w:fldChar w:fldCharType="end"/>
      </w:r>
      <w:r w:rsidR="002D5F37" w:rsidRPr="001C5080">
        <w:t>,</w:t>
      </w:r>
      <w:r w:rsidR="00762605">
        <w:t>.</w:t>
      </w:r>
      <w:r w:rsidR="005A1B76">
        <w:t xml:space="preserve"> </w:t>
      </w:r>
      <w:r w:rsidR="00F972D7">
        <w:t xml:space="preserve">Cut-offs of fold-change = 2 and FDR = 0.05 </w:t>
      </w:r>
      <w:r w:rsidR="00BA60BD">
        <w:t>were used to determine differentially expressed genes</w:t>
      </w:r>
      <w:r w:rsidR="005A1B76" w:rsidRPr="001C5080">
        <w:t>.</w:t>
      </w:r>
    </w:p>
    <w:p w14:paraId="1AB1B977" w14:textId="77777777" w:rsidR="00AB5FAD" w:rsidRPr="001C5080" w:rsidRDefault="00074102" w:rsidP="00944F96">
      <w:pPr>
        <w:pStyle w:val="ListParagraph"/>
        <w:tabs>
          <w:tab w:val="left" w:pos="0"/>
          <w:tab w:val="left" w:pos="360"/>
        </w:tabs>
        <w:spacing w:line="480" w:lineRule="auto"/>
        <w:ind w:left="0"/>
        <w:contextualSpacing w:val="0"/>
        <w:rPr>
          <w:rFonts w:ascii="Times New Roman" w:hAnsi="Times New Roman" w:cs="Times New Roman"/>
          <w:b/>
        </w:rPr>
      </w:pPr>
      <w:r>
        <w:rPr>
          <w:rFonts w:ascii="Times New Roman" w:hAnsi="Times New Roman" w:cs="Times New Roman"/>
          <w:b/>
        </w:rPr>
        <w:t>4</w:t>
      </w:r>
      <w:r w:rsidR="00446792">
        <w:rPr>
          <w:rFonts w:ascii="Times New Roman" w:hAnsi="Times New Roman" w:cs="Times New Roman"/>
          <w:b/>
        </w:rPr>
        <w:t xml:space="preserve"> </w:t>
      </w:r>
      <w:r w:rsidR="00AB5FAD" w:rsidRPr="001C5080">
        <w:rPr>
          <w:rFonts w:ascii="Times New Roman" w:hAnsi="Times New Roman" w:cs="Times New Roman"/>
          <w:b/>
        </w:rPr>
        <w:t>GO annotation</w:t>
      </w:r>
    </w:p>
    <w:p w14:paraId="2F24BADC" w14:textId="6DCE75AB" w:rsidR="00DA185B" w:rsidRDefault="00AB5FAD" w:rsidP="00D83E55">
      <w:pPr>
        <w:spacing w:line="480" w:lineRule="auto"/>
        <w:jc w:val="both"/>
      </w:pPr>
      <w:r w:rsidRPr="001C5080">
        <w:t>The GO annotation</w:t>
      </w:r>
      <w:r w:rsidR="00B52A20">
        <w:t>s</w:t>
      </w:r>
      <w:r w:rsidRPr="001C5080">
        <w:t xml:space="preserve"> of </w:t>
      </w:r>
      <w:r w:rsidRPr="001C5080">
        <w:rPr>
          <w:i/>
        </w:rPr>
        <w:t xml:space="preserve">Y. </w:t>
      </w:r>
      <w:proofErr w:type="spellStart"/>
      <w:r w:rsidRPr="001C5080">
        <w:rPr>
          <w:i/>
        </w:rPr>
        <w:t>lipolytica</w:t>
      </w:r>
      <w:proofErr w:type="spellEnd"/>
      <w:r w:rsidRPr="001C5080">
        <w:t xml:space="preserve"> </w:t>
      </w:r>
      <w:r w:rsidR="00305A32">
        <w:t>consisting</w:t>
      </w:r>
      <w:r w:rsidRPr="001C5080">
        <w:t xml:space="preserve"> of 4629 GO terms and 4747 annotated genes (out of 6453) w</w:t>
      </w:r>
      <w:r w:rsidR="009170CE">
        <w:t>ere</w:t>
      </w:r>
      <w:r w:rsidRPr="001C5080">
        <w:t xml:space="preserve"> retrieved from </w:t>
      </w:r>
      <w:proofErr w:type="spellStart"/>
      <w:r w:rsidRPr="001C5080">
        <w:t>UniProt</w:t>
      </w:r>
      <w:proofErr w:type="spellEnd"/>
      <w:r w:rsidRPr="001C5080">
        <w:t xml:space="preserve"> </w:t>
      </w:r>
      <w:r w:rsidRPr="001C5080">
        <w:fldChar w:fldCharType="begin"/>
      </w:r>
      <w:r w:rsidR="00B84452">
        <w:instrText xml:space="preserve"> ADDIN ZOTERO_ITEM CSL_CITATION {"citationID":"g3iqk17jr","properties":{"formattedCitation":"(UniProt Consortium, 2015)","plainCitation":"(UniProt Consortium, 2015)","noteIndex":0},"citationItems":[{"id":1278,"uris":["http://zotero.org/groups/496964/items/IH5E2RUE"],"uri":["http://zotero.org/groups/496964/items/IH5E2RUE"],"itemData":{"id":1278,"type":"article-journal","title":"UniProt: a hub for protein information","container-title":"Nucleic Acids Research","page":"D204-212","volume":"43","issue":"Database issue","source":"PubMed","abstract":"UniProt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http://www.uniprot.org/.","DOI":"10.1093/nar/gku989","ISSN":"1362-4962","note":"PMID: 25348405\nPMCID: PMC4384041","shortTitle":"UniProt","journalAbbreviation":"Nucleic Acids Res.","language":"eng","author":[{"literal":"UniProt Consortium"}],"issued":{"date-parts":[["2015",1]]}}}],"schema":"https://github.com/citation-style-language/schema/raw/master/csl-citation.json"} </w:instrText>
      </w:r>
      <w:r w:rsidRPr="001C5080">
        <w:fldChar w:fldCharType="separate"/>
      </w:r>
      <w:r w:rsidRPr="001C5080">
        <w:t>(</w:t>
      </w:r>
      <w:proofErr w:type="spellStart"/>
      <w:r w:rsidRPr="001C5080">
        <w:t>UniProt</w:t>
      </w:r>
      <w:proofErr w:type="spellEnd"/>
      <w:r w:rsidRPr="001C5080">
        <w:t xml:space="preserve"> Consortium, 2015)</w:t>
      </w:r>
      <w:r w:rsidRPr="001C5080">
        <w:fldChar w:fldCharType="end"/>
      </w:r>
      <w:r w:rsidRPr="001C5080">
        <w:t xml:space="preserve">. An initial enrichment was performed via topGO with </w:t>
      </w:r>
      <w:r w:rsidRPr="001C5080">
        <w:rPr>
          <w:i/>
        </w:rPr>
        <w:t>weight01</w:t>
      </w:r>
      <w:r w:rsidRPr="001C5080">
        <w:t xml:space="preserve"> algorithm and </w:t>
      </w:r>
      <w:r w:rsidRPr="001C5080">
        <w:rPr>
          <w:i/>
        </w:rPr>
        <w:t>fisher</w:t>
      </w:r>
      <w:r w:rsidRPr="001C5080">
        <w:t xml:space="preserve"> statistic on the set of genes </w:t>
      </w:r>
      <w:r w:rsidR="00B52A20">
        <w:t>in</w:t>
      </w:r>
      <w:r w:rsidR="00B52A20" w:rsidRPr="001C5080">
        <w:t xml:space="preserve"> </w:t>
      </w:r>
      <w:r w:rsidRPr="001C5080">
        <w:t xml:space="preserve">the model iMK735 </w:t>
      </w:r>
      <w:r w:rsidRPr="001C5080">
        <w:rPr>
          <w:i/>
        </w:rPr>
        <w:t>versus</w:t>
      </w:r>
      <w:r w:rsidRPr="001C5080">
        <w:t xml:space="preserve"> the complete genome (gene universe). This yielded 135 GO terms (denoted </w:t>
      </w:r>
      <w:r w:rsidRPr="001C5080">
        <w:rPr>
          <w:i/>
        </w:rPr>
        <w:t xml:space="preserve">GO135 </w:t>
      </w:r>
      <w:r w:rsidRPr="001C5080">
        <w:t>and listed in Table S1)</w:t>
      </w:r>
      <w:r w:rsidR="00D01C3A">
        <w:t xml:space="preserve"> in the</w:t>
      </w:r>
      <w:r w:rsidRPr="001C5080">
        <w:t xml:space="preserve"> biological process category</w:t>
      </w:r>
      <w:r w:rsidR="00D01C3A">
        <w:t xml:space="preserve">, which </w:t>
      </w:r>
      <w:r w:rsidRPr="001C5080">
        <w:t>were associated with at least 3 and at most 50 genes in the iMK735 model</w:t>
      </w:r>
      <w:r w:rsidR="00D01C3A">
        <w:t xml:space="preserve"> and </w:t>
      </w:r>
      <w:r w:rsidRPr="001C5080">
        <w:t xml:space="preserve">enriched with </w:t>
      </w:r>
      <w:r w:rsidRPr="001C5080">
        <w:rPr>
          <w:i/>
        </w:rPr>
        <w:t>p</w:t>
      </w:r>
      <w:r w:rsidRPr="001C5080">
        <w:t>-value &lt; 0.1</w:t>
      </w:r>
      <w:r w:rsidR="00D01C3A">
        <w:t>. This</w:t>
      </w:r>
      <w:r w:rsidR="002F74EF">
        <w:t xml:space="preserve"> subset of GO terms</w:t>
      </w:r>
      <w:r w:rsidR="00D01C3A">
        <w:t xml:space="preserve"> </w:t>
      </w:r>
      <w:r w:rsidR="002F74EF">
        <w:t xml:space="preserve">helped </w:t>
      </w:r>
      <w:r w:rsidR="00D01C3A">
        <w:t xml:space="preserve">to reduce the computing time while </w:t>
      </w:r>
      <w:r w:rsidR="00B52A20">
        <w:t>p</w:t>
      </w:r>
      <w:r w:rsidR="00D01C3A">
        <w:t xml:space="preserve">reserving most </w:t>
      </w:r>
      <w:r w:rsidR="00D01C3A" w:rsidRPr="001C5080">
        <w:t>relevant information documented by iMK735</w:t>
      </w:r>
      <w:r w:rsidR="00D01C3A">
        <w:t xml:space="preserve">. </w:t>
      </w:r>
      <w:r w:rsidRPr="001C5080">
        <w:t xml:space="preserve">The comparison of our algorithm, topGO, GSEA, and Maguire </w:t>
      </w:r>
      <w:r w:rsidRPr="001C5080">
        <w:rPr>
          <w:i/>
        </w:rPr>
        <w:t>et al</w:t>
      </w:r>
      <w:r w:rsidRPr="001C5080">
        <w:t>.</w:t>
      </w:r>
      <w:r w:rsidR="005939A2">
        <w:t xml:space="preserve"> </w:t>
      </w:r>
      <w:r w:rsidR="005939A2">
        <w:fldChar w:fldCharType="begin"/>
      </w:r>
      <w:r w:rsidR="005939A2">
        <w:instrText xml:space="preserve"> ADDIN ZOTERO_ITEM CSL_CITATION {"citationID":"lCKcw6XW","properties":{"formattedCitation":"(Maguire {\\i{}et al.}, 2014)","plainCitation":"(Maguire et al., 2014)","noteIndex":0},"citationItems":[{"id":1212,"uris":["http://zotero.org/groups/496964/items/A7AADQFU"],"uri":["http://zotero.org/groups/496964/items/A7AADQFU"],"itemData":{"id":1212,"type":"article-journal","title":"Zinc finger transcription factors displaced SREBP proteins as the major Sterol regulators during Saccharomycotina evolution","container-title":"PLoS genetics","page":"e1004076","volume":"10","issue":"1","source":"PubMed","abstract":"In most eukaryotes, including the majority of fungi, expression of sterol biosynthesis genes is regulated by Sterol-Regulatory Element Binding Proteins (SREBPs), which are basic helix-loop-helix transcription activators. However, in yeasts such as Saccharomyces cerevisiae and Candida albicans sterol synthesis is instead regulated by Upc2, an unrelated transcription factor with a Gal4-type zinc finger. The SREBPs in S. cerevisiae (Hms1) and C. albicans (Cph2) have lost a domain, are not major regulators of sterol synthesis, and instead regulate filamentous growth. We report here that rewiring of the sterol regulon, with Upc2 taking over from SREBP, likely occurred in the common ancestor of all Saccharomycotina. Yarrowia lipolytica, a deep-branching species, is the only genome known to contain intact and full-length orthologs of both SREBP (Sre1) and Upc2. Deleting YlUPC2, but not YlSRE1, confers susceptibility to azole drugs. Sterol levels are significantly reduced in the YlUPC2 deletion. RNA-seq analysis shows that hypoxic regulation of sterol synthesis genes in Y. lipolytica is predominantly mediated by Upc2. However, YlSre1 still retains a role in hypoxic regulation; growth of Y. lipolytica in hypoxic conditions is reduced in a Ylupc2 deletion and is abolished in a Ylsre1/Ylupc2 double deletion, and YlSre1 regulates sterol gene expression during hypoxia adaptation. We show that YlSRE1, and to a lesser extent YlUPC2, are required for switching from yeast to filamentous growth in hypoxia. Sre1 appears to have an ancestral role in the regulation of filamentation, which became decoupled from its role in sterol gene regulation by the arrival of Upc2 in the Saccharomycotina.","DOI":"10.1371/journal.pgen.1004076","ISSN":"1553-7404","note":"PMID: 24453983\nPMCID: PMC3894159","journalAbbreviation":"PLoS Genet.","language":"ENG","author":[{"family":"Maguire","given":"Sarah L."},{"family":"Wang","given":"Can"},{"family":"Holland","given":"Linda M."},{"family":"Brunel","given":"François"},{"family":"Neuvéglise","given":"Cécile"},{"family":"Nicaud","given":"Jean-Marc"},{"family":"Zavrel","given":"Martin"},{"family":"White","given":"Theodore C."},{"family":"Wolfe","given":"Kenneth H."},{"family":"Butler","given":"Geraldine"}],"issued":{"date-parts":[["2014",1]]}}}],"schema":"https://github.com/citation-style-language/schema/raw/master/csl-citation.json"} </w:instrText>
      </w:r>
      <w:r w:rsidR="005939A2">
        <w:fldChar w:fldCharType="separate"/>
      </w:r>
      <w:r w:rsidR="005939A2">
        <w:t>(</w:t>
      </w:r>
      <w:r w:rsidR="005939A2" w:rsidRPr="005939A2">
        <w:t>2014)</w:t>
      </w:r>
      <w:r w:rsidR="005939A2">
        <w:fldChar w:fldCharType="end"/>
      </w:r>
      <w:r w:rsidRPr="001C5080">
        <w:t xml:space="preserve"> was performed on </w:t>
      </w:r>
      <w:r w:rsidR="00F625F2" w:rsidRPr="00D83E55">
        <w:t>GO135</w:t>
      </w:r>
      <w:r w:rsidR="00D01C3A">
        <w:t xml:space="preserve">. </w:t>
      </w:r>
      <w:r w:rsidR="003D5169" w:rsidRPr="001C5080">
        <w:t xml:space="preserve">topGO (v2.24.0) was performed with </w:t>
      </w:r>
      <w:r w:rsidR="003D5169" w:rsidRPr="001C5080">
        <w:rPr>
          <w:i/>
        </w:rPr>
        <w:t>weight01</w:t>
      </w:r>
      <w:r w:rsidR="003D5169" w:rsidRPr="001C5080">
        <w:t xml:space="preserve"> algorithm </w:t>
      </w:r>
      <w:r w:rsidR="003D5169">
        <w:t>and</w:t>
      </w:r>
      <w:r w:rsidR="003D5169" w:rsidRPr="001C5080">
        <w:t xml:space="preserve"> </w:t>
      </w:r>
      <w:r w:rsidR="003D5169" w:rsidRPr="001C5080">
        <w:rPr>
          <w:i/>
        </w:rPr>
        <w:t>fisher</w:t>
      </w:r>
      <w:r w:rsidR="003D5169" w:rsidRPr="001C5080">
        <w:t xml:space="preserve"> statistic </w:t>
      </w:r>
      <w:r w:rsidR="003D5169" w:rsidRPr="001C5080">
        <w:fldChar w:fldCharType="begin"/>
      </w:r>
      <w:r w:rsidR="003D5169">
        <w:instrText xml:space="preserve"> ADDIN ZOTERO_ITEM CSL_CITATION {"citationID":"ak91chq98","properties":{"formattedCitation":"(Alexa and Rahnenf\\uc0\\u252{}hrer, 2016)","plainCitation":"(Alexa and Rahnenführer, 2016)","noteIndex":0},"citationItems":[{"id":1247,"uris":["http://zotero.org/groups/496964/items/9EQ4Z88R"],"uri":["http://zotero.org/groups/496964/items/9EQ4Z88R"],"itemData":{"id":1247,"type":"book","title":"topGO: Enrichment Analysis for Gene Ontology. R package version 2.24.0.","URL":"https://doi.org/doi:10.18129/B9.bioc.topGO","author":[{"family":"Alexa","given":"Adrian"},{"family":"Rahnenführer","given":"Jörg"}],"issued":{"date-parts":[["2016"]]}}}],"schema":"https://github.com/citation-style-language/schema/raw/master/csl-citation.json"} </w:instrText>
      </w:r>
      <w:r w:rsidR="003D5169" w:rsidRPr="001C5080">
        <w:fldChar w:fldCharType="separate"/>
      </w:r>
      <w:r w:rsidR="003D5169" w:rsidRPr="00B84452">
        <w:t>(Alexa and Rahnenführer, 2016)</w:t>
      </w:r>
      <w:r w:rsidR="003D5169" w:rsidRPr="001C5080">
        <w:fldChar w:fldCharType="end"/>
      </w:r>
      <w:r w:rsidR="003D5169" w:rsidRPr="001C5080">
        <w:t xml:space="preserve"> using the GO</w:t>
      </w:r>
      <w:r w:rsidR="00CA701D">
        <w:t xml:space="preserve"> annotation and gene universe of the whole genome</w:t>
      </w:r>
      <w:r w:rsidR="003D5169" w:rsidRPr="001C5080">
        <w:t xml:space="preserve">. Twenty-one sets of differentially expressed genes in 21 pair-wise contrasts </w:t>
      </w:r>
      <w:r w:rsidR="00B840F6">
        <w:t xml:space="preserve">in Maguire </w:t>
      </w:r>
      <w:r w:rsidR="00B840F6" w:rsidRPr="00D83E55">
        <w:rPr>
          <w:i/>
        </w:rPr>
        <w:t>et al</w:t>
      </w:r>
      <w:r w:rsidR="00E25CEF">
        <w:t>.</w:t>
      </w:r>
      <w:r w:rsidR="002A6FB6">
        <w:t xml:space="preserve"> </w:t>
      </w:r>
      <w:r w:rsidR="002A6FB6">
        <w:fldChar w:fldCharType="begin"/>
      </w:r>
      <w:r w:rsidR="002A6FB6">
        <w:instrText xml:space="preserve"> ADDIN ZOTERO_ITEM CSL_CITATION {"citationID":"OnR0NVT7","properties":{"formattedCitation":"(Maguire {\\i{}et al.}, 2014)","plainCitation":"(Maguire et al., 2014)","noteIndex":0},"citationItems":[{"id":1212,"uris":["http://zotero.org/groups/496964/items/A7AADQFU"],"uri":["http://zotero.org/groups/496964/items/A7AADQFU"],"itemData":{"id":1212,"type":"article-journal","title":"Zinc finger transcription factors displaced SREBP proteins as the major Sterol regulators during Saccharomycotina evolution","container-title":"PLoS genetics","page":"e1004076","volume":"10","issue":"1","source":"PubMed","abstract":"In most eukaryotes, including the majority of fungi, expression of sterol biosynthesis genes is regulated by Sterol-Regulatory Element Binding Proteins (SREBPs), which are basic helix-loop-helix transcription activators. However, in yeasts such as Saccharomyces cerevisiae and Candida albicans sterol synthesis is instead regulated by Upc2, an unrelated transcription factor with a Gal4-type zinc finger. The SREBPs in S. cerevisiae (Hms1) and C. albicans (Cph2) have lost a domain, are not major regulators of sterol synthesis, and instead regulate filamentous growth. We report here that rewiring of the sterol regulon, with Upc2 taking over from SREBP, likely occurred in the common ancestor of all Saccharomycotina. Yarrowia lipolytica, a deep-branching species, is the only genome known to contain intact and full-length orthologs of both SREBP (Sre1) and Upc2. Deleting YlUPC2, but not YlSRE1, confers susceptibility to azole drugs. Sterol levels are significantly reduced in the YlUPC2 deletion. RNA-seq analysis shows that hypoxic regulation of sterol synthesis genes in Y. lipolytica is predominantly mediated by Upc2. However, YlSre1 still retains a role in hypoxic regulation; growth of Y. lipolytica in hypoxic conditions is reduced in a Ylupc2 deletion and is abolished in a Ylsre1/Ylupc2 double deletion, and YlSre1 regulates sterol gene expression during hypoxia adaptation. We show that YlSRE1, and to a lesser extent YlUPC2, are required for switching from yeast to filamentous growth in hypoxia. Sre1 appears to have an ancestral role in the regulation of filamentation, which became decoupled from its role in sterol gene regulation by the arrival of Upc2 in the Saccharomycotina.","DOI":"10.1371/journal.pgen.1004076","ISSN":"1553-7404","note":"PMID: 24453983\nPMCID: PMC3894159","journalAbbreviation":"PLoS Genet.","language":"ENG","author":[{"family":"Maguire","given":"Sarah L."},{"family":"Wang","given":"Can"},{"family":"Holland","given":"Linda M."},{"family":"Brunel","given":"François"},{"family":"Neuvéglise","given":"Cécile"},{"family":"Nicaud","given":"Jean-Marc"},{"family":"Zavrel","given":"Martin"},{"family":"White","given":"Theodore C."},{"family":"Wolfe","given":"Kenneth H."},{"family":"Butler","given":"Geraldine"}],"issued":{"date-parts":[["2014",1]]}}}],"schema":"https://github.com/citation-style-language/schema/raw/master/csl-citation.json"} </w:instrText>
      </w:r>
      <w:r w:rsidR="002A6FB6">
        <w:fldChar w:fldCharType="separate"/>
      </w:r>
      <w:r w:rsidR="002A6FB6" w:rsidRPr="002A6FB6">
        <w:t>(2014)</w:t>
      </w:r>
      <w:r w:rsidR="002A6FB6">
        <w:fldChar w:fldCharType="end"/>
      </w:r>
      <w:r w:rsidR="00B840F6">
        <w:t xml:space="preserve"> </w:t>
      </w:r>
      <w:r w:rsidR="003D5169" w:rsidRPr="001C5080">
        <w:t xml:space="preserve">as mentioned above were studied. Gene set enrichment analysis was performed </w:t>
      </w:r>
      <w:r w:rsidR="003D5169" w:rsidRPr="001C5080">
        <w:lastRenderedPageBreak/>
        <w:t xml:space="preserve">with the GSEA software (v2.2.3) </w:t>
      </w:r>
      <w:r w:rsidR="003D5169" w:rsidRPr="001C5080">
        <w:fldChar w:fldCharType="begin"/>
      </w:r>
      <w:r w:rsidR="003D5169">
        <w:instrText xml:space="preserve"> ADDIN ZOTERO_ITEM CSL_CITATION {"citationID":"14kt85ll3d","properties":{"formattedCitation":"(Subramanian {\\i{}et al.}, 2005)","plainCitation":"(Subramanian et al., 2005)","noteIndex":0},"citationItems":[{"id":1257,"uris":["http://zotero.org/groups/496964/items/7FG8E2TF"],"uri":["http://zotero.org/groups/496964/items/7FG8E2TF"],"itemData":{"id":1257,"type":"article-journal","title":"Gene set enrichment analysis: a knowledge-based approach for interpreting genome-wide expression profiles","container-title":"Proceedings of the National Academy of Sciences of the United States of America","page":"15545-15550","volume":"102","issue":"43","source":"PubMed","abstract":"Although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sets.","DOI":"10.1073/pnas.0506580102","ISSN":"0027-8424","note":"PMID: 16199517\nPMCID: PMC1239896","shortTitle":"Gene set enrichment analysis","journalAbbreviation":"Proc. Natl. Acad. Sci. U.S.A.","language":"eng","author":[{"family":"Subramanian","given":"Aravind"},{"family":"Tamayo","given":"Pablo"},{"family":"Mootha","given":"Vamsi K."},{"family":"Mukherjee","given":"Sayan"},{"family":"Ebert","given":"Benjamin L."},{"family":"Gillette","given":"Michael A."},{"family":"Paulovich","given":"Amanda"},{"family":"Pomeroy","given":"Scott L."},{"family":"Golub","given":"Todd R."},{"family":"Lander","given":"Eric S."},{"family":"Mesirov","given":"Jill P."}],"issued":{"date-parts":[["2005",10,25]]}}}],"schema":"https://github.com/citation-style-language/schema/raw/master/csl-citation.json"} </w:instrText>
      </w:r>
      <w:r w:rsidR="003D5169" w:rsidRPr="001C5080">
        <w:fldChar w:fldCharType="separate"/>
      </w:r>
      <w:r w:rsidR="003D5169" w:rsidRPr="00B84452">
        <w:t xml:space="preserve">(Subramanian </w:t>
      </w:r>
      <w:r w:rsidR="003D5169" w:rsidRPr="00B84452">
        <w:rPr>
          <w:i/>
          <w:iCs/>
        </w:rPr>
        <w:t>et al.</w:t>
      </w:r>
      <w:r w:rsidR="003D5169" w:rsidRPr="00B84452">
        <w:t>, 2005)</w:t>
      </w:r>
      <w:r w:rsidR="003D5169" w:rsidRPr="001C5080">
        <w:fldChar w:fldCharType="end"/>
      </w:r>
      <w:r w:rsidR="003D5169" w:rsidRPr="001C5080">
        <w:t xml:space="preserve"> using the </w:t>
      </w:r>
      <w:r w:rsidR="00756B2F">
        <w:t xml:space="preserve">same </w:t>
      </w:r>
      <w:r w:rsidR="003D5169" w:rsidRPr="001C5080">
        <w:t>GO annotation and gene universe. The gene set of iMK735 with its RNA-</w:t>
      </w:r>
      <w:proofErr w:type="spellStart"/>
      <w:r w:rsidR="003D5169" w:rsidRPr="001C5080">
        <w:t>seq</w:t>
      </w:r>
      <w:proofErr w:type="spellEnd"/>
      <w:r w:rsidR="003D5169" w:rsidRPr="001C5080">
        <w:t xml:space="preserve"> transformed count data was provided as input, and all the 21 pair-wise contrasts were studied. </w:t>
      </w:r>
      <w:r w:rsidR="003D5169" w:rsidRPr="001C5080">
        <w:rPr>
          <w:i/>
        </w:rPr>
        <w:t>P</w:t>
      </w:r>
      <w:r w:rsidR="003D5169" w:rsidRPr="001C5080">
        <w:t xml:space="preserve">-values obtained with </w:t>
      </w:r>
      <w:proofErr w:type="spellStart"/>
      <w:r w:rsidR="003D5169" w:rsidRPr="001C5080">
        <w:t>metaboGSE</w:t>
      </w:r>
      <w:proofErr w:type="spellEnd"/>
      <w:r w:rsidR="003D5169" w:rsidRPr="001C5080">
        <w:t>, topGO</w:t>
      </w:r>
      <w:r w:rsidR="003D5169">
        <w:t>,</w:t>
      </w:r>
      <w:r w:rsidR="003D5169" w:rsidRPr="001C5080">
        <w:t xml:space="preserve"> and GSEA were adjusted using </w:t>
      </w:r>
      <w:proofErr w:type="spellStart"/>
      <w:r w:rsidR="003D5169" w:rsidRPr="001C5080">
        <w:t>Benjamini</w:t>
      </w:r>
      <w:proofErr w:type="spellEnd"/>
      <w:r w:rsidR="003D5169" w:rsidRPr="001C5080">
        <w:t xml:space="preserve">-Hochberg correction (FDR) </w:t>
      </w:r>
      <w:r w:rsidR="003D5169" w:rsidRPr="001C5080">
        <w:fldChar w:fldCharType="begin"/>
      </w:r>
      <w:r w:rsidR="003D5169">
        <w:instrText xml:space="preserve"> ADDIN ZOTERO_ITEM CSL_CITATION {"citationID":"1i50o3o3kk","properties":{"formattedCitation":"(Benjamini and Hochberg, 1995)","plainCitation":"(Benjamini and Hochberg, 1995)","noteIndex":0},"citationItems":[{"id":1264,"uris":["http://zotero.org/groups/496964/items/C2E3CBPA"],"uri":["http://zotero.org/groups/496964/items/C2E3CBPA"],"itemData":{"id":1264,"type":"article-journal","title":"Controlling the False Discovery Rate: A Practical and Powerful Approach to Multiple Testing","container-title":"Journal of the Royal Statistical Society. Series B (Methodological)","page":"289-300","volume":"57","issue":"1","source":"JSTOR","abstract":"The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examples.","ISSN":"0035-9246","shortTitle":"Controlling the False Discovery Rate","author":[{"family":"Benjamini","given":"Yoav"},{"family":"Hochberg","given":"Yosef"}],"issued":{"date-parts":[["1995"]]}}}],"schema":"https://github.com/citation-style-language/schema/raw/master/csl-citation.json"} </w:instrText>
      </w:r>
      <w:r w:rsidR="003D5169" w:rsidRPr="001C5080">
        <w:fldChar w:fldCharType="separate"/>
      </w:r>
      <w:r w:rsidR="003D5169" w:rsidRPr="001C5080">
        <w:t>(</w:t>
      </w:r>
      <w:proofErr w:type="spellStart"/>
      <w:r w:rsidR="003D5169" w:rsidRPr="001C5080">
        <w:t>Benjamini</w:t>
      </w:r>
      <w:proofErr w:type="spellEnd"/>
      <w:r w:rsidR="003D5169" w:rsidRPr="001C5080">
        <w:t xml:space="preserve"> and Hochberg, 1995)</w:t>
      </w:r>
      <w:r w:rsidR="003D5169" w:rsidRPr="001C5080">
        <w:fldChar w:fldCharType="end"/>
      </w:r>
      <w:r w:rsidR="0068319E">
        <w:t>.</w:t>
      </w:r>
    </w:p>
    <w:p w14:paraId="2F215F57" w14:textId="380B5FEB" w:rsidR="00AB5FAD" w:rsidRPr="00B626B5" w:rsidRDefault="00774866" w:rsidP="00D83E55">
      <w:pPr>
        <w:spacing w:line="480" w:lineRule="auto"/>
        <w:ind w:firstLine="360"/>
        <w:jc w:val="both"/>
      </w:pPr>
      <w:r>
        <w:t>The mouse GO annotation</w:t>
      </w:r>
      <w:r w:rsidR="00DA185B">
        <w:t xml:space="preserve"> consisting of </w:t>
      </w:r>
      <w:r w:rsidR="00DA185B" w:rsidRPr="00224EE8">
        <w:t>16429</w:t>
      </w:r>
      <w:r w:rsidR="00DA185B">
        <w:t xml:space="preserve"> GO terms and </w:t>
      </w:r>
      <w:r w:rsidR="00DA185B" w:rsidRPr="00224EE8">
        <w:t>23905</w:t>
      </w:r>
      <w:r w:rsidR="00DA185B">
        <w:t xml:space="preserve"> annotated genes was retrieved via the </w:t>
      </w:r>
      <w:proofErr w:type="spellStart"/>
      <w:r w:rsidR="00DA185B" w:rsidRPr="00F71021">
        <w:rPr>
          <w:i/>
        </w:rPr>
        <w:t>org.Mm.eg.db</w:t>
      </w:r>
      <w:proofErr w:type="spellEnd"/>
      <w:r w:rsidR="00DA185B">
        <w:t xml:space="preserve"> R package (v3.6.0) </w:t>
      </w:r>
      <w:r w:rsidR="00DA185B">
        <w:rPr>
          <w:rFonts w:asciiTheme="minorHAnsi" w:hAnsiTheme="minorHAnsi" w:cstheme="minorBidi"/>
        </w:rPr>
        <w:fldChar w:fldCharType="begin"/>
      </w:r>
      <w:r w:rsidR="00DA185B">
        <w:instrText xml:space="preserve"> ADDIN ZOTERO_ITEM CSL_CITATION {"citationID":"tYA37JET","properties":{"formattedCitation":"(Carlson, 2018)","plainCitation":"(Carlson, 2018)","noteIndex":0},"citationItems":[{"id":1561,"uris":["http://zotero.org/groups/496964/items/K2DW292N"],"uri":["http://zotero.org/groups/496964/items/K2DW292N"],"itemData":{"id":1561,"type":"book","title":"org.Mm.eg.db: Genome wide annotation for Mouse. R package version 3.6.0.","URL":"https://bioconductor.org/packages/org.Mm.eg.db/","author":[{"family":"Carlson","given":"Marc"}],"issued":{"date-parts":[["2018"]]}}}],"schema":"https://github.com/citation-style-language/schema/raw/master/csl-citation.json"} </w:instrText>
      </w:r>
      <w:r w:rsidR="00DA185B">
        <w:rPr>
          <w:rFonts w:asciiTheme="minorHAnsi" w:hAnsiTheme="minorHAnsi" w:cstheme="minorBidi"/>
        </w:rPr>
        <w:fldChar w:fldCharType="separate"/>
      </w:r>
      <w:r w:rsidR="00DA185B">
        <w:rPr>
          <w:noProof/>
        </w:rPr>
        <w:t>(Carlson, 2018)</w:t>
      </w:r>
      <w:r w:rsidR="00DA185B">
        <w:rPr>
          <w:rFonts w:asciiTheme="minorHAnsi" w:hAnsiTheme="minorHAnsi" w:cstheme="minorBidi"/>
        </w:rPr>
        <w:fldChar w:fldCharType="end"/>
      </w:r>
      <w:r w:rsidR="00DA185B">
        <w:t xml:space="preserve">. </w:t>
      </w:r>
      <w:r w:rsidR="00DA185B" w:rsidRPr="001C5080">
        <w:t xml:space="preserve">An initial enrichment was performed via topGO on the set of genes from the model </w:t>
      </w:r>
      <w:r w:rsidR="00DA185B">
        <w:t>iMM1415</w:t>
      </w:r>
      <w:r w:rsidR="00DA185B" w:rsidRPr="001C5080">
        <w:t xml:space="preserve"> </w:t>
      </w:r>
      <w:r w:rsidR="00DA185B" w:rsidRPr="001C5080">
        <w:rPr>
          <w:i/>
        </w:rPr>
        <w:t>versus</w:t>
      </w:r>
      <w:r w:rsidR="00DA185B" w:rsidRPr="001C5080">
        <w:t xml:space="preserve"> the complete genome (gene universe)</w:t>
      </w:r>
      <w:r w:rsidR="00DA185B">
        <w:t xml:space="preserve"> to obtain all iMM1415-related GO terms. The latter was further filtered to those related to inflammatory response, cholesterol and lipid biosynthesis, </w:t>
      </w:r>
      <w:r w:rsidR="0005627E">
        <w:t>as suggested b</w:t>
      </w:r>
      <w:r w:rsidR="00771773">
        <w:t xml:space="preserve">y Hill </w:t>
      </w:r>
      <w:r w:rsidR="00771773" w:rsidRPr="00D83E55">
        <w:rPr>
          <w:rFonts w:asciiTheme="minorHAnsi" w:hAnsiTheme="minorHAnsi" w:cstheme="minorBidi"/>
          <w:i/>
        </w:rPr>
        <w:t>et al</w:t>
      </w:r>
      <w:r w:rsidR="00771773">
        <w:rPr>
          <w:i/>
        </w:rPr>
        <w:t>.</w:t>
      </w:r>
      <w:r w:rsidR="00771773">
        <w:t xml:space="preserve"> (2</w:t>
      </w:r>
      <w:r w:rsidR="0005627E">
        <w:t xml:space="preserve">018) </w:t>
      </w:r>
      <w:r w:rsidR="0005627E" w:rsidRPr="00B626B5">
        <w:t xml:space="preserve">and </w:t>
      </w:r>
      <w:r w:rsidR="00DA185B" w:rsidRPr="00B626B5">
        <w:t>result</w:t>
      </w:r>
      <w:r w:rsidR="00B52A20" w:rsidRPr="00B626B5">
        <w:t>ed</w:t>
      </w:r>
      <w:r w:rsidR="00DA185B" w:rsidRPr="00B626B5">
        <w:t xml:space="preserve"> in 24 GO terms (denoted </w:t>
      </w:r>
      <w:r w:rsidR="00DA185B" w:rsidRPr="00B626B5">
        <w:rPr>
          <w:i/>
        </w:rPr>
        <w:t>GO24</w:t>
      </w:r>
      <w:r w:rsidR="00DA185B" w:rsidRPr="00B626B5">
        <w:t xml:space="preserve"> and listed in Figure</w:t>
      </w:r>
      <w:r w:rsidR="001158E6" w:rsidRPr="00B626B5">
        <w:t xml:space="preserve"> S4</w:t>
      </w:r>
      <w:r w:rsidR="00DA185B" w:rsidRPr="00B626B5">
        <w:t>)</w:t>
      </w:r>
      <w:r w:rsidR="0054144E" w:rsidRPr="00B626B5">
        <w:t>.</w:t>
      </w:r>
      <w:r w:rsidR="00780E74" w:rsidRPr="00B626B5">
        <w:t xml:space="preserve"> </w:t>
      </w:r>
      <w:r w:rsidR="006F7055" w:rsidRPr="00B626B5">
        <w:t>The comparison</w:t>
      </w:r>
      <w:r w:rsidR="00B52A20" w:rsidRPr="00B626B5">
        <w:t>s</w:t>
      </w:r>
      <w:r w:rsidR="006F7055" w:rsidRPr="00B626B5">
        <w:t xml:space="preserve"> of </w:t>
      </w:r>
      <w:proofErr w:type="spellStart"/>
      <w:r w:rsidR="006F7055" w:rsidRPr="00B626B5">
        <w:t>metaboGSE</w:t>
      </w:r>
      <w:proofErr w:type="spellEnd"/>
      <w:r w:rsidR="006F7055" w:rsidRPr="00B626B5">
        <w:t>, topGO</w:t>
      </w:r>
      <w:r w:rsidR="00E9574A" w:rsidRPr="00B626B5">
        <w:t xml:space="preserve"> with both </w:t>
      </w:r>
      <w:r w:rsidR="00E9574A" w:rsidRPr="00B626B5">
        <w:rPr>
          <w:i/>
        </w:rPr>
        <w:t>classic</w:t>
      </w:r>
      <w:r w:rsidR="00E9574A" w:rsidRPr="00B626B5">
        <w:t xml:space="preserve"> and </w:t>
      </w:r>
      <w:r w:rsidR="00E9574A" w:rsidRPr="00B626B5">
        <w:rPr>
          <w:i/>
        </w:rPr>
        <w:t>weight01</w:t>
      </w:r>
      <w:r w:rsidR="00E9574A" w:rsidRPr="00B626B5">
        <w:t xml:space="preserve"> algorithms</w:t>
      </w:r>
      <w:r w:rsidR="006F7055" w:rsidRPr="00B626B5">
        <w:t xml:space="preserve">, and GSEA </w:t>
      </w:r>
      <w:r w:rsidR="00B52A20" w:rsidRPr="00B626B5">
        <w:t xml:space="preserve">were </w:t>
      </w:r>
      <w:r w:rsidR="006F7055" w:rsidRPr="00B626B5">
        <w:t>perf</w:t>
      </w:r>
      <w:r w:rsidR="0054144E" w:rsidRPr="00B626B5">
        <w:t>ormed on these GO terms</w:t>
      </w:r>
      <w:r w:rsidR="00780E74" w:rsidRPr="00B626B5">
        <w:t xml:space="preserve"> for the unique contrast between</w:t>
      </w:r>
      <w:r w:rsidR="00781D44">
        <w:t xml:space="preserve"> PBS and Ly6c</w:t>
      </w:r>
      <w:r w:rsidR="00780E74" w:rsidRPr="00B626B5">
        <w:t xml:space="preserve"> RNA-</w:t>
      </w:r>
      <w:proofErr w:type="spellStart"/>
      <w:r w:rsidR="00780E74" w:rsidRPr="00B626B5">
        <w:t>seq</w:t>
      </w:r>
      <w:proofErr w:type="spellEnd"/>
      <w:r w:rsidR="00780E74" w:rsidRPr="00B626B5">
        <w:t xml:space="preserve"> </w:t>
      </w:r>
      <w:r w:rsidR="00490010" w:rsidRPr="00B626B5">
        <w:t xml:space="preserve">conditions from Hill </w:t>
      </w:r>
      <w:r w:rsidR="00490010" w:rsidRPr="00B626B5">
        <w:rPr>
          <w:i/>
        </w:rPr>
        <w:t>et al</w:t>
      </w:r>
      <w:r w:rsidR="00490010" w:rsidRPr="00B626B5">
        <w:t>.</w:t>
      </w:r>
      <w:r w:rsidR="007E384E" w:rsidRPr="00B626B5">
        <w:t xml:space="preserve"> </w:t>
      </w:r>
      <w:r w:rsidR="007E384E" w:rsidRPr="00B626B5">
        <w:fldChar w:fldCharType="begin"/>
      </w:r>
      <w:r w:rsidR="007E384E" w:rsidRPr="00B626B5">
        <w:instrText xml:space="preserve"> ADDIN ZOTERO_ITEM CSL_CITATION {"citationID":"iln2gdlU","properties":{"formattedCitation":"(Hill {\\i{}et al.}, 2018)","plainCitation":"(Hill et al., 2018)","noteIndex":0},"citationItems":[{"id":1555,"uris":["http://zotero.org/groups/496964/items/4HEHKLGY"],"uri":["http://zotero.org/groups/496964/items/4HEHKLGY"],"itemData":{"id":1555,"type":"article-journal","title":"Distinct macrophage populations direct inflammatory versus physiological changes in adipose tissue","container-title":"Proceedings of the National Academy of Sciences of the United States of America","page":"E5096-E5105","volume":"115","issue":"22","source":"PubMed","abstract":"Obesity is characterized by an accumulation of macrophages in adipose, some of which form distinct crown-like structures (CLS) around fat cells. While multiple discrete adipose tissue macrophage (ATM) subsets are thought to exist, their respective effects on adipose tissue, and the transcriptional mechanisms that underlie the functional differences between ATM subsets, are not well understood. We report that obese fat tissue of mice and humans contain multiple distinct populations of ATMs with unique tissue distributions, transcriptomes, chromatin landscapes, and functions. Mouse Ly6c ATMs reside outside of CLS and are adipogenic, while CD9 ATMs reside within CLS, are lipid-laden, and are proinflammatory. Adoptive transfer of Ly6c ATMs into lean mice activates gene programs typical of normal adipocyte physiology. By contrast, adoptive transfer of CD9 ATMs drives gene expression that is characteristic of obesity. Importantly, human adipose tissue contains similar ATM populations, including lipid-laden CD9 ATMs that increase with body mass. These results provide a higher resolution of the cellular and functional heterogeneity within ATMs and provide a framework within which to develop new immune-directed therapies for the treatment of obesity and related sequela.","DOI":"10.1073/pnas.1802611115","ISSN":"1091-6490","note":"PMID: 29760084\nPMCID: PMC5984532","journalAbbreviation":"Proc. Natl. Acad. Sci. U.S.A.","language":"eng","author":[{"family":"Hill","given":"David A."},{"family":"Lim","given":"Hee-Woong"},{"family":"Kim","given":"Yong Hoon"},{"family":"Ho","given":"Wesley Y."},{"family":"Foong","given":"Yee Hoon"},{"family":"Nelson","given":"Victoria L."},{"family":"Nguyen","given":"Hoang C. B."},{"family":"Chegireddy","given":"Kavya"},{"family":"Kim","given":"Jihoon"},{"family":"Habertheuer","given":"Andreas"},{"family":"Vallabhajosyula","given":"Prashanth"},{"family":"Kambayashi","given":"Taku"},{"family":"Won","given":"Kyoung-Jae"},{"family":"Lazar","given":"Mitchell A."}],"issued":{"date-parts":[["2018",5,29]]}}}],"schema":"https://github.com/citation-style-language/schema/raw/master/csl-citation.json"} </w:instrText>
      </w:r>
      <w:r w:rsidR="007E384E" w:rsidRPr="00B626B5">
        <w:fldChar w:fldCharType="separate"/>
      </w:r>
      <w:r w:rsidR="007E384E" w:rsidRPr="00B626B5">
        <w:t>(2018)</w:t>
      </w:r>
      <w:r w:rsidR="007E384E" w:rsidRPr="00B626B5">
        <w:fldChar w:fldCharType="end"/>
      </w:r>
      <w:r w:rsidR="007E384E" w:rsidRPr="00B626B5">
        <w:t>.</w:t>
      </w:r>
    </w:p>
    <w:p w14:paraId="2E536925" w14:textId="77777777" w:rsidR="00E262D8" w:rsidRPr="00D83E55" w:rsidRDefault="00074102" w:rsidP="00D83E55">
      <w:pPr>
        <w:pStyle w:val="ListParagraph"/>
        <w:tabs>
          <w:tab w:val="left" w:pos="360"/>
        </w:tabs>
        <w:spacing w:line="480" w:lineRule="auto"/>
        <w:ind w:left="0"/>
        <w:rPr>
          <w:rFonts w:ascii="Times New Roman" w:hAnsi="Times New Roman" w:cs="Times New Roman"/>
          <w:b/>
        </w:rPr>
      </w:pPr>
      <w:r>
        <w:rPr>
          <w:rFonts w:ascii="Times New Roman" w:hAnsi="Times New Roman" w:cs="Times New Roman"/>
          <w:b/>
        </w:rPr>
        <w:t>5</w:t>
      </w:r>
      <w:r w:rsidR="00E262D8">
        <w:rPr>
          <w:rFonts w:ascii="Times New Roman" w:hAnsi="Times New Roman" w:cs="Times New Roman"/>
          <w:b/>
        </w:rPr>
        <w:t xml:space="preserve"> Randomization </w:t>
      </w:r>
      <w:r w:rsidR="00911755">
        <w:rPr>
          <w:rFonts w:ascii="Times New Roman" w:hAnsi="Times New Roman" w:cs="Times New Roman"/>
          <w:b/>
        </w:rPr>
        <w:t>test</w:t>
      </w:r>
      <w:r w:rsidR="00E262D8">
        <w:rPr>
          <w:rFonts w:ascii="Times New Roman" w:hAnsi="Times New Roman" w:cs="Times New Roman"/>
          <w:b/>
        </w:rPr>
        <w:t xml:space="preserve"> for </w:t>
      </w:r>
      <w:r w:rsidR="009C775B">
        <w:rPr>
          <w:rFonts w:ascii="Times New Roman" w:hAnsi="Times New Roman" w:cs="Times New Roman"/>
          <w:b/>
        </w:rPr>
        <w:t>an</w:t>
      </w:r>
      <w:r w:rsidR="00E262D8">
        <w:rPr>
          <w:rFonts w:ascii="Times New Roman" w:hAnsi="Times New Roman" w:cs="Times New Roman"/>
          <w:b/>
        </w:rPr>
        <w:t xml:space="preserve"> individual condition</w:t>
      </w:r>
    </w:p>
    <w:p w14:paraId="50F5706E" w14:textId="35D93F5D" w:rsidR="00074102" w:rsidRPr="004B5E00" w:rsidRDefault="00813E2C" w:rsidP="00D83E55">
      <w:pPr>
        <w:pStyle w:val="ListParagraph"/>
        <w:spacing w:line="480" w:lineRule="auto"/>
        <w:ind w:left="0"/>
        <w:contextualSpacing w:val="0"/>
        <w:jc w:val="both"/>
        <w:rPr>
          <w:rFonts w:ascii="Times New Roman" w:hAnsi="Times New Roman" w:cs="Times New Roman"/>
        </w:rPr>
      </w:pPr>
      <w:r>
        <w:rPr>
          <w:rFonts w:ascii="Times New Roman" w:hAnsi="Times New Roman" w:cs="Times New Roman"/>
        </w:rPr>
        <w:t xml:space="preserve">In addition to the test for </w:t>
      </w:r>
      <w:r w:rsidRPr="00813E2C">
        <w:rPr>
          <w:rFonts w:ascii="Times New Roman" w:hAnsi="Times New Roman" w:cs="Times New Roman"/>
        </w:rPr>
        <w:t xml:space="preserve">significance of discrepancy of </w:t>
      </w:r>
      <w:r>
        <w:rPr>
          <w:rFonts w:ascii="Times New Roman" w:hAnsi="Times New Roman" w:cs="Times New Roman"/>
        </w:rPr>
        <w:t>a</w:t>
      </w:r>
      <w:r w:rsidRPr="00813E2C">
        <w:rPr>
          <w:rFonts w:ascii="Times New Roman" w:hAnsi="Times New Roman" w:cs="Times New Roman"/>
        </w:rPr>
        <w:t xml:space="preserve"> given gen set </w:t>
      </w:r>
      <w:r>
        <w:rPr>
          <w:rFonts w:ascii="Times New Roman" w:hAnsi="Times New Roman" w:cs="Times New Roman"/>
        </w:rPr>
        <w:t>between</w:t>
      </w:r>
      <w:r w:rsidRPr="00813E2C">
        <w:rPr>
          <w:rFonts w:ascii="Times New Roman" w:hAnsi="Times New Roman" w:cs="Times New Roman"/>
        </w:rPr>
        <w:t xml:space="preserve"> conditions</w:t>
      </w:r>
      <w:r>
        <w:rPr>
          <w:rFonts w:ascii="Times New Roman" w:hAnsi="Times New Roman" w:cs="Times New Roman"/>
        </w:rPr>
        <w:t xml:space="preserve">, </w:t>
      </w:r>
      <w:proofErr w:type="spellStart"/>
      <w:r w:rsidR="00DE48DA">
        <w:rPr>
          <w:rFonts w:ascii="Times New Roman" w:hAnsi="Times New Roman" w:cs="Times New Roman"/>
        </w:rPr>
        <w:t>m</w:t>
      </w:r>
      <w:r w:rsidR="00E262D8" w:rsidRPr="004B5E00">
        <w:rPr>
          <w:rFonts w:ascii="Times New Roman" w:hAnsi="Times New Roman" w:cs="Times New Roman"/>
        </w:rPr>
        <w:t>etaboGSE</w:t>
      </w:r>
      <w:proofErr w:type="spellEnd"/>
      <w:r w:rsidR="0071720C" w:rsidRPr="004B5E00">
        <w:rPr>
          <w:rFonts w:ascii="Times New Roman" w:hAnsi="Times New Roman" w:cs="Times New Roman"/>
        </w:rPr>
        <w:t xml:space="preserve"> also</w:t>
      </w:r>
      <w:r w:rsidR="00E262D8" w:rsidRPr="004B5E00">
        <w:rPr>
          <w:rFonts w:ascii="Times New Roman" w:hAnsi="Times New Roman" w:cs="Times New Roman"/>
        </w:rPr>
        <w:t xml:space="preserve"> </w:t>
      </w:r>
      <w:r w:rsidR="00A10DE5" w:rsidRPr="004B5E00">
        <w:rPr>
          <w:rFonts w:ascii="Times New Roman" w:hAnsi="Times New Roman" w:cs="Times New Roman"/>
        </w:rPr>
        <w:t>permits</w:t>
      </w:r>
      <w:r w:rsidR="00E262D8" w:rsidRPr="004B5E00">
        <w:rPr>
          <w:rFonts w:ascii="Times New Roman" w:hAnsi="Times New Roman" w:cs="Times New Roman"/>
        </w:rPr>
        <w:t xml:space="preserve"> </w:t>
      </w:r>
      <w:r w:rsidR="004D6B6E" w:rsidRPr="004B5E00">
        <w:rPr>
          <w:rFonts w:ascii="Times New Roman" w:hAnsi="Times New Roman" w:cs="Times New Roman"/>
        </w:rPr>
        <w:t>investigating</w:t>
      </w:r>
      <w:r w:rsidR="002875D3" w:rsidRPr="004B5E00">
        <w:rPr>
          <w:rFonts w:ascii="Times New Roman" w:hAnsi="Times New Roman" w:cs="Times New Roman"/>
        </w:rPr>
        <w:t xml:space="preserve"> the significance of a gene set in a single experimental condition</w:t>
      </w:r>
      <w:r w:rsidR="00C8706C" w:rsidRPr="004B5E00">
        <w:rPr>
          <w:rFonts w:ascii="Times New Roman" w:hAnsi="Times New Roman" w:cs="Times New Roman"/>
        </w:rPr>
        <w:t xml:space="preserve"> via a test for randomness of the gene set</w:t>
      </w:r>
      <w:r w:rsidR="002875D3" w:rsidRPr="004B5E00">
        <w:rPr>
          <w:rFonts w:ascii="Times New Roman" w:hAnsi="Times New Roman" w:cs="Times New Roman"/>
        </w:rPr>
        <w:t xml:space="preserve">. For each condition, we generate depletion curves for random gene sets and compare their area under the curve (AUC) with that of </w:t>
      </w:r>
      <w:r w:rsidR="002875D3" w:rsidRPr="004B5E00">
        <w:rPr>
          <w:rFonts w:ascii="Times New Roman" w:hAnsi="Times New Roman" w:cs="Times New Roman"/>
          <w:i/>
        </w:rPr>
        <w:t>g</w:t>
      </w:r>
      <w:r w:rsidR="002875D3" w:rsidRPr="004B5E00">
        <w:rPr>
          <w:rFonts w:ascii="Times New Roman" w:hAnsi="Times New Roman" w:cs="Times New Roman"/>
        </w:rPr>
        <w:t xml:space="preserve">. The single </w:t>
      </w:r>
      <w:r w:rsidR="002875D3" w:rsidRPr="004B5E00">
        <w:rPr>
          <w:rFonts w:ascii="Times New Roman" w:hAnsi="Times New Roman" w:cs="Times New Roman"/>
          <w:i/>
        </w:rPr>
        <w:t>p</w:t>
      </w:r>
      <w:r w:rsidR="002875D3" w:rsidRPr="004B5E00">
        <w:rPr>
          <w:rFonts w:ascii="Times New Roman" w:hAnsi="Times New Roman" w:cs="Times New Roman"/>
        </w:rPr>
        <w:t xml:space="preserve">-value of </w:t>
      </w:r>
      <w:r w:rsidR="002875D3" w:rsidRPr="004B5E00">
        <w:rPr>
          <w:rFonts w:ascii="Times New Roman" w:hAnsi="Times New Roman" w:cs="Times New Roman"/>
          <w:i/>
        </w:rPr>
        <w:t>g</w:t>
      </w:r>
      <w:r w:rsidR="002875D3" w:rsidRPr="004B5E00">
        <w:rPr>
          <w:rFonts w:ascii="Times New Roman" w:hAnsi="Times New Roman" w:cs="Times New Roman"/>
        </w:rPr>
        <w:t xml:space="preserve"> for each condition indicates the probability that AUC of </w:t>
      </w:r>
      <w:r w:rsidR="002875D3" w:rsidRPr="004B5E00">
        <w:rPr>
          <w:rFonts w:ascii="Times New Roman" w:hAnsi="Times New Roman" w:cs="Times New Roman"/>
          <w:i/>
        </w:rPr>
        <w:t>g</w:t>
      </w:r>
      <w:r w:rsidR="002875D3" w:rsidRPr="004B5E00">
        <w:rPr>
          <w:rFonts w:ascii="Times New Roman" w:hAnsi="Times New Roman" w:cs="Times New Roman"/>
        </w:rPr>
        <w:t xml:space="preserve"> is higher than AUC of a random gene set.</w:t>
      </w:r>
      <w:r w:rsidR="004E4E0A" w:rsidRPr="004B5E00">
        <w:rPr>
          <w:rFonts w:ascii="Times New Roman" w:hAnsi="Times New Roman" w:cs="Times New Roman"/>
        </w:rPr>
        <w:t xml:space="preserve"> </w:t>
      </w:r>
      <w:r w:rsidR="00A348B1" w:rsidRPr="004B5E00">
        <w:rPr>
          <w:rFonts w:ascii="Times New Roman" w:hAnsi="Times New Roman" w:cs="Times New Roman"/>
        </w:rPr>
        <w:t xml:space="preserve">This test is available in the </w:t>
      </w:r>
      <w:proofErr w:type="spellStart"/>
      <w:r w:rsidR="00A348B1" w:rsidRPr="004B5E00">
        <w:rPr>
          <w:rFonts w:ascii="Times New Roman" w:hAnsi="Times New Roman" w:cs="Times New Roman"/>
          <w:i/>
        </w:rPr>
        <w:t>metaboGSE</w:t>
      </w:r>
      <w:proofErr w:type="spellEnd"/>
      <w:r w:rsidR="00A348B1" w:rsidRPr="004B5E00">
        <w:rPr>
          <w:rFonts w:ascii="Times New Roman" w:hAnsi="Times New Roman" w:cs="Times New Roman"/>
        </w:rPr>
        <w:t xml:space="preserve"> R package, yet not discussed in the paper.</w:t>
      </w:r>
      <w:r w:rsidR="00BE2EA4" w:rsidRPr="004B5E00">
        <w:rPr>
          <w:rFonts w:ascii="Times New Roman" w:hAnsi="Times New Roman" w:cs="Times New Roman"/>
        </w:rPr>
        <w:t xml:space="preserve"> It can be used to filter</w:t>
      </w:r>
      <w:r w:rsidR="000776B0" w:rsidRPr="004B5E00">
        <w:rPr>
          <w:rFonts w:ascii="Times New Roman" w:hAnsi="Times New Roman" w:cs="Times New Roman"/>
        </w:rPr>
        <w:t xml:space="preserve"> out the gene sets with significant</w:t>
      </w:r>
      <w:r w:rsidR="004B5E00" w:rsidRPr="004B5E00">
        <w:rPr>
          <w:rFonts w:ascii="Times New Roman" w:hAnsi="Times New Roman" w:cs="Times New Roman"/>
        </w:rPr>
        <w:t xml:space="preserve"> discrepancy between conditions that only occurs in sub</w:t>
      </w:r>
      <w:r w:rsidR="00B73582">
        <w:rPr>
          <w:rFonts w:ascii="Times New Roman" w:hAnsi="Times New Roman" w:cs="Times New Roman"/>
        </w:rPr>
        <w:t>-</w:t>
      </w:r>
      <w:r w:rsidR="004B5E00" w:rsidRPr="004B5E00">
        <w:rPr>
          <w:rFonts w:ascii="Times New Roman" w:hAnsi="Times New Roman" w:cs="Times New Roman"/>
        </w:rPr>
        <w:t>models of very low fitness.</w:t>
      </w:r>
    </w:p>
    <w:p w14:paraId="72E70A71" w14:textId="77777777" w:rsidR="006362FA" w:rsidRDefault="006362FA" w:rsidP="00D83E55">
      <w:pPr>
        <w:pStyle w:val="ListParagraph"/>
        <w:spacing w:line="480" w:lineRule="auto"/>
        <w:ind w:left="0"/>
        <w:contextualSpacing w:val="0"/>
        <w:jc w:val="both"/>
      </w:pPr>
    </w:p>
    <w:p w14:paraId="24889321" w14:textId="77777777" w:rsidR="00DD4AA1" w:rsidRDefault="00DD4AA1">
      <w:pPr>
        <w:rPr>
          <w:b/>
        </w:rPr>
      </w:pPr>
      <w:r>
        <w:rPr>
          <w:b/>
        </w:rPr>
        <w:br w:type="page"/>
      </w:r>
    </w:p>
    <w:p w14:paraId="118B53C0" w14:textId="2918AF4A" w:rsidR="00503D35" w:rsidRDefault="0026116B" w:rsidP="0026116B">
      <w:pPr>
        <w:spacing w:line="480" w:lineRule="auto"/>
        <w:rPr>
          <w:b/>
        </w:rPr>
      </w:pPr>
      <w:r w:rsidRPr="00D83E55">
        <w:rPr>
          <w:b/>
        </w:rPr>
        <w:lastRenderedPageBreak/>
        <w:t>SUPPLEMENTARY FIGURES</w:t>
      </w:r>
    </w:p>
    <w:p w14:paraId="41AAED2D" w14:textId="330968C0" w:rsidR="0023071C" w:rsidRDefault="003964BF" w:rsidP="00503D35">
      <w:pPr>
        <w:spacing w:line="480" w:lineRule="auto"/>
        <w:jc w:val="center"/>
      </w:pPr>
      <w:r>
        <w:rPr>
          <w:noProof/>
        </w:rPr>
        <w:drawing>
          <wp:inline distT="0" distB="0" distL="0" distR="0" wp14:anchorId="10B8BA82" wp14:editId="5F45DA0A">
            <wp:extent cx="32004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un.pdf"/>
                    <pic:cNvPicPr/>
                  </pic:nvPicPr>
                  <pic:blipFill>
                    <a:blip r:embed="rId4">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5559AEF0" w14:textId="77777777" w:rsidR="0023071C" w:rsidRDefault="0023071C" w:rsidP="00D83E55">
      <w:pPr>
        <w:pStyle w:val="ListParagraph"/>
        <w:spacing w:line="276" w:lineRule="auto"/>
        <w:ind w:left="360"/>
        <w:contextualSpacing w:val="0"/>
        <w:jc w:val="both"/>
        <w:rPr>
          <w:sz w:val="20"/>
          <w:szCs w:val="20"/>
        </w:rPr>
      </w:pPr>
      <w:r w:rsidRPr="00423049">
        <w:rPr>
          <w:rFonts w:ascii="Times New Roman" w:hAnsi="Times New Roman" w:cs="Times New Roman"/>
          <w:b/>
          <w:sz w:val="20"/>
          <w:szCs w:val="20"/>
        </w:rPr>
        <w:t>Figure S1</w:t>
      </w:r>
      <w:r w:rsidRPr="00D83E55">
        <w:rPr>
          <w:rFonts w:ascii="Times New Roman" w:hAnsi="Times New Roman" w:cs="Times New Roman"/>
          <w:b/>
          <w:sz w:val="20"/>
          <w:szCs w:val="20"/>
        </w:rPr>
        <w:t>:</w:t>
      </w:r>
      <w:r w:rsidRPr="00423049">
        <w:rPr>
          <w:rFonts w:ascii="Times New Roman" w:hAnsi="Times New Roman" w:cs="Times New Roman"/>
          <w:b/>
          <w:sz w:val="20"/>
          <w:szCs w:val="20"/>
        </w:rPr>
        <w:t xml:space="preserve"> Comparison of genes in </w:t>
      </w:r>
      <w:r w:rsidRPr="00D83E55">
        <w:rPr>
          <w:rFonts w:ascii="Times New Roman" w:hAnsi="Times New Roman" w:cs="Times New Roman"/>
          <w:b/>
          <w:i/>
          <w:sz w:val="20"/>
          <w:szCs w:val="20"/>
        </w:rPr>
        <w:t xml:space="preserve">Y. </w:t>
      </w:r>
      <w:proofErr w:type="spellStart"/>
      <w:r w:rsidRPr="00D83E55">
        <w:rPr>
          <w:rFonts w:ascii="Times New Roman" w:hAnsi="Times New Roman" w:cs="Times New Roman"/>
          <w:b/>
          <w:i/>
          <w:sz w:val="20"/>
          <w:szCs w:val="20"/>
        </w:rPr>
        <w:t>lipolytica</w:t>
      </w:r>
      <w:proofErr w:type="spellEnd"/>
      <w:r w:rsidRPr="00423049">
        <w:rPr>
          <w:rFonts w:ascii="Times New Roman" w:hAnsi="Times New Roman" w:cs="Times New Roman"/>
          <w:b/>
          <w:sz w:val="20"/>
          <w:szCs w:val="20"/>
        </w:rPr>
        <w:t xml:space="preserve"> sub-mo</w:t>
      </w:r>
      <w:r w:rsidR="00423049">
        <w:rPr>
          <w:rFonts w:ascii="Times New Roman" w:hAnsi="Times New Roman" w:cs="Times New Roman"/>
          <w:b/>
          <w:sz w:val="20"/>
          <w:szCs w:val="20"/>
        </w:rPr>
        <w:t xml:space="preserve">dels constructed with </w:t>
      </w:r>
      <w:proofErr w:type="spellStart"/>
      <w:r w:rsidR="00423049">
        <w:rPr>
          <w:rFonts w:ascii="Times New Roman" w:hAnsi="Times New Roman" w:cs="Times New Roman"/>
          <w:b/>
          <w:sz w:val="20"/>
          <w:szCs w:val="20"/>
        </w:rPr>
        <w:t>metaboGSE</w:t>
      </w:r>
      <w:proofErr w:type="spellEnd"/>
      <w:r w:rsidR="00423049">
        <w:rPr>
          <w:rFonts w:ascii="Times New Roman" w:hAnsi="Times New Roman" w:cs="Times New Roman"/>
          <w:b/>
          <w:sz w:val="20"/>
          <w:szCs w:val="20"/>
        </w:rPr>
        <w:t xml:space="preserve">, </w:t>
      </w:r>
      <w:r w:rsidRPr="00423049">
        <w:rPr>
          <w:rFonts w:ascii="Times New Roman" w:hAnsi="Times New Roman" w:cs="Times New Roman"/>
          <w:b/>
          <w:sz w:val="20"/>
          <w:szCs w:val="20"/>
        </w:rPr>
        <w:t>GIMME</w:t>
      </w:r>
      <w:r w:rsidR="00423049">
        <w:rPr>
          <w:rFonts w:ascii="Times New Roman" w:hAnsi="Times New Roman" w:cs="Times New Roman"/>
          <w:b/>
          <w:sz w:val="20"/>
          <w:szCs w:val="20"/>
        </w:rPr>
        <w:t xml:space="preserve">, and </w:t>
      </w:r>
      <w:proofErr w:type="spellStart"/>
      <w:r w:rsidR="00423049">
        <w:rPr>
          <w:rFonts w:ascii="Times New Roman" w:hAnsi="Times New Roman" w:cs="Times New Roman"/>
          <w:b/>
          <w:sz w:val="20"/>
          <w:szCs w:val="20"/>
        </w:rPr>
        <w:t>iMAT</w:t>
      </w:r>
      <w:proofErr w:type="spellEnd"/>
      <w:r w:rsidR="00423049">
        <w:rPr>
          <w:rFonts w:ascii="Times New Roman" w:hAnsi="Times New Roman" w:cs="Times New Roman"/>
          <w:b/>
          <w:sz w:val="20"/>
          <w:szCs w:val="20"/>
        </w:rPr>
        <w:t xml:space="preserve"> for </w:t>
      </w:r>
      <w:r w:rsidRPr="00423049">
        <w:rPr>
          <w:rFonts w:ascii="Times New Roman" w:hAnsi="Times New Roman" w:cs="Times New Roman"/>
          <w:b/>
          <w:sz w:val="20"/>
          <w:szCs w:val="20"/>
        </w:rPr>
        <w:t>RNA-</w:t>
      </w:r>
      <w:proofErr w:type="spellStart"/>
      <w:r w:rsidRPr="00423049">
        <w:rPr>
          <w:rFonts w:ascii="Times New Roman" w:hAnsi="Times New Roman" w:cs="Times New Roman"/>
          <w:b/>
          <w:sz w:val="20"/>
          <w:szCs w:val="20"/>
        </w:rPr>
        <w:t>seq</w:t>
      </w:r>
      <w:proofErr w:type="spellEnd"/>
      <w:r w:rsidRPr="00423049">
        <w:rPr>
          <w:rFonts w:ascii="Times New Roman" w:hAnsi="Times New Roman" w:cs="Times New Roman"/>
          <w:b/>
          <w:sz w:val="20"/>
          <w:szCs w:val="20"/>
        </w:rPr>
        <w:t xml:space="preserve"> </w:t>
      </w:r>
      <w:r w:rsidR="00445C26">
        <w:rPr>
          <w:rFonts w:ascii="Times New Roman" w:hAnsi="Times New Roman" w:cs="Times New Roman"/>
          <w:b/>
          <w:sz w:val="20"/>
          <w:szCs w:val="20"/>
        </w:rPr>
        <w:t>data</w:t>
      </w:r>
      <w:r w:rsidR="002E7C83" w:rsidRPr="00423049">
        <w:rPr>
          <w:rFonts w:ascii="Times New Roman" w:hAnsi="Times New Roman" w:cs="Times New Roman"/>
          <w:b/>
          <w:sz w:val="20"/>
          <w:szCs w:val="20"/>
        </w:rPr>
        <w:t xml:space="preserve"> from Maguire </w:t>
      </w:r>
      <w:r w:rsidR="002E7C83" w:rsidRPr="00423049">
        <w:rPr>
          <w:rFonts w:ascii="Times New Roman" w:hAnsi="Times New Roman" w:cs="Times New Roman"/>
          <w:b/>
          <w:i/>
          <w:sz w:val="20"/>
          <w:szCs w:val="20"/>
        </w:rPr>
        <w:t>et al</w:t>
      </w:r>
      <w:r w:rsidR="002E7C83" w:rsidRPr="00423049">
        <w:rPr>
          <w:rFonts w:ascii="Times New Roman" w:hAnsi="Times New Roman" w:cs="Times New Roman"/>
          <w:b/>
          <w:sz w:val="20"/>
          <w:szCs w:val="20"/>
        </w:rPr>
        <w:t>.</w:t>
      </w:r>
      <w:r w:rsidR="002E7C83" w:rsidRPr="00423049" w:rsidDel="00DB4D84">
        <w:rPr>
          <w:rFonts w:ascii="Times New Roman" w:hAnsi="Times New Roman" w:cs="Times New Roman"/>
          <w:b/>
          <w:sz w:val="20"/>
          <w:szCs w:val="20"/>
        </w:rPr>
        <w:t xml:space="preserve"> </w:t>
      </w:r>
      <w:r w:rsidR="002E7C83" w:rsidRPr="00423049">
        <w:rPr>
          <w:rFonts w:ascii="Times New Roman" w:hAnsi="Times New Roman" w:cs="Times New Roman"/>
          <w:b/>
          <w:sz w:val="20"/>
          <w:szCs w:val="20"/>
        </w:rPr>
        <w:t>(2014)</w:t>
      </w:r>
      <w:r w:rsidRPr="00423049">
        <w:rPr>
          <w:rFonts w:ascii="Times New Roman" w:hAnsi="Times New Roman" w:cs="Times New Roman"/>
          <w:b/>
          <w:sz w:val="20"/>
          <w:szCs w:val="20"/>
        </w:rPr>
        <w:t>.</w:t>
      </w:r>
      <w:r w:rsidRPr="00423049">
        <w:rPr>
          <w:rFonts w:ascii="Times New Roman" w:hAnsi="Times New Roman" w:cs="Times New Roman"/>
          <w:sz w:val="20"/>
          <w:szCs w:val="20"/>
        </w:rPr>
        <w:t xml:space="preserve"> Intersection: number of common genes across conditions, Union: number of all genes across conditions, k: number of genes in the comprehensive model.</w:t>
      </w:r>
    </w:p>
    <w:p w14:paraId="6C9913FD" w14:textId="77777777" w:rsidR="00D95A9F" w:rsidRPr="00D83E55" w:rsidRDefault="00D95A9F" w:rsidP="00D83E55">
      <w:pPr>
        <w:pStyle w:val="ListParagraph"/>
        <w:spacing w:line="276" w:lineRule="auto"/>
        <w:ind w:left="360"/>
        <w:contextualSpacing w:val="0"/>
        <w:jc w:val="both"/>
        <w:rPr>
          <w:b/>
          <w:sz w:val="20"/>
          <w:szCs w:val="20"/>
        </w:rPr>
      </w:pPr>
    </w:p>
    <w:p w14:paraId="47A0B2D7" w14:textId="77777777" w:rsidR="00631F73" w:rsidRPr="001C5080" w:rsidRDefault="00631F73" w:rsidP="00944F96">
      <w:pPr>
        <w:pStyle w:val="ListParagraph"/>
        <w:spacing w:line="480" w:lineRule="auto"/>
        <w:ind w:left="0"/>
        <w:contextualSpacing w:val="0"/>
        <w:jc w:val="center"/>
        <w:rPr>
          <w:rFonts w:ascii="Times New Roman" w:hAnsi="Times New Roman" w:cs="Times New Roman"/>
        </w:rPr>
      </w:pPr>
      <w:r>
        <w:rPr>
          <w:rFonts w:ascii="Times New Roman" w:hAnsi="Times New Roman" w:cs="Times New Roman"/>
        </w:rPr>
        <w:t>[FigS</w:t>
      </w:r>
      <w:r w:rsidR="00C85F53">
        <w:rPr>
          <w:rFonts w:ascii="Times New Roman" w:hAnsi="Times New Roman" w:cs="Times New Roman"/>
        </w:rPr>
        <w:t>2</w:t>
      </w:r>
      <w:r>
        <w:rPr>
          <w:rFonts w:ascii="Times New Roman" w:hAnsi="Times New Roman" w:cs="Times New Roman"/>
        </w:rPr>
        <w:t>.pdf]</w:t>
      </w:r>
    </w:p>
    <w:p w14:paraId="7AF9CB87" w14:textId="77777777" w:rsidR="00AB5FAD" w:rsidRPr="00D83E55" w:rsidRDefault="00AB5FAD" w:rsidP="00D83E55">
      <w:pPr>
        <w:pStyle w:val="ListParagraph"/>
        <w:spacing w:line="276" w:lineRule="auto"/>
        <w:ind w:left="360"/>
        <w:contextualSpacing w:val="0"/>
        <w:jc w:val="both"/>
        <w:rPr>
          <w:rFonts w:ascii="Times New Roman" w:hAnsi="Times New Roman" w:cs="Times New Roman"/>
          <w:b/>
          <w:sz w:val="20"/>
          <w:szCs w:val="20"/>
        </w:rPr>
      </w:pPr>
      <w:r w:rsidRPr="00D83E55">
        <w:rPr>
          <w:rFonts w:ascii="Times New Roman" w:hAnsi="Times New Roman" w:cs="Times New Roman"/>
          <w:b/>
          <w:sz w:val="20"/>
          <w:szCs w:val="20"/>
        </w:rPr>
        <w:t>Figure S</w:t>
      </w:r>
      <w:r w:rsidR="0023071C">
        <w:rPr>
          <w:rFonts w:ascii="Times New Roman" w:hAnsi="Times New Roman" w:cs="Times New Roman"/>
          <w:b/>
          <w:sz w:val="20"/>
          <w:szCs w:val="20"/>
        </w:rPr>
        <w:t>2</w:t>
      </w:r>
      <w:r w:rsidRPr="00D83E55">
        <w:rPr>
          <w:rFonts w:ascii="Times New Roman" w:hAnsi="Times New Roman" w:cs="Times New Roman"/>
          <w:b/>
          <w:sz w:val="20"/>
          <w:szCs w:val="20"/>
        </w:rPr>
        <w:t>.</w:t>
      </w:r>
      <w:r w:rsidRPr="00D83E55">
        <w:rPr>
          <w:rFonts w:ascii="Times New Roman" w:hAnsi="Times New Roman" w:cs="Times New Roman"/>
          <w:sz w:val="20"/>
          <w:szCs w:val="20"/>
        </w:rPr>
        <w:t xml:space="preserve"> </w:t>
      </w:r>
      <w:r w:rsidRPr="00D83E55">
        <w:rPr>
          <w:rFonts w:ascii="Times New Roman" w:hAnsi="Times New Roman" w:cs="Times New Roman"/>
          <w:b/>
          <w:sz w:val="20"/>
          <w:szCs w:val="20"/>
        </w:rPr>
        <w:t>Enrichment</w:t>
      </w:r>
      <w:r w:rsidRPr="00D83E55">
        <w:rPr>
          <w:rFonts w:ascii="Times New Roman" w:hAnsi="Times New Roman" w:cs="Times New Roman"/>
          <w:sz w:val="20"/>
          <w:szCs w:val="20"/>
        </w:rPr>
        <w:t xml:space="preserve"> </w:t>
      </w:r>
      <w:r w:rsidRPr="00D83E55">
        <w:rPr>
          <w:rFonts w:ascii="Times New Roman" w:hAnsi="Times New Roman" w:cs="Times New Roman"/>
          <w:b/>
          <w:sz w:val="20"/>
          <w:szCs w:val="20"/>
        </w:rPr>
        <w:t>of</w:t>
      </w:r>
      <w:r w:rsidR="001A1B61" w:rsidRPr="00D83E55">
        <w:rPr>
          <w:rFonts w:ascii="Times New Roman" w:hAnsi="Times New Roman" w:cs="Times New Roman"/>
          <w:b/>
          <w:sz w:val="20"/>
          <w:szCs w:val="20"/>
        </w:rPr>
        <w:t xml:space="preserve"> </w:t>
      </w:r>
      <w:r w:rsidR="001A1B61" w:rsidRPr="00D83E55">
        <w:rPr>
          <w:rFonts w:ascii="Times New Roman" w:hAnsi="Times New Roman" w:cs="Times New Roman"/>
          <w:b/>
          <w:i/>
          <w:sz w:val="20"/>
          <w:szCs w:val="20"/>
        </w:rPr>
        <w:t>GO135</w:t>
      </w:r>
      <w:r w:rsidRPr="00D83E55">
        <w:rPr>
          <w:rFonts w:ascii="Times New Roman" w:hAnsi="Times New Roman" w:cs="Times New Roman"/>
          <w:b/>
          <w:sz w:val="20"/>
          <w:szCs w:val="20"/>
        </w:rPr>
        <w:t xml:space="preserve"> via </w:t>
      </w:r>
      <w:proofErr w:type="spellStart"/>
      <w:r w:rsidRPr="00D83E55">
        <w:rPr>
          <w:rFonts w:ascii="Times New Roman" w:hAnsi="Times New Roman" w:cs="Times New Roman"/>
          <w:b/>
          <w:sz w:val="20"/>
          <w:szCs w:val="20"/>
        </w:rPr>
        <w:t>metaboGSE</w:t>
      </w:r>
      <w:proofErr w:type="spellEnd"/>
      <w:r w:rsidRPr="00D83E55">
        <w:rPr>
          <w:rFonts w:ascii="Times New Roman" w:hAnsi="Times New Roman" w:cs="Times New Roman"/>
          <w:b/>
          <w:sz w:val="20"/>
          <w:szCs w:val="20"/>
        </w:rPr>
        <w:t xml:space="preserve"> </w:t>
      </w:r>
      <w:r w:rsidR="00D85AA4" w:rsidRPr="00D85AA4">
        <w:rPr>
          <w:rFonts w:ascii="Times New Roman" w:hAnsi="Times New Roman" w:cs="Times New Roman"/>
          <w:b/>
          <w:sz w:val="20"/>
          <w:szCs w:val="20"/>
        </w:rPr>
        <w:t xml:space="preserve">with </w:t>
      </w:r>
      <w:r w:rsidR="00D85AA4" w:rsidRPr="00D85AA4">
        <w:rPr>
          <w:rFonts w:ascii="Times New Roman" w:hAnsi="Times New Roman" w:cs="Times New Roman"/>
          <w:b/>
          <w:i/>
          <w:sz w:val="20"/>
          <w:szCs w:val="20"/>
        </w:rPr>
        <w:t xml:space="preserve">Y. </w:t>
      </w:r>
      <w:proofErr w:type="spellStart"/>
      <w:r w:rsidR="00D85AA4" w:rsidRPr="00D85AA4">
        <w:rPr>
          <w:rFonts w:ascii="Times New Roman" w:hAnsi="Times New Roman" w:cs="Times New Roman"/>
          <w:b/>
          <w:i/>
          <w:sz w:val="20"/>
          <w:szCs w:val="20"/>
        </w:rPr>
        <w:t>lipolytica</w:t>
      </w:r>
      <w:proofErr w:type="spellEnd"/>
      <w:r w:rsidR="00D85AA4" w:rsidRPr="00D85AA4">
        <w:rPr>
          <w:rFonts w:ascii="Times New Roman" w:hAnsi="Times New Roman" w:cs="Times New Roman"/>
          <w:b/>
          <w:sz w:val="20"/>
          <w:szCs w:val="20"/>
        </w:rPr>
        <w:t xml:space="preserve"> sub-models for</w:t>
      </w:r>
      <w:r w:rsidR="009E2940">
        <w:rPr>
          <w:rFonts w:ascii="Times New Roman" w:hAnsi="Times New Roman" w:cs="Times New Roman"/>
          <w:b/>
          <w:sz w:val="20"/>
          <w:szCs w:val="20"/>
        </w:rPr>
        <w:t xml:space="preserve"> </w:t>
      </w:r>
      <w:r w:rsidR="00D85AA4" w:rsidRPr="00D85AA4">
        <w:rPr>
          <w:rFonts w:ascii="Times New Roman" w:hAnsi="Times New Roman" w:cs="Times New Roman"/>
          <w:b/>
          <w:sz w:val="20"/>
          <w:szCs w:val="20"/>
        </w:rPr>
        <w:t>RNA-</w:t>
      </w:r>
      <w:proofErr w:type="spellStart"/>
      <w:r w:rsidR="00D85AA4" w:rsidRPr="00D85AA4">
        <w:rPr>
          <w:rFonts w:ascii="Times New Roman" w:hAnsi="Times New Roman" w:cs="Times New Roman"/>
          <w:b/>
          <w:sz w:val="20"/>
          <w:szCs w:val="20"/>
        </w:rPr>
        <w:t>seq</w:t>
      </w:r>
      <w:proofErr w:type="spellEnd"/>
      <w:r w:rsidR="00D85AA4" w:rsidRPr="00D85AA4">
        <w:rPr>
          <w:rFonts w:ascii="Times New Roman" w:hAnsi="Times New Roman" w:cs="Times New Roman"/>
          <w:b/>
          <w:sz w:val="20"/>
          <w:szCs w:val="20"/>
        </w:rPr>
        <w:t xml:space="preserve"> </w:t>
      </w:r>
      <w:r w:rsidR="00445C26">
        <w:rPr>
          <w:rFonts w:ascii="Times New Roman" w:hAnsi="Times New Roman" w:cs="Times New Roman"/>
          <w:b/>
          <w:sz w:val="20"/>
          <w:szCs w:val="20"/>
        </w:rPr>
        <w:t>data</w:t>
      </w:r>
      <w:r w:rsidR="00D85AA4" w:rsidRPr="00D85AA4">
        <w:rPr>
          <w:rFonts w:ascii="Times New Roman" w:hAnsi="Times New Roman" w:cs="Times New Roman"/>
          <w:b/>
          <w:sz w:val="20"/>
          <w:szCs w:val="20"/>
        </w:rPr>
        <w:t xml:space="preserve"> from Maguire </w:t>
      </w:r>
      <w:r w:rsidR="00D85AA4" w:rsidRPr="00D85AA4">
        <w:rPr>
          <w:rFonts w:ascii="Times New Roman" w:hAnsi="Times New Roman" w:cs="Times New Roman"/>
          <w:b/>
          <w:i/>
          <w:sz w:val="20"/>
          <w:szCs w:val="20"/>
        </w:rPr>
        <w:t>et al</w:t>
      </w:r>
      <w:r w:rsidR="00D85AA4" w:rsidRPr="00D85AA4">
        <w:rPr>
          <w:rFonts w:ascii="Times New Roman" w:hAnsi="Times New Roman" w:cs="Times New Roman"/>
          <w:b/>
          <w:sz w:val="20"/>
          <w:szCs w:val="20"/>
        </w:rPr>
        <w:t>.</w:t>
      </w:r>
      <w:r w:rsidR="00D85AA4" w:rsidRPr="00D83E55" w:rsidDel="00DB4D84">
        <w:rPr>
          <w:rFonts w:ascii="Times New Roman" w:hAnsi="Times New Roman" w:cs="Times New Roman"/>
          <w:b/>
          <w:sz w:val="20"/>
          <w:szCs w:val="20"/>
        </w:rPr>
        <w:t xml:space="preserve"> </w:t>
      </w:r>
      <w:r w:rsidR="00BD4E34">
        <w:rPr>
          <w:rFonts w:ascii="Times New Roman" w:hAnsi="Times New Roman" w:cs="Times New Roman"/>
          <w:b/>
          <w:sz w:val="20"/>
          <w:szCs w:val="20"/>
        </w:rPr>
        <w:t>(2014)</w:t>
      </w:r>
      <w:r w:rsidRPr="00D83E55">
        <w:rPr>
          <w:rFonts w:ascii="Times New Roman" w:hAnsi="Times New Roman" w:cs="Times New Roman"/>
          <w:b/>
          <w:sz w:val="20"/>
          <w:szCs w:val="20"/>
        </w:rPr>
        <w:t>.</w:t>
      </w:r>
    </w:p>
    <w:p w14:paraId="5C01E9AF" w14:textId="77777777" w:rsidR="00586B94" w:rsidRPr="001C5080" w:rsidRDefault="00F76AC7" w:rsidP="00944F96">
      <w:pPr>
        <w:pStyle w:val="ListParagraph"/>
        <w:spacing w:line="480" w:lineRule="auto"/>
        <w:ind w:left="0"/>
        <w:contextualSpacing w:val="0"/>
        <w:jc w:val="center"/>
        <w:rPr>
          <w:rFonts w:ascii="Times New Roman" w:hAnsi="Times New Roman" w:cs="Times New Roman"/>
          <w:b/>
        </w:rPr>
      </w:pPr>
      <w:r>
        <w:rPr>
          <w:rFonts w:ascii="Times New Roman" w:hAnsi="Times New Roman" w:cs="Times New Roman"/>
          <w:b/>
          <w:noProof/>
        </w:rPr>
        <w:drawing>
          <wp:inline distT="0" distB="0" distL="0" distR="0" wp14:anchorId="4AD12B13" wp14:editId="556E6585">
            <wp:extent cx="3200400" cy="256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nn.pdf"/>
                    <pic:cNvPicPr/>
                  </pic:nvPicPr>
                  <pic:blipFill>
                    <a:blip r:embed="rId5">
                      <a:extLst>
                        <a:ext uri="{28A0092B-C50C-407E-A947-70E740481C1C}">
                          <a14:useLocalDpi xmlns:a14="http://schemas.microsoft.com/office/drawing/2010/main" val="0"/>
                        </a:ext>
                      </a:extLst>
                    </a:blip>
                    <a:stretch>
                      <a:fillRect/>
                    </a:stretch>
                  </pic:blipFill>
                  <pic:spPr>
                    <a:xfrm>
                      <a:off x="0" y="0"/>
                      <a:ext cx="3200400" cy="2560320"/>
                    </a:xfrm>
                    <a:prstGeom prst="rect">
                      <a:avLst/>
                    </a:prstGeom>
                  </pic:spPr>
                </pic:pic>
              </a:graphicData>
            </a:graphic>
          </wp:inline>
        </w:drawing>
      </w:r>
    </w:p>
    <w:p w14:paraId="506ED14A" w14:textId="77777777" w:rsidR="00AB5FAD" w:rsidRPr="00D83E55" w:rsidRDefault="00AB5FAD" w:rsidP="00D83E55">
      <w:pPr>
        <w:spacing w:line="276" w:lineRule="auto"/>
        <w:ind w:left="360"/>
        <w:jc w:val="both"/>
        <w:rPr>
          <w:sz w:val="20"/>
          <w:szCs w:val="20"/>
        </w:rPr>
      </w:pPr>
      <w:r w:rsidRPr="00D83E55">
        <w:rPr>
          <w:b/>
          <w:sz w:val="20"/>
          <w:szCs w:val="20"/>
        </w:rPr>
        <w:t>Figure S</w:t>
      </w:r>
      <w:r w:rsidR="0023071C">
        <w:rPr>
          <w:b/>
          <w:sz w:val="20"/>
          <w:szCs w:val="20"/>
        </w:rPr>
        <w:t>3</w:t>
      </w:r>
      <w:r w:rsidRPr="00D83E55">
        <w:rPr>
          <w:b/>
          <w:sz w:val="20"/>
          <w:szCs w:val="20"/>
        </w:rPr>
        <w:t>.</w:t>
      </w:r>
      <w:r w:rsidRPr="00D83E55">
        <w:rPr>
          <w:sz w:val="20"/>
          <w:szCs w:val="20"/>
        </w:rPr>
        <w:t xml:space="preserve"> </w:t>
      </w:r>
      <w:r w:rsidR="00831A39" w:rsidRPr="00D83E55">
        <w:rPr>
          <w:b/>
          <w:sz w:val="20"/>
          <w:szCs w:val="20"/>
        </w:rPr>
        <w:t>Venn diagram of the</w:t>
      </w:r>
      <w:r w:rsidR="00831A39" w:rsidRPr="00D83E55">
        <w:rPr>
          <w:sz w:val="20"/>
          <w:szCs w:val="20"/>
        </w:rPr>
        <w:t xml:space="preserve"> </w:t>
      </w:r>
      <w:r w:rsidR="00831A39" w:rsidRPr="00D83E55">
        <w:rPr>
          <w:b/>
          <w:sz w:val="20"/>
          <w:szCs w:val="20"/>
        </w:rPr>
        <w:t>t</w:t>
      </w:r>
      <w:r w:rsidR="00670488" w:rsidRPr="00D83E55">
        <w:rPr>
          <w:b/>
          <w:sz w:val="20"/>
          <w:szCs w:val="20"/>
        </w:rPr>
        <w:t xml:space="preserve">op 50 </w:t>
      </w:r>
      <w:r w:rsidRPr="00D83E55">
        <w:rPr>
          <w:b/>
          <w:sz w:val="20"/>
          <w:szCs w:val="20"/>
        </w:rPr>
        <w:t xml:space="preserve">GO terms enriched via </w:t>
      </w:r>
      <w:r w:rsidR="00831A39" w:rsidRPr="00D83E55">
        <w:rPr>
          <w:b/>
          <w:sz w:val="20"/>
          <w:szCs w:val="20"/>
        </w:rPr>
        <w:t>each of the</w:t>
      </w:r>
      <w:r w:rsidRPr="00D83E55">
        <w:rPr>
          <w:b/>
          <w:sz w:val="20"/>
          <w:szCs w:val="20"/>
        </w:rPr>
        <w:t xml:space="preserve"> three methods </w:t>
      </w:r>
      <w:proofErr w:type="spellStart"/>
      <w:r w:rsidRPr="00D83E55">
        <w:rPr>
          <w:b/>
          <w:sz w:val="20"/>
          <w:szCs w:val="20"/>
        </w:rPr>
        <w:t>metaboGSE</w:t>
      </w:r>
      <w:proofErr w:type="spellEnd"/>
      <w:r w:rsidRPr="00D83E55">
        <w:rPr>
          <w:b/>
          <w:sz w:val="20"/>
          <w:szCs w:val="20"/>
        </w:rPr>
        <w:t xml:space="preserve">, </w:t>
      </w:r>
      <w:r w:rsidR="00F94CED" w:rsidRPr="00D83E55">
        <w:rPr>
          <w:b/>
          <w:sz w:val="20"/>
          <w:szCs w:val="20"/>
        </w:rPr>
        <w:t>topGO</w:t>
      </w:r>
      <w:r w:rsidR="0075474E">
        <w:rPr>
          <w:b/>
          <w:sz w:val="20"/>
          <w:szCs w:val="20"/>
        </w:rPr>
        <w:t xml:space="preserve"> </w:t>
      </w:r>
      <w:r w:rsidR="0075474E" w:rsidRPr="00D83E55">
        <w:rPr>
          <w:b/>
          <w:i/>
          <w:sz w:val="20"/>
          <w:szCs w:val="20"/>
        </w:rPr>
        <w:t>weight01</w:t>
      </w:r>
      <w:r w:rsidR="00F94CED" w:rsidRPr="00D83E55">
        <w:rPr>
          <w:b/>
          <w:sz w:val="20"/>
          <w:szCs w:val="20"/>
        </w:rPr>
        <w:t xml:space="preserve">, and </w:t>
      </w:r>
      <w:r w:rsidRPr="00D83E55">
        <w:rPr>
          <w:b/>
          <w:sz w:val="20"/>
          <w:szCs w:val="20"/>
        </w:rPr>
        <w:t>GSEA</w:t>
      </w:r>
      <w:r w:rsidR="00A80B09">
        <w:rPr>
          <w:b/>
          <w:sz w:val="20"/>
          <w:szCs w:val="20"/>
        </w:rPr>
        <w:t xml:space="preserve"> </w:t>
      </w:r>
      <w:r w:rsidR="00A80B09" w:rsidRPr="00A80B09">
        <w:rPr>
          <w:b/>
          <w:sz w:val="20"/>
          <w:szCs w:val="20"/>
        </w:rPr>
        <w:t>for RNA-</w:t>
      </w:r>
      <w:proofErr w:type="spellStart"/>
      <w:r w:rsidR="00A80B09" w:rsidRPr="00A80B09">
        <w:rPr>
          <w:b/>
          <w:sz w:val="20"/>
          <w:szCs w:val="20"/>
        </w:rPr>
        <w:t>seq</w:t>
      </w:r>
      <w:proofErr w:type="spellEnd"/>
      <w:r w:rsidR="00A80B09" w:rsidRPr="00A80B09">
        <w:rPr>
          <w:b/>
          <w:sz w:val="20"/>
          <w:szCs w:val="20"/>
        </w:rPr>
        <w:t xml:space="preserve"> </w:t>
      </w:r>
      <w:r w:rsidR="00445C26">
        <w:rPr>
          <w:b/>
          <w:sz w:val="20"/>
          <w:szCs w:val="20"/>
        </w:rPr>
        <w:t>data</w:t>
      </w:r>
      <w:r w:rsidR="00A80B09" w:rsidRPr="00A80B09">
        <w:rPr>
          <w:b/>
          <w:sz w:val="20"/>
          <w:szCs w:val="20"/>
        </w:rPr>
        <w:t xml:space="preserve"> from Maguire </w:t>
      </w:r>
      <w:r w:rsidR="00A80B09" w:rsidRPr="00D83E55">
        <w:rPr>
          <w:b/>
          <w:i/>
          <w:sz w:val="20"/>
          <w:szCs w:val="20"/>
        </w:rPr>
        <w:t>et al.</w:t>
      </w:r>
      <w:r w:rsidR="00A80B09" w:rsidRPr="00A80B09">
        <w:rPr>
          <w:b/>
          <w:sz w:val="20"/>
          <w:szCs w:val="20"/>
        </w:rPr>
        <w:t xml:space="preserve"> (2014).</w:t>
      </w:r>
    </w:p>
    <w:p w14:paraId="465FE13E" w14:textId="56DDA7DE" w:rsidR="00EC1D99" w:rsidRPr="001C5080" w:rsidRDefault="002831AD" w:rsidP="00944F96">
      <w:pPr>
        <w:spacing w:line="480" w:lineRule="auto"/>
        <w:jc w:val="center"/>
        <w:rPr>
          <w:b/>
        </w:rPr>
      </w:pPr>
      <w:r>
        <w:rPr>
          <w:noProof/>
        </w:rPr>
        <w:lastRenderedPageBreak/>
        <w:drawing>
          <wp:inline distT="0" distB="0" distL="0" distR="0" wp14:anchorId="5CFF451C" wp14:editId="5366A423">
            <wp:extent cx="5486400" cy="713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4.pdf"/>
                    <pic:cNvPicPr/>
                  </pic:nvPicPr>
                  <pic:blipFill>
                    <a:blip r:embed="rId6">
                      <a:extLst>
                        <a:ext uri="{28A0092B-C50C-407E-A947-70E740481C1C}">
                          <a14:useLocalDpi xmlns:a14="http://schemas.microsoft.com/office/drawing/2010/main" val="0"/>
                        </a:ext>
                      </a:extLst>
                    </a:blip>
                    <a:stretch>
                      <a:fillRect/>
                    </a:stretch>
                  </pic:blipFill>
                  <pic:spPr>
                    <a:xfrm>
                      <a:off x="0" y="0"/>
                      <a:ext cx="5486400" cy="7132320"/>
                    </a:xfrm>
                    <a:prstGeom prst="rect">
                      <a:avLst/>
                    </a:prstGeom>
                  </pic:spPr>
                </pic:pic>
              </a:graphicData>
            </a:graphic>
          </wp:inline>
        </w:drawing>
      </w:r>
    </w:p>
    <w:p w14:paraId="6750EDCC" w14:textId="77777777" w:rsidR="00AB5FAD" w:rsidRPr="00D83E55" w:rsidRDefault="00AB5FAD" w:rsidP="00D83E55">
      <w:pPr>
        <w:pStyle w:val="ListParagraph"/>
        <w:spacing w:line="276" w:lineRule="auto"/>
        <w:ind w:left="0"/>
        <w:contextualSpacing w:val="0"/>
        <w:jc w:val="both"/>
        <w:rPr>
          <w:rFonts w:ascii="Times New Roman" w:hAnsi="Times New Roman" w:cs="Times New Roman"/>
          <w:b/>
          <w:sz w:val="20"/>
          <w:szCs w:val="20"/>
        </w:rPr>
      </w:pPr>
      <w:r w:rsidRPr="00D83E55">
        <w:rPr>
          <w:rFonts w:ascii="Times New Roman" w:hAnsi="Times New Roman" w:cs="Times New Roman"/>
          <w:b/>
          <w:sz w:val="20"/>
          <w:szCs w:val="20"/>
        </w:rPr>
        <w:t>Figure S</w:t>
      </w:r>
      <w:r w:rsidR="0023071C">
        <w:rPr>
          <w:rFonts w:ascii="Times New Roman" w:hAnsi="Times New Roman" w:cs="Times New Roman"/>
          <w:b/>
          <w:sz w:val="20"/>
          <w:szCs w:val="20"/>
        </w:rPr>
        <w:t>4</w:t>
      </w:r>
      <w:r w:rsidRPr="00D83E55">
        <w:rPr>
          <w:rFonts w:ascii="Times New Roman" w:hAnsi="Times New Roman" w:cs="Times New Roman"/>
          <w:b/>
          <w:sz w:val="20"/>
          <w:szCs w:val="20"/>
        </w:rPr>
        <w:t>.</w:t>
      </w:r>
      <w:r w:rsidRPr="00D83E55">
        <w:rPr>
          <w:rFonts w:ascii="Times New Roman" w:hAnsi="Times New Roman" w:cs="Times New Roman"/>
          <w:sz w:val="20"/>
          <w:szCs w:val="20"/>
        </w:rPr>
        <w:t xml:space="preserve"> </w:t>
      </w:r>
      <w:r w:rsidRPr="00D83E55">
        <w:rPr>
          <w:rFonts w:ascii="Times New Roman" w:hAnsi="Times New Roman" w:cs="Times New Roman"/>
          <w:b/>
          <w:sz w:val="20"/>
          <w:szCs w:val="20"/>
        </w:rPr>
        <w:t xml:space="preserve">Enrichment of GO:0006696 ergosterol biosynthetic process </w:t>
      </w:r>
      <w:r w:rsidR="00D85AA4">
        <w:rPr>
          <w:rFonts w:ascii="Times New Roman" w:hAnsi="Times New Roman" w:cs="Times New Roman"/>
          <w:b/>
          <w:sz w:val="20"/>
          <w:szCs w:val="20"/>
        </w:rPr>
        <w:t>with</w:t>
      </w:r>
      <w:r w:rsidRPr="00D83E55">
        <w:rPr>
          <w:rFonts w:ascii="Times New Roman" w:hAnsi="Times New Roman" w:cs="Times New Roman"/>
          <w:b/>
          <w:sz w:val="20"/>
          <w:szCs w:val="20"/>
        </w:rPr>
        <w:t xml:space="preserve"> </w:t>
      </w:r>
      <w:r w:rsidRPr="00D83E55">
        <w:rPr>
          <w:rFonts w:ascii="Times New Roman" w:hAnsi="Times New Roman" w:cs="Times New Roman"/>
          <w:b/>
          <w:i/>
          <w:sz w:val="20"/>
          <w:szCs w:val="20"/>
        </w:rPr>
        <w:t xml:space="preserve">Y. </w:t>
      </w:r>
      <w:proofErr w:type="spellStart"/>
      <w:r w:rsidRPr="00D83E55">
        <w:rPr>
          <w:rFonts w:ascii="Times New Roman" w:hAnsi="Times New Roman" w:cs="Times New Roman"/>
          <w:b/>
          <w:i/>
          <w:sz w:val="20"/>
          <w:szCs w:val="20"/>
        </w:rPr>
        <w:t>lipolytica</w:t>
      </w:r>
      <w:proofErr w:type="spellEnd"/>
      <w:r w:rsidRPr="00D83E55">
        <w:rPr>
          <w:rFonts w:ascii="Times New Roman" w:hAnsi="Times New Roman" w:cs="Times New Roman"/>
          <w:b/>
          <w:sz w:val="20"/>
          <w:szCs w:val="20"/>
        </w:rPr>
        <w:t xml:space="preserve"> sub-models </w:t>
      </w:r>
      <w:r w:rsidR="00BF0919">
        <w:rPr>
          <w:rFonts w:ascii="Times New Roman" w:hAnsi="Times New Roman" w:cs="Times New Roman"/>
          <w:b/>
          <w:sz w:val="20"/>
          <w:szCs w:val="20"/>
        </w:rPr>
        <w:t>for</w:t>
      </w:r>
      <w:r w:rsidRPr="00D83E55">
        <w:rPr>
          <w:rFonts w:ascii="Times New Roman" w:hAnsi="Times New Roman" w:cs="Times New Roman"/>
          <w:b/>
          <w:sz w:val="20"/>
          <w:szCs w:val="20"/>
        </w:rPr>
        <w:t xml:space="preserve"> RNA-</w:t>
      </w:r>
      <w:proofErr w:type="spellStart"/>
      <w:r w:rsidRPr="00D83E55">
        <w:rPr>
          <w:rFonts w:ascii="Times New Roman" w:hAnsi="Times New Roman" w:cs="Times New Roman"/>
          <w:b/>
          <w:sz w:val="20"/>
          <w:szCs w:val="20"/>
        </w:rPr>
        <w:t>seq</w:t>
      </w:r>
      <w:proofErr w:type="spellEnd"/>
      <w:r w:rsidRPr="00D83E55">
        <w:rPr>
          <w:rFonts w:ascii="Times New Roman" w:hAnsi="Times New Roman" w:cs="Times New Roman"/>
          <w:b/>
          <w:sz w:val="20"/>
          <w:szCs w:val="20"/>
        </w:rPr>
        <w:t xml:space="preserve"> </w:t>
      </w:r>
      <w:r w:rsidR="00445C26">
        <w:rPr>
          <w:rFonts w:ascii="Times New Roman" w:hAnsi="Times New Roman" w:cs="Times New Roman"/>
          <w:b/>
          <w:sz w:val="20"/>
          <w:szCs w:val="20"/>
        </w:rPr>
        <w:t>data</w:t>
      </w:r>
      <w:r w:rsidR="00D85AA4">
        <w:rPr>
          <w:rFonts w:ascii="Times New Roman" w:hAnsi="Times New Roman" w:cs="Times New Roman"/>
          <w:b/>
          <w:sz w:val="20"/>
          <w:szCs w:val="20"/>
        </w:rPr>
        <w:t xml:space="preserve"> from Maguire </w:t>
      </w:r>
      <w:r w:rsidR="00D85AA4" w:rsidRPr="00D83E55">
        <w:rPr>
          <w:rFonts w:ascii="Times New Roman" w:hAnsi="Times New Roman" w:cs="Times New Roman"/>
          <w:b/>
          <w:i/>
          <w:sz w:val="20"/>
          <w:szCs w:val="20"/>
        </w:rPr>
        <w:t>et al</w:t>
      </w:r>
      <w:r w:rsidR="00D85AA4">
        <w:rPr>
          <w:rFonts w:ascii="Times New Roman" w:hAnsi="Times New Roman" w:cs="Times New Roman"/>
          <w:b/>
          <w:sz w:val="20"/>
          <w:szCs w:val="20"/>
        </w:rPr>
        <w:t>.</w:t>
      </w:r>
      <w:r w:rsidR="003F339A">
        <w:rPr>
          <w:rFonts w:ascii="Times New Roman" w:hAnsi="Times New Roman" w:cs="Times New Roman"/>
          <w:b/>
          <w:sz w:val="20"/>
          <w:szCs w:val="20"/>
        </w:rPr>
        <w:t xml:space="preserve"> (2014).</w:t>
      </w:r>
    </w:p>
    <w:p w14:paraId="26BFA8FE" w14:textId="77777777" w:rsidR="00AB5FAD" w:rsidRPr="00D83E55" w:rsidRDefault="00AB5FAD" w:rsidP="00D83E55">
      <w:pPr>
        <w:tabs>
          <w:tab w:val="left" w:pos="540"/>
        </w:tabs>
        <w:spacing w:line="276" w:lineRule="auto"/>
        <w:jc w:val="both"/>
        <w:rPr>
          <w:sz w:val="20"/>
          <w:szCs w:val="20"/>
        </w:rPr>
      </w:pPr>
      <w:r w:rsidRPr="00D83E55">
        <w:rPr>
          <w:sz w:val="20"/>
          <w:szCs w:val="20"/>
        </w:rPr>
        <w:t>(A)</w:t>
      </w:r>
      <w:r w:rsidR="00F94CED" w:rsidRPr="00D83E55">
        <w:rPr>
          <w:sz w:val="20"/>
          <w:szCs w:val="20"/>
        </w:rPr>
        <w:tab/>
      </w:r>
      <w:r w:rsidRPr="00D83E55">
        <w:rPr>
          <w:sz w:val="20"/>
          <w:szCs w:val="20"/>
        </w:rPr>
        <w:t xml:space="preserve">Depletion fraction in function of number of removed genes </w:t>
      </w:r>
    </w:p>
    <w:p w14:paraId="21C2D1BF" w14:textId="77777777" w:rsidR="00AB5FAD" w:rsidRPr="00D83E55" w:rsidRDefault="00AB5FAD" w:rsidP="00D83E55">
      <w:pPr>
        <w:tabs>
          <w:tab w:val="left" w:pos="540"/>
        </w:tabs>
        <w:spacing w:line="276" w:lineRule="auto"/>
        <w:jc w:val="both"/>
        <w:rPr>
          <w:sz w:val="20"/>
          <w:szCs w:val="20"/>
        </w:rPr>
      </w:pPr>
      <w:r w:rsidRPr="00D83E55">
        <w:rPr>
          <w:sz w:val="20"/>
          <w:szCs w:val="20"/>
        </w:rPr>
        <w:t>(B)</w:t>
      </w:r>
      <w:r w:rsidR="00F94CED" w:rsidRPr="00D83E55">
        <w:rPr>
          <w:sz w:val="20"/>
          <w:szCs w:val="20"/>
        </w:rPr>
        <w:tab/>
      </w:r>
      <w:r w:rsidRPr="00D83E55">
        <w:rPr>
          <w:sz w:val="20"/>
          <w:szCs w:val="20"/>
        </w:rPr>
        <w:t>Depletion curve: depletion fraction in function of fitness times fraction of remaining genes in the model</w:t>
      </w:r>
    </w:p>
    <w:p w14:paraId="49F54C13" w14:textId="1354A34B" w:rsidR="00AB5FAD" w:rsidRPr="00CE7271" w:rsidRDefault="00AB5FAD" w:rsidP="00D83E55">
      <w:pPr>
        <w:tabs>
          <w:tab w:val="left" w:pos="540"/>
        </w:tabs>
        <w:spacing w:line="276" w:lineRule="auto"/>
        <w:jc w:val="both"/>
        <w:rPr>
          <w:sz w:val="20"/>
          <w:szCs w:val="20"/>
        </w:rPr>
      </w:pPr>
      <w:r w:rsidRPr="00D83E55">
        <w:rPr>
          <w:sz w:val="20"/>
          <w:szCs w:val="20"/>
        </w:rPr>
        <w:lastRenderedPageBreak/>
        <w:t>(C)</w:t>
      </w:r>
      <w:r w:rsidR="00F94CED" w:rsidRPr="00D83E55">
        <w:rPr>
          <w:sz w:val="20"/>
          <w:szCs w:val="20"/>
        </w:rPr>
        <w:tab/>
      </w:r>
      <w:r w:rsidRPr="00D83E55">
        <w:rPr>
          <w:sz w:val="20"/>
          <w:szCs w:val="20"/>
        </w:rPr>
        <w:t>Expression of associated genes</w:t>
      </w:r>
      <w:r w:rsidR="00CE7271">
        <w:rPr>
          <w:sz w:val="20"/>
          <w:szCs w:val="20"/>
        </w:rPr>
        <w:t xml:space="preserve">. </w:t>
      </w:r>
      <w:r w:rsidR="00CE7271">
        <w:rPr>
          <w:sz w:val="20"/>
          <w:szCs w:val="20"/>
          <w:vertAlign w:val="superscript"/>
        </w:rPr>
        <w:t>*</w:t>
      </w:r>
      <w:r w:rsidR="000B7696">
        <w:rPr>
          <w:sz w:val="20"/>
          <w:szCs w:val="20"/>
        </w:rPr>
        <w:t xml:space="preserve"> </w:t>
      </w:r>
      <w:r w:rsidR="00CE7271">
        <w:rPr>
          <w:sz w:val="20"/>
          <w:szCs w:val="20"/>
        </w:rPr>
        <w:t xml:space="preserve">Genes causing sudden drops in different depletion curves, yet </w:t>
      </w:r>
      <w:r w:rsidR="009C5D18">
        <w:rPr>
          <w:sz w:val="20"/>
          <w:szCs w:val="20"/>
        </w:rPr>
        <w:t>not belonging to the GO:0006696 gene set.</w:t>
      </w:r>
    </w:p>
    <w:p w14:paraId="62745DE0" w14:textId="77777777" w:rsidR="005D7071" w:rsidRDefault="005D7071" w:rsidP="00D83E55">
      <w:pPr>
        <w:tabs>
          <w:tab w:val="left" w:pos="540"/>
        </w:tabs>
        <w:spacing w:line="480" w:lineRule="auto"/>
        <w:jc w:val="both"/>
        <w:rPr>
          <w:sz w:val="20"/>
          <w:szCs w:val="20"/>
        </w:rPr>
      </w:pPr>
    </w:p>
    <w:p w14:paraId="25424693" w14:textId="77777777" w:rsidR="00BB5FCB" w:rsidRDefault="00672FBA" w:rsidP="00D83E55">
      <w:pPr>
        <w:tabs>
          <w:tab w:val="left" w:pos="540"/>
        </w:tabs>
        <w:spacing w:line="480" w:lineRule="auto"/>
        <w:jc w:val="both"/>
      </w:pPr>
      <w:r>
        <w:rPr>
          <w:noProof/>
        </w:rPr>
        <w:drawing>
          <wp:inline distT="0" distB="0" distL="0" distR="0" wp14:anchorId="74BBD61F" wp14:editId="65125E38">
            <wp:extent cx="6400800" cy="7164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4.pdf"/>
                    <pic:cNvPicPr/>
                  </pic:nvPicPr>
                  <pic:blipFill>
                    <a:blip r:embed="rId7">
                      <a:extLst>
                        <a:ext uri="{28A0092B-C50C-407E-A947-70E740481C1C}">
                          <a14:useLocalDpi xmlns:a14="http://schemas.microsoft.com/office/drawing/2010/main" val="0"/>
                        </a:ext>
                      </a:extLst>
                    </a:blip>
                    <a:stretch>
                      <a:fillRect/>
                    </a:stretch>
                  </pic:blipFill>
                  <pic:spPr>
                    <a:xfrm>
                      <a:off x="0" y="0"/>
                      <a:ext cx="6400800" cy="7164705"/>
                    </a:xfrm>
                    <a:prstGeom prst="rect">
                      <a:avLst/>
                    </a:prstGeom>
                  </pic:spPr>
                </pic:pic>
              </a:graphicData>
            </a:graphic>
          </wp:inline>
        </w:drawing>
      </w:r>
    </w:p>
    <w:p w14:paraId="7A9A33F7" w14:textId="7A8F0A6E" w:rsidR="00BB5FCB" w:rsidRDefault="00A01686" w:rsidP="00D83E55">
      <w:pPr>
        <w:spacing w:line="276" w:lineRule="auto"/>
        <w:jc w:val="both"/>
        <w:rPr>
          <w:sz w:val="20"/>
          <w:szCs w:val="20"/>
        </w:rPr>
      </w:pPr>
      <w:r w:rsidRPr="00D83E55">
        <w:rPr>
          <w:b/>
          <w:sz w:val="20"/>
          <w:szCs w:val="20"/>
        </w:rPr>
        <w:lastRenderedPageBreak/>
        <w:t>Figure S</w:t>
      </w:r>
      <w:r w:rsidR="00E94A6A">
        <w:rPr>
          <w:b/>
          <w:sz w:val="20"/>
          <w:szCs w:val="20"/>
        </w:rPr>
        <w:t>5</w:t>
      </w:r>
      <w:r w:rsidR="00CD3442" w:rsidRPr="00D83E55">
        <w:rPr>
          <w:b/>
          <w:sz w:val="20"/>
          <w:szCs w:val="20"/>
        </w:rPr>
        <w:t>.</w:t>
      </w:r>
      <w:r w:rsidR="007A4057" w:rsidRPr="00D83E55">
        <w:rPr>
          <w:b/>
          <w:sz w:val="20"/>
          <w:szCs w:val="20"/>
        </w:rPr>
        <w:t xml:space="preserve"> Enrichment </w:t>
      </w:r>
      <w:r w:rsidR="00967EC6" w:rsidRPr="00D83E55">
        <w:rPr>
          <w:b/>
          <w:sz w:val="20"/>
          <w:szCs w:val="20"/>
        </w:rPr>
        <w:t>–</w:t>
      </w:r>
      <w:r w:rsidR="007A4057" w:rsidRPr="00D83E55">
        <w:rPr>
          <w:b/>
          <w:sz w:val="20"/>
          <w:szCs w:val="20"/>
        </w:rPr>
        <w:t>log</w:t>
      </w:r>
      <w:r w:rsidR="007A4057" w:rsidRPr="00D83E55">
        <w:rPr>
          <w:b/>
          <w:sz w:val="20"/>
          <w:szCs w:val="20"/>
          <w:vertAlign w:val="subscript"/>
        </w:rPr>
        <w:t>10</w:t>
      </w:r>
      <w:r w:rsidR="007A4057" w:rsidRPr="00D83E55">
        <w:rPr>
          <w:b/>
          <w:sz w:val="20"/>
          <w:szCs w:val="20"/>
        </w:rPr>
        <w:t xml:space="preserve"> </w:t>
      </w:r>
      <w:r w:rsidR="007A4057" w:rsidRPr="00D83E55">
        <w:rPr>
          <w:b/>
          <w:i/>
          <w:sz w:val="20"/>
          <w:szCs w:val="20"/>
        </w:rPr>
        <w:t>p</w:t>
      </w:r>
      <w:r w:rsidR="007A4057" w:rsidRPr="00D83E55">
        <w:rPr>
          <w:b/>
          <w:sz w:val="20"/>
          <w:szCs w:val="20"/>
        </w:rPr>
        <w:t>-values of GO terms</w:t>
      </w:r>
      <w:r w:rsidR="00EF42EA" w:rsidRPr="00D83E55">
        <w:rPr>
          <w:b/>
          <w:sz w:val="20"/>
          <w:szCs w:val="20"/>
        </w:rPr>
        <w:t xml:space="preserve"> with different levels of specificity</w:t>
      </w:r>
      <w:r w:rsidR="007A4057" w:rsidRPr="00D83E55">
        <w:rPr>
          <w:b/>
          <w:sz w:val="20"/>
          <w:szCs w:val="20"/>
        </w:rPr>
        <w:t xml:space="preserve"> </w:t>
      </w:r>
      <w:r w:rsidR="007A4057" w:rsidRPr="00D83E55">
        <w:rPr>
          <w:sz w:val="20"/>
          <w:szCs w:val="20"/>
        </w:rPr>
        <w:t>concerning inflammatory response</w:t>
      </w:r>
      <w:r w:rsidR="00AB34AA" w:rsidRPr="00D83E55">
        <w:rPr>
          <w:sz w:val="20"/>
          <w:szCs w:val="20"/>
        </w:rPr>
        <w:t xml:space="preserve"> (</w:t>
      </w:r>
      <w:r w:rsidR="00F419C9">
        <w:rPr>
          <w:sz w:val="20"/>
          <w:szCs w:val="20"/>
        </w:rPr>
        <w:t>orange</w:t>
      </w:r>
      <w:r w:rsidR="00AB34AA" w:rsidRPr="00D83E55">
        <w:rPr>
          <w:sz w:val="20"/>
          <w:szCs w:val="20"/>
        </w:rPr>
        <w:t>)</w:t>
      </w:r>
      <w:r w:rsidR="007A4057" w:rsidRPr="00D83E55">
        <w:rPr>
          <w:sz w:val="20"/>
          <w:szCs w:val="20"/>
        </w:rPr>
        <w:t>, cholesterol</w:t>
      </w:r>
      <w:r w:rsidR="00AB34AA" w:rsidRPr="00D83E55">
        <w:rPr>
          <w:sz w:val="20"/>
          <w:szCs w:val="20"/>
        </w:rPr>
        <w:t xml:space="preserve"> (green)</w:t>
      </w:r>
      <w:r w:rsidR="007A4057" w:rsidRPr="00D83E55">
        <w:rPr>
          <w:sz w:val="20"/>
          <w:szCs w:val="20"/>
        </w:rPr>
        <w:t xml:space="preserve"> and lipid biosynthesis</w:t>
      </w:r>
      <w:r w:rsidR="00AB34AA" w:rsidRPr="00D83E55">
        <w:rPr>
          <w:sz w:val="20"/>
          <w:szCs w:val="20"/>
        </w:rPr>
        <w:t xml:space="preserve"> (magenta)</w:t>
      </w:r>
      <w:r w:rsidR="001A52E2" w:rsidRPr="00D83E55">
        <w:rPr>
          <w:sz w:val="20"/>
          <w:szCs w:val="20"/>
        </w:rPr>
        <w:t xml:space="preserve"> by</w:t>
      </w:r>
      <w:r w:rsidR="00897E9A">
        <w:rPr>
          <w:sz w:val="20"/>
          <w:szCs w:val="20"/>
        </w:rPr>
        <w:t xml:space="preserve"> </w:t>
      </w:r>
      <w:proofErr w:type="spellStart"/>
      <w:r w:rsidR="00897E9A">
        <w:rPr>
          <w:sz w:val="20"/>
          <w:szCs w:val="20"/>
        </w:rPr>
        <w:t>metaboGSE</w:t>
      </w:r>
      <w:proofErr w:type="spellEnd"/>
      <w:r w:rsidR="007A423C">
        <w:rPr>
          <w:sz w:val="20"/>
          <w:szCs w:val="20"/>
        </w:rPr>
        <w:t xml:space="preserve"> (in red)</w:t>
      </w:r>
      <w:r w:rsidR="00897E9A">
        <w:rPr>
          <w:sz w:val="20"/>
          <w:szCs w:val="20"/>
        </w:rPr>
        <w:t>,</w:t>
      </w:r>
      <w:r w:rsidR="001A52E2" w:rsidRPr="00D83E55">
        <w:rPr>
          <w:sz w:val="20"/>
          <w:szCs w:val="20"/>
        </w:rPr>
        <w:t xml:space="preserve"> </w:t>
      </w:r>
      <w:r w:rsidR="00104D45">
        <w:rPr>
          <w:sz w:val="20"/>
          <w:szCs w:val="20"/>
        </w:rPr>
        <w:t xml:space="preserve">topGO </w:t>
      </w:r>
      <w:r w:rsidR="001A52E2" w:rsidRPr="00D83E55">
        <w:rPr>
          <w:i/>
          <w:sz w:val="20"/>
          <w:szCs w:val="20"/>
        </w:rPr>
        <w:t>weight01</w:t>
      </w:r>
      <w:r w:rsidR="007A423C" w:rsidRPr="007A423C">
        <w:rPr>
          <w:sz w:val="20"/>
          <w:szCs w:val="20"/>
        </w:rPr>
        <w:t xml:space="preserve"> (in blue)</w:t>
      </w:r>
      <w:r w:rsidR="001A52E2" w:rsidRPr="007A423C">
        <w:rPr>
          <w:sz w:val="20"/>
          <w:szCs w:val="20"/>
        </w:rPr>
        <w:t>,</w:t>
      </w:r>
      <w:r w:rsidR="001A52E2" w:rsidRPr="00D83E55">
        <w:rPr>
          <w:sz w:val="20"/>
          <w:szCs w:val="20"/>
        </w:rPr>
        <w:t xml:space="preserve"> </w:t>
      </w:r>
      <w:r w:rsidR="00592221" w:rsidRPr="00F71021">
        <w:rPr>
          <w:sz w:val="20"/>
          <w:szCs w:val="20"/>
        </w:rPr>
        <w:t xml:space="preserve">topGO </w:t>
      </w:r>
      <w:r w:rsidR="00592221" w:rsidRPr="00F71021">
        <w:rPr>
          <w:i/>
          <w:sz w:val="20"/>
          <w:szCs w:val="20"/>
        </w:rPr>
        <w:t>classic</w:t>
      </w:r>
      <w:r w:rsidR="007A423C">
        <w:rPr>
          <w:i/>
          <w:sz w:val="20"/>
          <w:szCs w:val="20"/>
        </w:rPr>
        <w:t xml:space="preserve"> </w:t>
      </w:r>
      <w:r w:rsidR="007A423C" w:rsidRPr="007A423C">
        <w:rPr>
          <w:sz w:val="20"/>
          <w:szCs w:val="20"/>
        </w:rPr>
        <w:t>(in cyan)</w:t>
      </w:r>
      <w:r w:rsidR="00592221" w:rsidRPr="007A423C">
        <w:rPr>
          <w:sz w:val="20"/>
          <w:szCs w:val="20"/>
        </w:rPr>
        <w:t>,</w:t>
      </w:r>
      <w:r w:rsidR="00592221">
        <w:rPr>
          <w:sz w:val="20"/>
          <w:szCs w:val="20"/>
        </w:rPr>
        <w:t xml:space="preserve"> </w:t>
      </w:r>
      <w:r w:rsidR="00897E9A">
        <w:rPr>
          <w:sz w:val="20"/>
          <w:szCs w:val="20"/>
        </w:rPr>
        <w:t xml:space="preserve">and </w:t>
      </w:r>
      <w:r w:rsidR="001A52E2" w:rsidRPr="00D83E55">
        <w:rPr>
          <w:sz w:val="20"/>
          <w:szCs w:val="20"/>
        </w:rPr>
        <w:t>GSEA</w:t>
      </w:r>
      <w:r w:rsidR="007A423C">
        <w:rPr>
          <w:sz w:val="20"/>
          <w:szCs w:val="20"/>
        </w:rPr>
        <w:t xml:space="preserve"> (in yellow)</w:t>
      </w:r>
      <w:r w:rsidR="00897E9A">
        <w:rPr>
          <w:sz w:val="20"/>
          <w:szCs w:val="20"/>
        </w:rPr>
        <w:t xml:space="preserve"> </w:t>
      </w:r>
      <w:r w:rsidR="00343689" w:rsidRPr="00D83E55">
        <w:rPr>
          <w:sz w:val="20"/>
          <w:szCs w:val="20"/>
        </w:rPr>
        <w:t xml:space="preserve">for </w:t>
      </w:r>
      <w:r w:rsidR="00E607A3">
        <w:rPr>
          <w:sz w:val="20"/>
          <w:szCs w:val="20"/>
        </w:rPr>
        <w:t xml:space="preserve">the </w:t>
      </w:r>
      <w:r w:rsidR="00343689" w:rsidRPr="00D83E55">
        <w:rPr>
          <w:sz w:val="20"/>
          <w:szCs w:val="20"/>
        </w:rPr>
        <w:t xml:space="preserve">mouse </w:t>
      </w:r>
      <w:r w:rsidR="00E607A3">
        <w:rPr>
          <w:sz w:val="20"/>
          <w:szCs w:val="20"/>
        </w:rPr>
        <w:t xml:space="preserve">contrast </w:t>
      </w:r>
      <w:r w:rsidR="00343689" w:rsidRPr="00D83E55">
        <w:rPr>
          <w:sz w:val="20"/>
          <w:szCs w:val="20"/>
        </w:rPr>
        <w:t xml:space="preserve">PBS </w:t>
      </w:r>
      <w:r w:rsidR="00125208">
        <w:rPr>
          <w:sz w:val="20"/>
          <w:szCs w:val="20"/>
        </w:rPr>
        <w:t>versus</w:t>
      </w:r>
      <w:r w:rsidR="00343689" w:rsidRPr="00D83E55">
        <w:rPr>
          <w:sz w:val="20"/>
          <w:szCs w:val="20"/>
        </w:rPr>
        <w:t xml:space="preserve"> Ly6c </w:t>
      </w:r>
      <w:r w:rsidR="009603F9">
        <w:rPr>
          <w:sz w:val="20"/>
          <w:szCs w:val="20"/>
        </w:rPr>
        <w:t xml:space="preserve">from </w:t>
      </w:r>
      <w:r w:rsidR="009603F9" w:rsidRPr="00D83E55">
        <w:rPr>
          <w:i/>
          <w:sz w:val="20"/>
          <w:szCs w:val="20"/>
        </w:rPr>
        <w:t>Hill et al</w:t>
      </w:r>
      <w:r w:rsidR="009603F9">
        <w:rPr>
          <w:sz w:val="20"/>
          <w:szCs w:val="20"/>
        </w:rPr>
        <w:t>.</w:t>
      </w:r>
      <w:r w:rsidR="004729E8">
        <w:rPr>
          <w:sz w:val="20"/>
          <w:szCs w:val="20"/>
        </w:rPr>
        <w:t xml:space="preserve"> (2018)</w:t>
      </w:r>
      <w:r w:rsidR="00723D56">
        <w:rPr>
          <w:sz w:val="20"/>
          <w:szCs w:val="20"/>
        </w:rPr>
        <w:t>.</w:t>
      </w:r>
      <w:r w:rsidR="009255D8">
        <w:rPr>
          <w:sz w:val="20"/>
          <w:szCs w:val="20"/>
        </w:rPr>
        <w:t xml:space="preserve"> </w:t>
      </w:r>
      <w:r w:rsidR="009255D8" w:rsidRPr="009255D8">
        <w:rPr>
          <w:sz w:val="20"/>
          <w:szCs w:val="20"/>
        </w:rPr>
        <w:t>NA value</w:t>
      </w:r>
      <w:r w:rsidR="00CB09D3">
        <w:rPr>
          <w:sz w:val="20"/>
          <w:szCs w:val="20"/>
        </w:rPr>
        <w:t>s indicate</w:t>
      </w:r>
      <w:r w:rsidR="009255D8" w:rsidRPr="009255D8">
        <w:rPr>
          <w:sz w:val="20"/>
          <w:szCs w:val="20"/>
        </w:rPr>
        <w:t xml:space="preserve"> that the GO term</w:t>
      </w:r>
      <w:r w:rsidR="00CB09D3">
        <w:rPr>
          <w:sz w:val="20"/>
          <w:szCs w:val="20"/>
        </w:rPr>
        <w:t>s were</w:t>
      </w:r>
      <w:r w:rsidR="009255D8" w:rsidRPr="009255D8">
        <w:rPr>
          <w:sz w:val="20"/>
          <w:szCs w:val="20"/>
        </w:rPr>
        <w:t xml:space="preserve"> not identified by the corresponding method</w:t>
      </w:r>
      <w:r w:rsidR="009255D8">
        <w:rPr>
          <w:sz w:val="20"/>
          <w:szCs w:val="20"/>
        </w:rPr>
        <w:t>.</w:t>
      </w:r>
      <w:bookmarkStart w:id="0" w:name="_GoBack"/>
      <w:bookmarkEnd w:id="0"/>
    </w:p>
    <w:p w14:paraId="155E8FE7" w14:textId="77777777" w:rsidR="009255D8" w:rsidRPr="00D83E55" w:rsidRDefault="009255D8" w:rsidP="00D83E55">
      <w:pPr>
        <w:spacing w:line="276" w:lineRule="auto"/>
        <w:jc w:val="both"/>
        <w:rPr>
          <w:sz w:val="20"/>
          <w:szCs w:val="20"/>
        </w:rPr>
      </w:pPr>
    </w:p>
    <w:p w14:paraId="08C87E46" w14:textId="77777777" w:rsidR="00CC7033" w:rsidRPr="00D83E55" w:rsidRDefault="0026116B" w:rsidP="00D83E55">
      <w:pPr>
        <w:spacing w:line="480" w:lineRule="auto"/>
      </w:pPr>
      <w:r w:rsidRPr="00D83E55">
        <w:rPr>
          <w:b/>
        </w:rPr>
        <w:t>SUPPLEMENTARY TABLES</w:t>
      </w:r>
    </w:p>
    <w:p w14:paraId="0EA0FA81" w14:textId="77777777" w:rsidR="00402FCA" w:rsidRPr="001C5080" w:rsidRDefault="00402FCA" w:rsidP="00944F96">
      <w:pPr>
        <w:spacing w:line="480" w:lineRule="auto"/>
        <w:jc w:val="center"/>
      </w:pPr>
      <w:r>
        <w:t>[TableS1.xlsx]</w:t>
      </w:r>
    </w:p>
    <w:p w14:paraId="50B6EDBF" w14:textId="7A8A3BAA" w:rsidR="00770BA4" w:rsidRDefault="00AB5FAD" w:rsidP="00D83E55">
      <w:pPr>
        <w:pStyle w:val="ListParagraph"/>
        <w:spacing w:line="276" w:lineRule="auto"/>
        <w:ind w:left="0"/>
        <w:jc w:val="both"/>
        <w:rPr>
          <w:rFonts w:ascii="Times New Roman" w:hAnsi="Times New Roman" w:cs="Times New Roman"/>
          <w:sz w:val="20"/>
          <w:szCs w:val="20"/>
        </w:rPr>
      </w:pPr>
      <w:r w:rsidRPr="00D83E55">
        <w:rPr>
          <w:rFonts w:ascii="Times New Roman" w:hAnsi="Times New Roman" w:cs="Times New Roman"/>
          <w:b/>
          <w:sz w:val="20"/>
          <w:szCs w:val="20"/>
        </w:rPr>
        <w:t>Table</w:t>
      </w:r>
      <w:r w:rsidRPr="00D83E55">
        <w:rPr>
          <w:rFonts w:ascii="Times New Roman" w:hAnsi="Times New Roman" w:cs="Times New Roman"/>
          <w:b/>
          <w:i/>
          <w:sz w:val="20"/>
          <w:szCs w:val="20"/>
        </w:rPr>
        <w:t xml:space="preserve"> </w:t>
      </w:r>
      <w:r w:rsidRPr="00D83E55">
        <w:rPr>
          <w:rFonts w:ascii="Times New Roman" w:hAnsi="Times New Roman" w:cs="Times New Roman"/>
          <w:b/>
          <w:sz w:val="20"/>
          <w:szCs w:val="20"/>
        </w:rPr>
        <w:t>S1.</w:t>
      </w:r>
      <w:r w:rsidRPr="00D83E55">
        <w:rPr>
          <w:rFonts w:ascii="Times New Roman" w:hAnsi="Times New Roman" w:cs="Times New Roman"/>
          <w:sz w:val="20"/>
          <w:szCs w:val="20"/>
        </w:rPr>
        <w:t xml:space="preserve"> </w:t>
      </w:r>
      <w:r w:rsidRPr="00D83E55">
        <w:rPr>
          <w:rFonts w:ascii="Times New Roman" w:hAnsi="Times New Roman" w:cs="Times New Roman"/>
          <w:b/>
          <w:sz w:val="20"/>
          <w:szCs w:val="20"/>
        </w:rPr>
        <w:t xml:space="preserve">Performance of different rankings </w:t>
      </w:r>
      <m:oMath>
        <m:r>
          <m:rPr>
            <m:sty m:val="bi"/>
          </m:rPr>
          <w:rPr>
            <w:rFonts w:ascii="Cambria Math" w:hAnsi="Cambria Math" w:cs="Times New Roman"/>
            <w:sz w:val="20"/>
            <w:szCs w:val="20"/>
          </w:rPr>
          <m:t>ρ</m:t>
        </m:r>
      </m:oMath>
      <w:r w:rsidRPr="00D83E55">
        <w:rPr>
          <w:rFonts w:ascii="Times New Roman" w:hAnsi="Times New Roman" w:cs="Times New Roman"/>
          <w:b/>
          <w:sz w:val="20"/>
          <w:szCs w:val="20"/>
        </w:rPr>
        <w:t xml:space="preserve"> measured by </w:t>
      </w:r>
      <w:r w:rsidR="00B978CF">
        <w:rPr>
          <w:rFonts w:ascii="Times New Roman" w:hAnsi="Times New Roman" w:cs="Times New Roman"/>
          <w:b/>
          <w:sz w:val="20"/>
          <w:szCs w:val="20"/>
        </w:rPr>
        <w:t>performance</w:t>
      </w:r>
      <w:r w:rsidR="00B978CF" w:rsidRPr="00D83E55">
        <w:rPr>
          <w:rFonts w:ascii="Times New Roman" w:hAnsi="Times New Roman" w:cs="Times New Roman"/>
          <w:b/>
          <w:sz w:val="20"/>
          <w:szCs w:val="20"/>
        </w:rPr>
        <w:t xml:space="preserve"> </w:t>
      </w:r>
      <w:r w:rsidR="00B978CF">
        <w:rPr>
          <w:rFonts w:ascii="Times New Roman" w:hAnsi="Times New Roman" w:cs="Times New Roman"/>
          <w:b/>
          <w:sz w:val="20"/>
          <w:szCs w:val="20"/>
        </w:rPr>
        <w:t>index</w:t>
      </w:r>
      <w:r w:rsidR="00B978CF" w:rsidRPr="00D83E55">
        <w:rPr>
          <w:rFonts w:ascii="Times New Roman" w:hAnsi="Times New Roman" w:cs="Times New Roman"/>
          <w:b/>
          <w:sz w:val="20"/>
          <w:szCs w:val="20"/>
        </w:rPr>
        <w:t xml:space="preserve"> </w:t>
      </w: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Z</m:t>
            </m:r>
          </m:e>
          <m:sub>
            <m:r>
              <m:rPr>
                <m:sty m:val="bi"/>
              </m:rPr>
              <w:rPr>
                <w:rFonts w:ascii="Cambria Math" w:hAnsi="Cambria Math" w:cs="Times New Roman"/>
                <w:sz w:val="20"/>
                <w:szCs w:val="20"/>
              </w:rPr>
              <m:t>ρ</m:t>
            </m:r>
          </m:sub>
        </m:sSub>
      </m:oMath>
      <w:r w:rsidRPr="00D83E55">
        <w:rPr>
          <w:rFonts w:ascii="Times New Roman" w:hAnsi="Times New Roman" w:cs="Times New Roman"/>
          <w:b/>
          <w:sz w:val="20"/>
          <w:szCs w:val="20"/>
        </w:rPr>
        <w:t xml:space="preserve"> in all RNA-seq samples</w:t>
      </w:r>
      <w:r w:rsidR="00D2000E" w:rsidRPr="00D83E55">
        <w:rPr>
          <w:rFonts w:ascii="Times New Roman" w:hAnsi="Times New Roman" w:cs="Times New Roman"/>
          <w:b/>
          <w:sz w:val="20"/>
          <w:szCs w:val="20"/>
        </w:rPr>
        <w:t xml:space="preserve"> from Maguire </w:t>
      </w:r>
      <w:r w:rsidR="00D2000E" w:rsidRPr="00D83E55">
        <w:rPr>
          <w:rFonts w:ascii="Times New Roman" w:hAnsi="Times New Roman" w:cs="Times New Roman"/>
          <w:b/>
          <w:i/>
          <w:sz w:val="20"/>
          <w:szCs w:val="20"/>
        </w:rPr>
        <w:t>et al</w:t>
      </w:r>
      <w:r w:rsidRPr="00D83E55">
        <w:rPr>
          <w:rFonts w:ascii="Times New Roman" w:hAnsi="Times New Roman" w:cs="Times New Roman"/>
          <w:sz w:val="20"/>
          <w:szCs w:val="20"/>
        </w:rPr>
        <w:t>.</w:t>
      </w:r>
      <w:r w:rsidR="004729E8">
        <w:rPr>
          <w:rFonts w:ascii="Times New Roman" w:hAnsi="Times New Roman" w:cs="Times New Roman"/>
          <w:sz w:val="20"/>
          <w:szCs w:val="20"/>
        </w:rPr>
        <w:t xml:space="preserve"> </w:t>
      </w:r>
      <w:r w:rsidR="004729E8" w:rsidRPr="00D83E55">
        <w:rPr>
          <w:rFonts w:ascii="Times New Roman" w:hAnsi="Times New Roman" w:cs="Times New Roman"/>
          <w:b/>
          <w:sz w:val="20"/>
          <w:szCs w:val="20"/>
        </w:rPr>
        <w:t>(2014)</w:t>
      </w:r>
      <w:r w:rsidR="00936577">
        <w:rPr>
          <w:rFonts w:ascii="Times New Roman" w:hAnsi="Times New Roman" w:cs="Times New Roman"/>
          <w:b/>
          <w:sz w:val="20"/>
          <w:szCs w:val="20"/>
        </w:rPr>
        <w:t xml:space="preserve"> and Hill </w:t>
      </w:r>
      <w:r w:rsidR="00936577" w:rsidRPr="00D83E55">
        <w:rPr>
          <w:rFonts w:ascii="Times New Roman" w:hAnsi="Times New Roman" w:cs="Times New Roman"/>
          <w:b/>
          <w:i/>
          <w:sz w:val="20"/>
          <w:szCs w:val="20"/>
        </w:rPr>
        <w:t>et al.</w:t>
      </w:r>
      <w:r w:rsidR="00B256D9">
        <w:rPr>
          <w:rFonts w:ascii="Times New Roman" w:hAnsi="Times New Roman" w:cs="Times New Roman"/>
          <w:b/>
          <w:i/>
          <w:sz w:val="20"/>
          <w:szCs w:val="20"/>
        </w:rPr>
        <w:t xml:space="preserve"> </w:t>
      </w:r>
      <w:r w:rsidR="00936577">
        <w:rPr>
          <w:rFonts w:ascii="Times New Roman" w:hAnsi="Times New Roman" w:cs="Times New Roman"/>
          <w:b/>
          <w:sz w:val="20"/>
          <w:szCs w:val="20"/>
        </w:rPr>
        <w:t>(2018)</w:t>
      </w:r>
      <w:r w:rsidR="004729E8">
        <w:rPr>
          <w:rFonts w:ascii="Times New Roman" w:hAnsi="Times New Roman" w:cs="Times New Roman"/>
          <w:sz w:val="20"/>
          <w:szCs w:val="20"/>
        </w:rPr>
        <w:t>.</w:t>
      </w:r>
      <w:r w:rsidRPr="00D83E55">
        <w:rPr>
          <w:rFonts w:ascii="Times New Roman" w:hAnsi="Times New Roman" w:cs="Times New Roman"/>
          <w:sz w:val="20"/>
          <w:szCs w:val="20"/>
        </w:rPr>
        <w:t xml:space="preserve"> </w:t>
      </w:r>
      <w:r w:rsidRPr="00D83E55">
        <w:rPr>
          <w:rFonts w:ascii="Times New Roman" w:hAnsi="Times New Roman" w:cs="Times New Roman"/>
          <w:b/>
          <w:sz w:val="20"/>
          <w:szCs w:val="20"/>
        </w:rPr>
        <w:t>random</w:t>
      </w:r>
      <w:r w:rsidRPr="00D83E55">
        <w:rPr>
          <w:rFonts w:ascii="Times New Roman" w:hAnsi="Times New Roman" w:cs="Times New Roman"/>
          <w:sz w:val="20"/>
          <w:szCs w:val="20"/>
        </w:rPr>
        <w:t xml:space="preserve">: random draw, </w:t>
      </w:r>
      <w:r w:rsidRPr="00D83E55">
        <w:rPr>
          <w:rFonts w:ascii="Times New Roman" w:hAnsi="Times New Roman" w:cs="Times New Roman"/>
          <w:b/>
          <w:sz w:val="20"/>
          <w:szCs w:val="20"/>
        </w:rPr>
        <w:t>expr</w:t>
      </w:r>
      <w:r w:rsidRPr="00D83E55">
        <w:rPr>
          <w:rFonts w:ascii="Times New Roman" w:hAnsi="Times New Roman" w:cs="Times New Roman"/>
          <w:sz w:val="20"/>
          <w:szCs w:val="20"/>
        </w:rPr>
        <w:t xml:space="preserve">: </w:t>
      </w:r>
      <w:proofErr w:type="spellStart"/>
      <w:r w:rsidRPr="00D83E55">
        <w:rPr>
          <w:rFonts w:ascii="Times New Roman" w:hAnsi="Times New Roman" w:cs="Times New Roman"/>
          <w:sz w:val="20"/>
          <w:szCs w:val="20"/>
        </w:rPr>
        <w:t>voom</w:t>
      </w:r>
      <w:proofErr w:type="spellEnd"/>
      <w:r w:rsidRPr="00D83E55">
        <w:rPr>
          <w:rFonts w:ascii="Times New Roman" w:hAnsi="Times New Roman" w:cs="Times New Roman"/>
          <w:sz w:val="20"/>
          <w:szCs w:val="20"/>
        </w:rPr>
        <w:t xml:space="preserve">-normalized expression, </w:t>
      </w:r>
      <w:proofErr w:type="spellStart"/>
      <w:r w:rsidRPr="00D83E55">
        <w:rPr>
          <w:rFonts w:ascii="Times New Roman" w:hAnsi="Times New Roman" w:cs="Times New Roman"/>
          <w:b/>
          <w:sz w:val="20"/>
          <w:szCs w:val="20"/>
        </w:rPr>
        <w:t>pkmExpr</w:t>
      </w:r>
      <w:proofErr w:type="spellEnd"/>
      <w:r w:rsidRPr="00D83E55">
        <w:rPr>
          <w:rFonts w:ascii="Times New Roman" w:hAnsi="Times New Roman" w:cs="Times New Roman"/>
          <w:sz w:val="20"/>
          <w:szCs w:val="20"/>
        </w:rPr>
        <w:t xml:space="preserve">: </w:t>
      </w:r>
      <w:proofErr w:type="spellStart"/>
      <w:r w:rsidRPr="00D83E55">
        <w:rPr>
          <w:rFonts w:ascii="Times New Roman" w:hAnsi="Times New Roman" w:cs="Times New Roman"/>
          <w:sz w:val="20"/>
          <w:szCs w:val="20"/>
        </w:rPr>
        <w:t>voom</w:t>
      </w:r>
      <w:proofErr w:type="spellEnd"/>
      <w:r w:rsidRPr="00D83E55">
        <w:rPr>
          <w:rFonts w:ascii="Times New Roman" w:hAnsi="Times New Roman" w:cs="Times New Roman"/>
          <w:sz w:val="20"/>
          <w:szCs w:val="20"/>
        </w:rPr>
        <w:t xml:space="preserve">-normalized expression in RPKM, </w:t>
      </w:r>
      <w:r w:rsidRPr="00D83E55">
        <w:rPr>
          <w:rFonts w:ascii="Times New Roman" w:hAnsi="Times New Roman" w:cs="Times New Roman"/>
          <w:b/>
          <w:sz w:val="20"/>
          <w:szCs w:val="20"/>
        </w:rPr>
        <w:t>relExpr</w:t>
      </w:r>
      <w:r w:rsidR="00DE46D1" w:rsidRPr="00752A32">
        <w:rPr>
          <w:rFonts w:ascii="Times New Roman" w:hAnsi="Times New Roman" w:cs="Times New Roman"/>
          <w:b/>
          <w:sz w:val="20"/>
          <w:szCs w:val="20"/>
        </w:rPr>
        <w:t>1</w:t>
      </w:r>
      <w:r w:rsidRPr="00D83E55">
        <w:rPr>
          <w:rFonts w:ascii="Times New Roman" w:hAnsi="Times New Roman" w:cs="Times New Roman"/>
          <w:sz w:val="20"/>
          <w:szCs w:val="20"/>
        </w:rPr>
        <w:t xml:space="preserve">: relative expression </w:t>
      </w:r>
      <w:r w:rsidRPr="00D83E55">
        <w:rPr>
          <w:rFonts w:ascii="Times New Roman" w:hAnsi="Times New Roman" w:cs="Times New Roman"/>
          <w:b/>
          <w:sz w:val="20"/>
          <w:szCs w:val="20"/>
        </w:rPr>
        <w:t>expr/&lt;expr&gt;</w:t>
      </w:r>
      <w:r w:rsidRPr="00D83E55">
        <w:rPr>
          <w:rFonts w:ascii="Times New Roman" w:hAnsi="Times New Roman" w:cs="Times New Roman"/>
          <w:sz w:val="20"/>
          <w:szCs w:val="20"/>
        </w:rPr>
        <w:t xml:space="preserve">, </w:t>
      </w:r>
      <w:proofErr w:type="spellStart"/>
      <w:r w:rsidRPr="00D83E55">
        <w:rPr>
          <w:rFonts w:ascii="Times New Roman" w:hAnsi="Times New Roman" w:cs="Times New Roman"/>
          <w:b/>
          <w:sz w:val="20"/>
          <w:szCs w:val="20"/>
        </w:rPr>
        <w:t>revExpr</w:t>
      </w:r>
      <w:proofErr w:type="spellEnd"/>
      <w:r w:rsidRPr="00D83E55">
        <w:rPr>
          <w:rFonts w:ascii="Times New Roman" w:hAnsi="Times New Roman" w:cs="Times New Roman"/>
          <w:sz w:val="20"/>
          <w:szCs w:val="20"/>
        </w:rPr>
        <w:t xml:space="preserve">: reverse expression, </w:t>
      </w:r>
      <w:proofErr w:type="spellStart"/>
      <w:r w:rsidRPr="00D83E55">
        <w:rPr>
          <w:rFonts w:ascii="Times New Roman" w:hAnsi="Times New Roman" w:cs="Times New Roman"/>
          <w:b/>
          <w:sz w:val="20"/>
          <w:szCs w:val="20"/>
        </w:rPr>
        <w:t>zExpr</w:t>
      </w:r>
      <w:proofErr w:type="spellEnd"/>
      <w:r w:rsidRPr="00D83E55">
        <w:rPr>
          <w:rFonts w:ascii="Times New Roman" w:hAnsi="Times New Roman" w:cs="Times New Roman"/>
          <w:sz w:val="20"/>
          <w:szCs w:val="20"/>
        </w:rPr>
        <w:t xml:space="preserve">: </w:t>
      </w:r>
      <w:r w:rsidRPr="00D83E55">
        <w:rPr>
          <w:rFonts w:ascii="Times New Roman" w:hAnsi="Times New Roman" w:cs="Times New Roman"/>
          <w:i/>
          <w:sz w:val="20"/>
          <w:szCs w:val="20"/>
        </w:rPr>
        <w:t>z</w:t>
      </w:r>
      <w:r w:rsidRPr="00D83E55">
        <w:rPr>
          <w:rFonts w:ascii="Times New Roman" w:hAnsi="Times New Roman" w:cs="Times New Roman"/>
          <w:sz w:val="20"/>
          <w:szCs w:val="20"/>
        </w:rPr>
        <w:t xml:space="preserve">-score. Lowest </w:t>
      </w:r>
      <m:oMath>
        <m:sSub>
          <m:sSubPr>
            <m:ctrlPr>
              <w:rPr>
                <w:rFonts w:ascii="Cambria Math" w:hAnsi="Cambria Math" w:cs="Times New Roman"/>
                <w:b/>
                <w:i/>
                <w:sz w:val="20"/>
                <w:szCs w:val="20"/>
              </w:rPr>
            </m:ctrlPr>
          </m:sSubPr>
          <m:e>
            <m:r>
              <w:rPr>
                <w:rFonts w:ascii="Cambria Math" w:hAnsi="Cambria Math" w:cs="Times New Roman"/>
                <w:sz w:val="20"/>
                <w:szCs w:val="20"/>
              </w:rPr>
              <m:t>Z</m:t>
            </m:r>
          </m:e>
          <m:sub>
            <m:r>
              <w:rPr>
                <w:rFonts w:ascii="Cambria Math" w:hAnsi="Cambria Math" w:cs="Times New Roman"/>
                <w:sz w:val="20"/>
                <w:szCs w:val="20"/>
              </w:rPr>
              <m:t>ρ</m:t>
            </m:r>
          </m:sub>
        </m:sSub>
      </m:oMath>
      <w:r w:rsidRPr="00D83E55">
        <w:rPr>
          <w:rFonts w:ascii="Times New Roman" w:hAnsi="Times New Roman" w:cs="Times New Roman"/>
          <w:b/>
          <w:sz w:val="20"/>
          <w:szCs w:val="20"/>
        </w:rPr>
        <w:t xml:space="preserve"> </w:t>
      </w:r>
      <w:r w:rsidRPr="00D83E55">
        <w:rPr>
          <w:rFonts w:ascii="Times New Roman" w:hAnsi="Times New Roman" w:cs="Times New Roman"/>
          <w:sz w:val="20"/>
          <w:szCs w:val="20"/>
        </w:rPr>
        <w:t xml:space="preserve">in </w:t>
      </w:r>
      <w:r w:rsidRPr="00D83E55">
        <w:rPr>
          <w:rFonts w:ascii="Times New Roman" w:hAnsi="Times New Roman" w:cs="Times New Roman"/>
          <w:b/>
          <w:sz w:val="20"/>
          <w:szCs w:val="20"/>
        </w:rPr>
        <w:t>bold</w:t>
      </w:r>
      <w:r w:rsidRPr="00D83E55">
        <w:rPr>
          <w:rFonts w:ascii="Times New Roman" w:hAnsi="Times New Roman" w:cs="Times New Roman"/>
          <w:sz w:val="20"/>
          <w:szCs w:val="20"/>
        </w:rPr>
        <w:t xml:space="preserve">, highest </w:t>
      </w:r>
      <m:oMath>
        <m:sSub>
          <m:sSubPr>
            <m:ctrlPr>
              <w:rPr>
                <w:rFonts w:ascii="Cambria Math" w:hAnsi="Cambria Math" w:cs="Times New Roman"/>
                <w:b/>
                <w:i/>
                <w:sz w:val="20"/>
                <w:szCs w:val="20"/>
              </w:rPr>
            </m:ctrlPr>
          </m:sSubPr>
          <m:e>
            <m:r>
              <w:rPr>
                <w:rFonts w:ascii="Cambria Math" w:hAnsi="Cambria Math" w:cs="Times New Roman"/>
                <w:sz w:val="20"/>
                <w:szCs w:val="20"/>
              </w:rPr>
              <m:t>Z</m:t>
            </m:r>
          </m:e>
          <m:sub>
            <m:r>
              <w:rPr>
                <w:rFonts w:ascii="Cambria Math" w:hAnsi="Cambria Math" w:cs="Times New Roman"/>
                <w:sz w:val="20"/>
                <w:szCs w:val="20"/>
              </w:rPr>
              <m:t>ρ</m:t>
            </m:r>
          </m:sub>
        </m:sSub>
      </m:oMath>
      <w:r w:rsidRPr="00D83E55">
        <w:rPr>
          <w:rFonts w:ascii="Times New Roman" w:hAnsi="Times New Roman" w:cs="Times New Roman"/>
          <w:b/>
          <w:sz w:val="20"/>
          <w:szCs w:val="20"/>
        </w:rPr>
        <w:t xml:space="preserve"> </w:t>
      </w:r>
      <w:r w:rsidRPr="00D83E55">
        <w:rPr>
          <w:rFonts w:ascii="Times New Roman" w:hAnsi="Times New Roman" w:cs="Times New Roman"/>
          <w:sz w:val="20"/>
          <w:szCs w:val="20"/>
        </w:rPr>
        <w:t xml:space="preserve">in </w:t>
      </w:r>
      <w:r w:rsidRPr="00D83E55">
        <w:rPr>
          <w:rFonts w:ascii="Times New Roman" w:hAnsi="Times New Roman" w:cs="Times New Roman"/>
          <w:i/>
          <w:sz w:val="20"/>
          <w:szCs w:val="20"/>
        </w:rPr>
        <w:t>italic</w:t>
      </w:r>
      <w:r w:rsidRPr="00D83E55">
        <w:rPr>
          <w:rFonts w:ascii="Times New Roman" w:hAnsi="Times New Roman" w:cs="Times New Roman"/>
          <w:sz w:val="20"/>
          <w:szCs w:val="20"/>
        </w:rPr>
        <w:t>.</w:t>
      </w:r>
    </w:p>
    <w:p w14:paraId="14CB8BC9" w14:textId="77777777" w:rsidR="00A87CE5" w:rsidRPr="00D83E55" w:rsidRDefault="00A87CE5" w:rsidP="00D83E55">
      <w:pPr>
        <w:pStyle w:val="ListParagraph"/>
        <w:spacing w:line="276" w:lineRule="auto"/>
        <w:ind w:left="0"/>
        <w:jc w:val="both"/>
        <w:rPr>
          <w:rFonts w:ascii="Times New Roman" w:hAnsi="Times New Roman" w:cs="Times New Roman"/>
          <w:sz w:val="20"/>
          <w:szCs w:val="20"/>
        </w:rPr>
      </w:pPr>
    </w:p>
    <w:p w14:paraId="5FBE57DD" w14:textId="77777777" w:rsidR="00402FCA" w:rsidRPr="001C5080" w:rsidRDefault="00402FCA" w:rsidP="00944F96">
      <w:pPr>
        <w:spacing w:line="480" w:lineRule="auto"/>
        <w:jc w:val="center"/>
      </w:pPr>
      <w:r>
        <w:t>[TableS2.xlsx]</w:t>
      </w:r>
    </w:p>
    <w:p w14:paraId="243D9BD1" w14:textId="4D925214" w:rsidR="004B4EC6" w:rsidRPr="00D83E55" w:rsidRDefault="00AB5FAD" w:rsidP="00D83E55">
      <w:pPr>
        <w:spacing w:line="276" w:lineRule="auto"/>
        <w:jc w:val="both"/>
        <w:rPr>
          <w:sz w:val="20"/>
          <w:szCs w:val="20"/>
        </w:rPr>
      </w:pPr>
      <w:r w:rsidRPr="00D83E55">
        <w:rPr>
          <w:b/>
          <w:sz w:val="20"/>
          <w:szCs w:val="20"/>
        </w:rPr>
        <w:t xml:space="preserve">Table S2. </w:t>
      </w:r>
      <w:r w:rsidR="00EE3CFB" w:rsidRPr="00D83E55">
        <w:rPr>
          <w:b/>
          <w:sz w:val="20"/>
          <w:szCs w:val="20"/>
        </w:rPr>
        <w:t xml:space="preserve">Enrichment of </w:t>
      </w:r>
      <w:r w:rsidR="004E4E0A" w:rsidRPr="00D83E55">
        <w:rPr>
          <w:b/>
          <w:sz w:val="20"/>
          <w:szCs w:val="20"/>
        </w:rPr>
        <w:t xml:space="preserve">GO135 </w:t>
      </w:r>
      <w:r w:rsidRPr="00D83E55">
        <w:rPr>
          <w:b/>
          <w:sz w:val="20"/>
          <w:szCs w:val="20"/>
        </w:rPr>
        <w:t>based on integration of RNA-</w:t>
      </w:r>
      <w:proofErr w:type="spellStart"/>
      <w:r w:rsidRPr="00D83E55">
        <w:rPr>
          <w:b/>
          <w:sz w:val="20"/>
          <w:szCs w:val="20"/>
        </w:rPr>
        <w:t>seq</w:t>
      </w:r>
      <w:proofErr w:type="spellEnd"/>
      <w:r w:rsidRPr="00D83E55">
        <w:rPr>
          <w:b/>
          <w:sz w:val="20"/>
          <w:szCs w:val="20"/>
        </w:rPr>
        <w:t xml:space="preserve"> data and metabolic networks compared to those obtained in Maguire </w:t>
      </w:r>
      <w:r w:rsidRPr="00D83E55">
        <w:rPr>
          <w:b/>
          <w:i/>
          <w:sz w:val="20"/>
          <w:szCs w:val="20"/>
        </w:rPr>
        <w:t>et al</w:t>
      </w:r>
      <w:r w:rsidRPr="00D83E55">
        <w:rPr>
          <w:sz w:val="20"/>
          <w:szCs w:val="20"/>
        </w:rPr>
        <w:t>.</w:t>
      </w:r>
      <w:r w:rsidRPr="00D83E55">
        <w:rPr>
          <w:b/>
          <w:sz w:val="20"/>
          <w:szCs w:val="20"/>
        </w:rPr>
        <w:t xml:space="preserve"> </w:t>
      </w:r>
      <w:r w:rsidR="004729E8" w:rsidRPr="00D83E55">
        <w:rPr>
          <w:b/>
          <w:sz w:val="20"/>
          <w:szCs w:val="20"/>
        </w:rPr>
        <w:t>(2014)</w:t>
      </w:r>
      <w:r w:rsidR="004729E8">
        <w:rPr>
          <w:sz w:val="20"/>
          <w:szCs w:val="20"/>
        </w:rPr>
        <w:t xml:space="preserve">. </w:t>
      </w:r>
      <w:r w:rsidRPr="00D83E55">
        <w:rPr>
          <w:sz w:val="20"/>
          <w:szCs w:val="20"/>
        </w:rPr>
        <w:t>FDR from permutation test (</w:t>
      </w:r>
      <w:proofErr w:type="spellStart"/>
      <w:r w:rsidRPr="00D83E55">
        <w:rPr>
          <w:sz w:val="20"/>
          <w:szCs w:val="20"/>
        </w:rPr>
        <w:t>metaboGSE</w:t>
      </w:r>
      <w:proofErr w:type="spellEnd"/>
      <w:r w:rsidRPr="00D83E55">
        <w:rPr>
          <w:sz w:val="20"/>
          <w:szCs w:val="20"/>
        </w:rPr>
        <w:t>), Fisher test (topGO), phenotype-based permutation test (GSEA)</w:t>
      </w:r>
      <w:r w:rsidR="00EE3CFB" w:rsidRPr="00D83E55">
        <w:rPr>
          <w:sz w:val="20"/>
          <w:szCs w:val="20"/>
        </w:rPr>
        <w:t xml:space="preserve"> and Maguire </w:t>
      </w:r>
      <w:r w:rsidR="00EE3CFB" w:rsidRPr="00D83E55">
        <w:rPr>
          <w:i/>
          <w:sz w:val="20"/>
          <w:szCs w:val="20"/>
        </w:rPr>
        <w:t>et al</w:t>
      </w:r>
      <w:r w:rsidR="00EE3CFB" w:rsidRPr="00D83E55">
        <w:rPr>
          <w:sz w:val="20"/>
          <w:szCs w:val="20"/>
        </w:rPr>
        <w:t>.</w:t>
      </w:r>
      <w:r w:rsidR="00356456">
        <w:rPr>
          <w:sz w:val="20"/>
          <w:szCs w:val="20"/>
        </w:rPr>
        <w:t xml:space="preserve"> </w:t>
      </w:r>
      <w:r w:rsidR="00356456" w:rsidRPr="00D83E55">
        <w:rPr>
          <w:sz w:val="20"/>
          <w:szCs w:val="20"/>
        </w:rPr>
        <w:t>(2014)</w:t>
      </w:r>
      <w:r w:rsidR="008E61D3">
        <w:rPr>
          <w:sz w:val="20"/>
          <w:szCs w:val="20"/>
        </w:rPr>
        <w:t xml:space="preserve"> are reported</w:t>
      </w:r>
      <w:r w:rsidR="00356456">
        <w:rPr>
          <w:sz w:val="20"/>
          <w:szCs w:val="20"/>
        </w:rPr>
        <w:t>.</w:t>
      </w:r>
      <w:r w:rsidR="005502CA">
        <w:rPr>
          <w:sz w:val="20"/>
          <w:szCs w:val="20"/>
        </w:rPr>
        <w:t xml:space="preserve"> NA values indicate that the GO terms were not found by the corresponding method</w:t>
      </w:r>
      <w:r w:rsidR="00D4123F">
        <w:rPr>
          <w:sz w:val="20"/>
          <w:szCs w:val="20"/>
        </w:rPr>
        <w:t>s.</w:t>
      </w:r>
      <w:r w:rsidR="003463C5">
        <w:rPr>
          <w:sz w:val="20"/>
          <w:szCs w:val="20"/>
        </w:rPr>
        <w:t xml:space="preserve"> The top 50 GO terms enriched </w:t>
      </w:r>
      <w:r w:rsidR="00944069">
        <w:rPr>
          <w:sz w:val="20"/>
          <w:szCs w:val="20"/>
        </w:rPr>
        <w:t xml:space="preserve">by </w:t>
      </w:r>
      <w:proofErr w:type="spellStart"/>
      <w:r w:rsidR="00944069">
        <w:rPr>
          <w:sz w:val="20"/>
          <w:szCs w:val="20"/>
        </w:rPr>
        <w:t>metaboGSE</w:t>
      </w:r>
      <w:proofErr w:type="spellEnd"/>
      <w:r w:rsidR="00944069">
        <w:rPr>
          <w:sz w:val="20"/>
          <w:szCs w:val="20"/>
        </w:rPr>
        <w:t xml:space="preserve"> are marked in red, topGO weight01 in blue, and GSEA in yellow.</w:t>
      </w:r>
    </w:p>
    <w:p w14:paraId="6A8F754B" w14:textId="77777777" w:rsidR="004B4EC6" w:rsidRDefault="004B4EC6">
      <w:pPr>
        <w:rPr>
          <w:b/>
          <w:sz w:val="28"/>
          <w:szCs w:val="28"/>
        </w:rPr>
      </w:pPr>
      <w:r>
        <w:rPr>
          <w:b/>
          <w:sz w:val="28"/>
          <w:szCs w:val="28"/>
        </w:rPr>
        <w:br w:type="page"/>
      </w:r>
    </w:p>
    <w:p w14:paraId="1C93AC51" w14:textId="77777777" w:rsidR="0072402B" w:rsidRPr="0072402B" w:rsidRDefault="0072402B" w:rsidP="00944F96">
      <w:pPr>
        <w:spacing w:line="480" w:lineRule="auto"/>
        <w:jc w:val="both"/>
        <w:rPr>
          <w:b/>
          <w:sz w:val="28"/>
          <w:szCs w:val="28"/>
        </w:rPr>
      </w:pPr>
      <w:r w:rsidRPr="0072402B">
        <w:rPr>
          <w:b/>
          <w:sz w:val="28"/>
          <w:szCs w:val="28"/>
        </w:rPr>
        <w:lastRenderedPageBreak/>
        <w:t>References</w:t>
      </w:r>
    </w:p>
    <w:p w14:paraId="684672BE" w14:textId="77777777" w:rsidR="002A6FB6" w:rsidRPr="002A6FB6" w:rsidRDefault="0072402B" w:rsidP="00D16405">
      <w:pPr>
        <w:pStyle w:val="Bibliography"/>
        <w:spacing w:line="480" w:lineRule="auto"/>
      </w:pPr>
      <w:r>
        <w:fldChar w:fldCharType="begin"/>
      </w:r>
      <w:r w:rsidR="00455408">
        <w:instrText xml:space="preserve"> ADDIN ZOTERO_BIBL {"uncited":[],"omitted":[],"custom":[]} CSL_BIBLIOGRAPHY </w:instrText>
      </w:r>
      <w:r>
        <w:fldChar w:fldCharType="separate"/>
      </w:r>
      <w:r w:rsidR="002A6FB6" w:rsidRPr="002A6FB6">
        <w:t>Alexa,A. and Rahnenführer,J. (2016) topGO: Enrichment Analysis for Gene Ontology. R package version 2.24.0.</w:t>
      </w:r>
    </w:p>
    <w:p w14:paraId="71ACE2A0" w14:textId="77777777" w:rsidR="002A6FB6" w:rsidRPr="002A6FB6" w:rsidRDefault="002A6FB6" w:rsidP="00D16405">
      <w:pPr>
        <w:pStyle w:val="Bibliography"/>
        <w:spacing w:line="480" w:lineRule="auto"/>
      </w:pPr>
      <w:r w:rsidRPr="002A6FB6">
        <w:t xml:space="preserve">Anders,S. </w:t>
      </w:r>
      <w:r w:rsidRPr="002A6FB6">
        <w:rPr>
          <w:i/>
          <w:iCs/>
        </w:rPr>
        <w:t>et al.</w:t>
      </w:r>
      <w:r w:rsidRPr="002A6FB6">
        <w:t xml:space="preserve"> (2015) HTSeq—a Python framework to work with high-throughput sequencing data. </w:t>
      </w:r>
      <w:r w:rsidRPr="002A6FB6">
        <w:rPr>
          <w:i/>
          <w:iCs/>
        </w:rPr>
        <w:t>Bioinformatics</w:t>
      </w:r>
      <w:r w:rsidRPr="002A6FB6">
        <w:t xml:space="preserve">, </w:t>
      </w:r>
      <w:r w:rsidRPr="002A6FB6">
        <w:rPr>
          <w:b/>
          <w:bCs/>
        </w:rPr>
        <w:t>31</w:t>
      </w:r>
      <w:r w:rsidRPr="002A6FB6">
        <w:t>, 166–169.</w:t>
      </w:r>
    </w:p>
    <w:p w14:paraId="107EFAC8" w14:textId="77777777" w:rsidR="002A6FB6" w:rsidRPr="002A6FB6" w:rsidRDefault="002A6FB6" w:rsidP="00D16405">
      <w:pPr>
        <w:pStyle w:val="Bibliography"/>
        <w:spacing w:line="480" w:lineRule="auto"/>
      </w:pPr>
      <w:r w:rsidRPr="002A6FB6">
        <w:t xml:space="preserve">Becker,S.A. and Palsson,B.O. (2008) Context-specific metabolic networks are consistent with experiments. </w:t>
      </w:r>
      <w:r w:rsidRPr="002A6FB6">
        <w:rPr>
          <w:i/>
          <w:iCs/>
        </w:rPr>
        <w:t>PLoS Comput. Biol.</w:t>
      </w:r>
      <w:r w:rsidRPr="002A6FB6">
        <w:t xml:space="preserve">, </w:t>
      </w:r>
      <w:r w:rsidRPr="002A6FB6">
        <w:rPr>
          <w:b/>
          <w:bCs/>
        </w:rPr>
        <w:t>4</w:t>
      </w:r>
      <w:r w:rsidRPr="002A6FB6">
        <w:t>, e1000082.</w:t>
      </w:r>
    </w:p>
    <w:p w14:paraId="7267786F" w14:textId="77777777" w:rsidR="002A6FB6" w:rsidRPr="002A6FB6" w:rsidRDefault="002A6FB6" w:rsidP="00D16405">
      <w:pPr>
        <w:pStyle w:val="Bibliography"/>
        <w:spacing w:line="480" w:lineRule="auto"/>
      </w:pPr>
      <w:r w:rsidRPr="002A6FB6">
        <w:t xml:space="preserve">Benjamini,Y. and Hochberg,Y. (1995) Controlling the False Discovery Rate: A Practical and Powerful Approach to Multiple Testing. </w:t>
      </w:r>
      <w:r w:rsidRPr="002A6FB6">
        <w:rPr>
          <w:i/>
          <w:iCs/>
        </w:rPr>
        <w:t>J. R. Stat. Soc. Ser. B Methodol.</w:t>
      </w:r>
      <w:r w:rsidRPr="002A6FB6">
        <w:t xml:space="preserve">, </w:t>
      </w:r>
      <w:r w:rsidRPr="002A6FB6">
        <w:rPr>
          <w:b/>
          <w:bCs/>
        </w:rPr>
        <w:t>57</w:t>
      </w:r>
      <w:r w:rsidRPr="002A6FB6">
        <w:t>, 289–300.</w:t>
      </w:r>
    </w:p>
    <w:p w14:paraId="068439DB" w14:textId="77777777" w:rsidR="002A6FB6" w:rsidRPr="002A6FB6" w:rsidRDefault="002A6FB6" w:rsidP="00D16405">
      <w:pPr>
        <w:pStyle w:val="Bibliography"/>
        <w:spacing w:line="480" w:lineRule="auto"/>
      </w:pPr>
      <w:r w:rsidRPr="002A6FB6">
        <w:t>Carlson,M. (2018) org.Mm.eg.db: Genome wide annotation for Mouse. R package version 3.6.0.</w:t>
      </w:r>
    </w:p>
    <w:p w14:paraId="19AC4008" w14:textId="77777777" w:rsidR="002A6FB6" w:rsidRPr="002A6FB6" w:rsidRDefault="002A6FB6" w:rsidP="00D16405">
      <w:pPr>
        <w:pStyle w:val="Bibliography"/>
        <w:spacing w:line="480" w:lineRule="auto"/>
      </w:pPr>
      <w:r w:rsidRPr="002A6FB6">
        <w:t>Gelius-Dietrich,G. (2016) clpAPI: R Interface to C API of COIN-OR Clp. R package version 1.2.7.</w:t>
      </w:r>
    </w:p>
    <w:p w14:paraId="00213299" w14:textId="77777777" w:rsidR="002A6FB6" w:rsidRPr="002A6FB6" w:rsidRDefault="002A6FB6" w:rsidP="00D16405">
      <w:pPr>
        <w:pStyle w:val="Bibliography"/>
        <w:spacing w:line="480" w:lineRule="auto"/>
      </w:pPr>
      <w:r w:rsidRPr="002A6FB6">
        <w:t>Gelius-Dietrich,G. (2015) glpkAPI: R Interface to C API of GLPK. R package version 1.3.0.</w:t>
      </w:r>
    </w:p>
    <w:p w14:paraId="149EDA32" w14:textId="77777777" w:rsidR="002A6FB6" w:rsidRPr="002A6FB6" w:rsidRDefault="002A6FB6" w:rsidP="00D16405">
      <w:pPr>
        <w:pStyle w:val="Bibliography"/>
        <w:spacing w:line="480" w:lineRule="auto"/>
      </w:pPr>
      <w:r w:rsidRPr="002A6FB6">
        <w:t xml:space="preserve">Gelius-Dietrich,G. </w:t>
      </w:r>
      <w:r w:rsidRPr="002A6FB6">
        <w:rPr>
          <w:i/>
          <w:iCs/>
        </w:rPr>
        <w:t>et al.</w:t>
      </w:r>
      <w:r w:rsidRPr="002A6FB6">
        <w:t xml:space="preserve"> (2013) sybil – Efficient constraint-based modelling in R. </w:t>
      </w:r>
      <w:r w:rsidRPr="002A6FB6">
        <w:rPr>
          <w:i/>
          <w:iCs/>
        </w:rPr>
        <w:t>BMC Syst. Biol.</w:t>
      </w:r>
      <w:r w:rsidRPr="002A6FB6">
        <w:t xml:space="preserve">, </w:t>
      </w:r>
      <w:r w:rsidRPr="002A6FB6">
        <w:rPr>
          <w:b/>
          <w:bCs/>
        </w:rPr>
        <w:t>7</w:t>
      </w:r>
      <w:r w:rsidRPr="002A6FB6">
        <w:t>, 125.</w:t>
      </w:r>
    </w:p>
    <w:p w14:paraId="2D257600" w14:textId="77777777" w:rsidR="002A6FB6" w:rsidRPr="002A6FB6" w:rsidRDefault="002A6FB6" w:rsidP="00D16405">
      <w:pPr>
        <w:pStyle w:val="Bibliography"/>
        <w:spacing w:line="480" w:lineRule="auto"/>
      </w:pPr>
      <w:r w:rsidRPr="002A6FB6">
        <w:t xml:space="preserve">Heirendt,L. </w:t>
      </w:r>
      <w:r w:rsidRPr="002A6FB6">
        <w:rPr>
          <w:i/>
          <w:iCs/>
        </w:rPr>
        <w:t>et al.</w:t>
      </w:r>
      <w:r w:rsidRPr="002A6FB6">
        <w:t xml:space="preserve"> (2017) Creation and analysis of biochemical constraint-based models: the COBRA Toolbox v3.0. </w:t>
      </w:r>
      <w:r w:rsidRPr="002A6FB6">
        <w:rPr>
          <w:i/>
          <w:iCs/>
        </w:rPr>
        <w:t>ArXiv171004038 Q-Bio</w:t>
      </w:r>
      <w:r w:rsidRPr="002A6FB6">
        <w:t>.</w:t>
      </w:r>
    </w:p>
    <w:p w14:paraId="112CAAF0" w14:textId="77777777" w:rsidR="002A6FB6" w:rsidRPr="002A6FB6" w:rsidRDefault="002A6FB6" w:rsidP="00D16405">
      <w:pPr>
        <w:pStyle w:val="Bibliography"/>
        <w:spacing w:line="480" w:lineRule="auto"/>
      </w:pPr>
      <w:r w:rsidRPr="002A6FB6">
        <w:t xml:space="preserve">Henry,C.S. </w:t>
      </w:r>
      <w:r w:rsidRPr="002A6FB6">
        <w:rPr>
          <w:i/>
          <w:iCs/>
        </w:rPr>
        <w:t>et al.</w:t>
      </w:r>
      <w:r w:rsidRPr="002A6FB6">
        <w:t xml:space="preserve"> (2007) Thermodynamics-Based Metabolic Flux Analysis. </w:t>
      </w:r>
      <w:r w:rsidRPr="002A6FB6">
        <w:rPr>
          <w:i/>
          <w:iCs/>
        </w:rPr>
        <w:t>Biophys. J.</w:t>
      </w:r>
      <w:r w:rsidRPr="002A6FB6">
        <w:t xml:space="preserve">, </w:t>
      </w:r>
      <w:r w:rsidRPr="002A6FB6">
        <w:rPr>
          <w:b/>
          <w:bCs/>
        </w:rPr>
        <w:t>92</w:t>
      </w:r>
      <w:r w:rsidRPr="002A6FB6">
        <w:t>, 1792–1805.</w:t>
      </w:r>
    </w:p>
    <w:p w14:paraId="79A66312" w14:textId="77777777" w:rsidR="002A6FB6" w:rsidRPr="002A6FB6" w:rsidRDefault="002A6FB6" w:rsidP="00D16405">
      <w:pPr>
        <w:pStyle w:val="Bibliography"/>
        <w:spacing w:line="480" w:lineRule="auto"/>
      </w:pPr>
      <w:r w:rsidRPr="002A6FB6">
        <w:t xml:space="preserve">Hill,D.A. </w:t>
      </w:r>
      <w:r w:rsidRPr="002A6FB6">
        <w:rPr>
          <w:i/>
          <w:iCs/>
        </w:rPr>
        <w:t>et al.</w:t>
      </w:r>
      <w:r w:rsidRPr="002A6FB6">
        <w:t xml:space="preserve"> (2018) Distinct macrophage populations direct inflammatory versus physiological changes in adipose tissue. </w:t>
      </w:r>
      <w:r w:rsidRPr="002A6FB6">
        <w:rPr>
          <w:i/>
          <w:iCs/>
        </w:rPr>
        <w:t>Proc. Natl. Acad. Sci. U. S. A.</w:t>
      </w:r>
      <w:r w:rsidRPr="002A6FB6">
        <w:t xml:space="preserve">, </w:t>
      </w:r>
      <w:r w:rsidRPr="002A6FB6">
        <w:rPr>
          <w:b/>
          <w:bCs/>
        </w:rPr>
        <w:t>115</w:t>
      </w:r>
      <w:r w:rsidRPr="002A6FB6">
        <w:t>, E5096–E5105.</w:t>
      </w:r>
    </w:p>
    <w:p w14:paraId="7F3397FB" w14:textId="77777777" w:rsidR="002A6FB6" w:rsidRPr="002A6FB6" w:rsidRDefault="002A6FB6" w:rsidP="00D16405">
      <w:pPr>
        <w:pStyle w:val="Bibliography"/>
        <w:spacing w:line="480" w:lineRule="auto"/>
      </w:pPr>
      <w:r w:rsidRPr="002A6FB6">
        <w:t xml:space="preserve">Kim,D. </w:t>
      </w:r>
      <w:r w:rsidRPr="002A6FB6">
        <w:rPr>
          <w:i/>
          <w:iCs/>
        </w:rPr>
        <w:t>et al.</w:t>
      </w:r>
      <w:r w:rsidRPr="002A6FB6">
        <w:t xml:space="preserve"> (2013) TopHat2: accurate alignment of transcriptomes in the presence of insertions, deletions and gene fusions. </w:t>
      </w:r>
      <w:r w:rsidRPr="002A6FB6">
        <w:rPr>
          <w:i/>
          <w:iCs/>
        </w:rPr>
        <w:t>Genome Biol.</w:t>
      </w:r>
      <w:r w:rsidRPr="002A6FB6">
        <w:t xml:space="preserve">, </w:t>
      </w:r>
      <w:r w:rsidRPr="002A6FB6">
        <w:rPr>
          <w:b/>
          <w:bCs/>
        </w:rPr>
        <w:t>14</w:t>
      </w:r>
      <w:r w:rsidRPr="002A6FB6">
        <w:t>, R36.</w:t>
      </w:r>
    </w:p>
    <w:p w14:paraId="795A6E7E" w14:textId="77777777" w:rsidR="002A6FB6" w:rsidRPr="002A6FB6" w:rsidRDefault="002A6FB6" w:rsidP="00D16405">
      <w:pPr>
        <w:pStyle w:val="Bibliography"/>
        <w:spacing w:line="480" w:lineRule="auto"/>
      </w:pPr>
      <w:r w:rsidRPr="002A6FB6">
        <w:t xml:space="preserve">Law,C.W. </w:t>
      </w:r>
      <w:r w:rsidRPr="002A6FB6">
        <w:rPr>
          <w:i/>
          <w:iCs/>
        </w:rPr>
        <w:t>et al.</w:t>
      </w:r>
      <w:r w:rsidRPr="002A6FB6">
        <w:t xml:space="preserve"> (2014) voom: precision weights unlock linear model analysis tools for RNA-seq read counts. </w:t>
      </w:r>
      <w:r w:rsidRPr="002A6FB6">
        <w:rPr>
          <w:i/>
          <w:iCs/>
        </w:rPr>
        <w:t>Genome Biol.</w:t>
      </w:r>
      <w:r w:rsidRPr="002A6FB6">
        <w:t xml:space="preserve">, </w:t>
      </w:r>
      <w:r w:rsidRPr="002A6FB6">
        <w:rPr>
          <w:b/>
          <w:bCs/>
        </w:rPr>
        <w:t>15</w:t>
      </w:r>
      <w:r w:rsidRPr="002A6FB6">
        <w:t>, R29.</w:t>
      </w:r>
    </w:p>
    <w:p w14:paraId="1D4DD0C9" w14:textId="77777777" w:rsidR="002A6FB6" w:rsidRPr="002A6FB6" w:rsidRDefault="002A6FB6" w:rsidP="00D16405">
      <w:pPr>
        <w:pStyle w:val="Bibliography"/>
        <w:spacing w:line="480" w:lineRule="auto"/>
      </w:pPr>
      <w:r w:rsidRPr="002A6FB6">
        <w:lastRenderedPageBreak/>
        <w:t xml:space="preserve">Maguire,S.L. </w:t>
      </w:r>
      <w:r w:rsidRPr="002A6FB6">
        <w:rPr>
          <w:i/>
          <w:iCs/>
        </w:rPr>
        <w:t>et al.</w:t>
      </w:r>
      <w:r w:rsidRPr="002A6FB6">
        <w:t xml:space="preserve"> (2014) Zinc finger transcription factors displaced SREBP proteins as the major Sterol regulators during Saccharomycotina evolution. </w:t>
      </w:r>
      <w:r w:rsidRPr="002A6FB6">
        <w:rPr>
          <w:i/>
          <w:iCs/>
        </w:rPr>
        <w:t>PLoS Genet.</w:t>
      </w:r>
      <w:r w:rsidRPr="002A6FB6">
        <w:t xml:space="preserve">, </w:t>
      </w:r>
      <w:r w:rsidRPr="002A6FB6">
        <w:rPr>
          <w:b/>
          <w:bCs/>
        </w:rPr>
        <w:t>10</w:t>
      </w:r>
      <w:r w:rsidRPr="002A6FB6">
        <w:t>, e1004076.</w:t>
      </w:r>
    </w:p>
    <w:p w14:paraId="4D4F6FFB" w14:textId="77777777" w:rsidR="002A6FB6" w:rsidRPr="002A6FB6" w:rsidRDefault="002A6FB6" w:rsidP="00D16405">
      <w:pPr>
        <w:pStyle w:val="Bibliography"/>
        <w:spacing w:line="480" w:lineRule="auto"/>
      </w:pPr>
      <w:r w:rsidRPr="002A6FB6">
        <w:t xml:space="preserve">Robinson,M.D. and Oshlack,A. (2010) A scaling normalization method for differential expression analysis of RNA-seq data. </w:t>
      </w:r>
      <w:r w:rsidRPr="002A6FB6">
        <w:rPr>
          <w:i/>
          <w:iCs/>
        </w:rPr>
        <w:t>Genome Biol.</w:t>
      </w:r>
      <w:r w:rsidRPr="002A6FB6">
        <w:t xml:space="preserve">, </w:t>
      </w:r>
      <w:r w:rsidRPr="002A6FB6">
        <w:rPr>
          <w:b/>
          <w:bCs/>
        </w:rPr>
        <w:t>11</w:t>
      </w:r>
      <w:r w:rsidRPr="002A6FB6">
        <w:t>, R25.</w:t>
      </w:r>
    </w:p>
    <w:p w14:paraId="7B87DC87" w14:textId="77777777" w:rsidR="002A6FB6" w:rsidRPr="002A6FB6" w:rsidRDefault="002A6FB6" w:rsidP="00D16405">
      <w:pPr>
        <w:pStyle w:val="Bibliography"/>
        <w:spacing w:line="480" w:lineRule="auto"/>
      </w:pPr>
      <w:r w:rsidRPr="002A6FB6">
        <w:t xml:space="preserve">Sigurdsson,M.I. </w:t>
      </w:r>
      <w:r w:rsidRPr="002A6FB6">
        <w:rPr>
          <w:i/>
          <w:iCs/>
        </w:rPr>
        <w:t>et al.</w:t>
      </w:r>
      <w:r w:rsidRPr="002A6FB6">
        <w:t xml:space="preserve"> (2010) A detailed genome-wide reconstruction of mouse metabolism based on human Recon 1. </w:t>
      </w:r>
      <w:r w:rsidRPr="002A6FB6">
        <w:rPr>
          <w:i/>
          <w:iCs/>
        </w:rPr>
        <w:t>BMC Syst. Biol.</w:t>
      </w:r>
      <w:r w:rsidRPr="002A6FB6">
        <w:t xml:space="preserve">, </w:t>
      </w:r>
      <w:r w:rsidRPr="002A6FB6">
        <w:rPr>
          <w:b/>
          <w:bCs/>
        </w:rPr>
        <w:t>4</w:t>
      </w:r>
      <w:r w:rsidRPr="002A6FB6">
        <w:t>, 140–140.</w:t>
      </w:r>
    </w:p>
    <w:p w14:paraId="262419E9" w14:textId="77777777" w:rsidR="002A6FB6" w:rsidRPr="002A6FB6" w:rsidRDefault="002A6FB6" w:rsidP="00D16405">
      <w:pPr>
        <w:pStyle w:val="Bibliography"/>
        <w:spacing w:line="480" w:lineRule="auto"/>
      </w:pPr>
      <w:r w:rsidRPr="002A6FB6">
        <w:t xml:space="preserve">Smyth,G.K. (2005) limma: Linear Models for Microarray Data. In, </w:t>
      </w:r>
      <w:r w:rsidRPr="002A6FB6">
        <w:rPr>
          <w:i/>
          <w:iCs/>
        </w:rPr>
        <w:t>Bioinformatics and Computational Biology Solutions Using R and Bioconductor</w:t>
      </w:r>
      <w:r w:rsidRPr="002A6FB6">
        <w:t>, Statistics for Biology and Health. Springer, New York, NY, pp. 397–420.</w:t>
      </w:r>
    </w:p>
    <w:p w14:paraId="5202C4A7" w14:textId="77777777" w:rsidR="002A6FB6" w:rsidRPr="002A6FB6" w:rsidRDefault="002A6FB6" w:rsidP="00D16405">
      <w:pPr>
        <w:pStyle w:val="Bibliography"/>
        <w:spacing w:line="480" w:lineRule="auto"/>
      </w:pPr>
      <w:r w:rsidRPr="002A6FB6">
        <w:t xml:space="preserve">Subramanian,A. </w:t>
      </w:r>
      <w:r w:rsidRPr="002A6FB6">
        <w:rPr>
          <w:i/>
          <w:iCs/>
        </w:rPr>
        <w:t>et al.</w:t>
      </w:r>
      <w:r w:rsidRPr="002A6FB6">
        <w:t xml:space="preserve"> (2005) Gene set enrichment analysis: a knowledge-based approach for interpreting genome-wide expression profiles. </w:t>
      </w:r>
      <w:r w:rsidRPr="002A6FB6">
        <w:rPr>
          <w:i/>
          <w:iCs/>
        </w:rPr>
        <w:t>Proc. Natl. Acad. Sci. U. S. A.</w:t>
      </w:r>
      <w:r w:rsidRPr="002A6FB6">
        <w:t xml:space="preserve">, </w:t>
      </w:r>
      <w:r w:rsidRPr="002A6FB6">
        <w:rPr>
          <w:b/>
          <w:bCs/>
        </w:rPr>
        <w:t>102</w:t>
      </w:r>
      <w:r w:rsidRPr="002A6FB6">
        <w:t>, 15545–15550.</w:t>
      </w:r>
    </w:p>
    <w:p w14:paraId="4F3F1FAC" w14:textId="77777777" w:rsidR="002A6FB6" w:rsidRPr="002A6FB6" w:rsidRDefault="002A6FB6" w:rsidP="00D16405">
      <w:pPr>
        <w:pStyle w:val="Bibliography"/>
        <w:spacing w:line="480" w:lineRule="auto"/>
      </w:pPr>
      <w:r w:rsidRPr="002A6FB6">
        <w:t xml:space="preserve">UniProt Consortium (2015) UniProt: a hub for protein information. </w:t>
      </w:r>
      <w:r w:rsidRPr="002A6FB6">
        <w:rPr>
          <w:i/>
          <w:iCs/>
        </w:rPr>
        <w:t>Nucleic Acids Res.</w:t>
      </w:r>
      <w:r w:rsidRPr="002A6FB6">
        <w:t xml:space="preserve">, </w:t>
      </w:r>
      <w:r w:rsidRPr="002A6FB6">
        <w:rPr>
          <w:b/>
          <w:bCs/>
        </w:rPr>
        <w:t>43</w:t>
      </w:r>
      <w:r w:rsidRPr="002A6FB6">
        <w:t>, D204-212.</w:t>
      </w:r>
    </w:p>
    <w:p w14:paraId="43AEDDA1" w14:textId="77777777" w:rsidR="002A6FB6" w:rsidRPr="002A6FB6" w:rsidRDefault="002A6FB6" w:rsidP="00D16405">
      <w:pPr>
        <w:pStyle w:val="Bibliography"/>
        <w:spacing w:line="480" w:lineRule="auto"/>
      </w:pPr>
      <w:r w:rsidRPr="002A6FB6">
        <w:t xml:space="preserve">Zur,H. </w:t>
      </w:r>
      <w:r w:rsidRPr="002A6FB6">
        <w:rPr>
          <w:i/>
          <w:iCs/>
        </w:rPr>
        <w:t>et al.</w:t>
      </w:r>
      <w:r w:rsidRPr="002A6FB6">
        <w:t xml:space="preserve"> (2010) iMAT: an integrative metabolic analysis tool. </w:t>
      </w:r>
      <w:r w:rsidRPr="002A6FB6">
        <w:rPr>
          <w:i/>
          <w:iCs/>
        </w:rPr>
        <w:t>Bioinforma. Oxf. Engl.</w:t>
      </w:r>
      <w:r w:rsidRPr="002A6FB6">
        <w:t xml:space="preserve">, </w:t>
      </w:r>
      <w:r w:rsidRPr="002A6FB6">
        <w:rPr>
          <w:b/>
          <w:bCs/>
        </w:rPr>
        <w:t>26</w:t>
      </w:r>
      <w:r w:rsidRPr="002A6FB6">
        <w:t>, 3140–3142.</w:t>
      </w:r>
    </w:p>
    <w:p w14:paraId="267942A8" w14:textId="77777777" w:rsidR="00AB5FAD" w:rsidRPr="00AB5FAD" w:rsidRDefault="0072402B" w:rsidP="00D16405">
      <w:pPr>
        <w:pStyle w:val="Bibliography"/>
        <w:spacing w:line="480" w:lineRule="auto"/>
      </w:pPr>
      <w:r>
        <w:fldChar w:fldCharType="end"/>
      </w:r>
    </w:p>
    <w:sectPr w:rsidR="00AB5FAD" w:rsidRPr="00AB5FAD" w:rsidSect="0095336D">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FAD"/>
    <w:rsid w:val="000049E5"/>
    <w:rsid w:val="00011F07"/>
    <w:rsid w:val="000143AB"/>
    <w:rsid w:val="00036C54"/>
    <w:rsid w:val="000437E3"/>
    <w:rsid w:val="000447A7"/>
    <w:rsid w:val="00051ACE"/>
    <w:rsid w:val="00053CDC"/>
    <w:rsid w:val="0005627E"/>
    <w:rsid w:val="00056F67"/>
    <w:rsid w:val="00061878"/>
    <w:rsid w:val="000646D3"/>
    <w:rsid w:val="00074102"/>
    <w:rsid w:val="00075B04"/>
    <w:rsid w:val="000776B0"/>
    <w:rsid w:val="00077957"/>
    <w:rsid w:val="00095761"/>
    <w:rsid w:val="000B0E49"/>
    <w:rsid w:val="000B20E8"/>
    <w:rsid w:val="000B4A9D"/>
    <w:rsid w:val="000B4F8E"/>
    <w:rsid w:val="000B7696"/>
    <w:rsid w:val="000D44E1"/>
    <w:rsid w:val="000E7153"/>
    <w:rsid w:val="00104D45"/>
    <w:rsid w:val="00107029"/>
    <w:rsid w:val="0011287C"/>
    <w:rsid w:val="001158E6"/>
    <w:rsid w:val="00125208"/>
    <w:rsid w:val="0012773E"/>
    <w:rsid w:val="00137684"/>
    <w:rsid w:val="001604B9"/>
    <w:rsid w:val="00160814"/>
    <w:rsid w:val="00163D6A"/>
    <w:rsid w:val="00164C9C"/>
    <w:rsid w:val="00166B3F"/>
    <w:rsid w:val="00170733"/>
    <w:rsid w:val="00172CDA"/>
    <w:rsid w:val="00181F2D"/>
    <w:rsid w:val="001A1B61"/>
    <w:rsid w:val="001A24A9"/>
    <w:rsid w:val="001A3AE1"/>
    <w:rsid w:val="001A3E87"/>
    <w:rsid w:val="001A52E2"/>
    <w:rsid w:val="001D3B48"/>
    <w:rsid w:val="001E74D3"/>
    <w:rsid w:val="001F2E90"/>
    <w:rsid w:val="00206499"/>
    <w:rsid w:val="00224EE8"/>
    <w:rsid w:val="0023071C"/>
    <w:rsid w:val="00240309"/>
    <w:rsid w:val="00240DB4"/>
    <w:rsid w:val="00250BC4"/>
    <w:rsid w:val="0026116B"/>
    <w:rsid w:val="00270FDC"/>
    <w:rsid w:val="002831AD"/>
    <w:rsid w:val="002875D3"/>
    <w:rsid w:val="00291409"/>
    <w:rsid w:val="002A1DCC"/>
    <w:rsid w:val="002A2673"/>
    <w:rsid w:val="002A4285"/>
    <w:rsid w:val="002A6FB6"/>
    <w:rsid w:val="002D1A62"/>
    <w:rsid w:val="002D5F37"/>
    <w:rsid w:val="002E5D76"/>
    <w:rsid w:val="002E7C83"/>
    <w:rsid w:val="002F74EF"/>
    <w:rsid w:val="00305A32"/>
    <w:rsid w:val="00326226"/>
    <w:rsid w:val="00326769"/>
    <w:rsid w:val="00330067"/>
    <w:rsid w:val="0033494A"/>
    <w:rsid w:val="00343689"/>
    <w:rsid w:val="003463C5"/>
    <w:rsid w:val="00356456"/>
    <w:rsid w:val="00357129"/>
    <w:rsid w:val="00380B03"/>
    <w:rsid w:val="003964BF"/>
    <w:rsid w:val="003C07A1"/>
    <w:rsid w:val="003D5169"/>
    <w:rsid w:val="003F339A"/>
    <w:rsid w:val="00402FCA"/>
    <w:rsid w:val="00416E59"/>
    <w:rsid w:val="0042126F"/>
    <w:rsid w:val="00423049"/>
    <w:rsid w:val="004404F2"/>
    <w:rsid w:val="00445C26"/>
    <w:rsid w:val="0044615F"/>
    <w:rsid w:val="00446792"/>
    <w:rsid w:val="00455408"/>
    <w:rsid w:val="004603D1"/>
    <w:rsid w:val="004729E8"/>
    <w:rsid w:val="00482334"/>
    <w:rsid w:val="00490010"/>
    <w:rsid w:val="004928CA"/>
    <w:rsid w:val="004B4EC6"/>
    <w:rsid w:val="004B5E00"/>
    <w:rsid w:val="004D6B6E"/>
    <w:rsid w:val="004E4E0A"/>
    <w:rsid w:val="004F4EE4"/>
    <w:rsid w:val="00503D35"/>
    <w:rsid w:val="00512759"/>
    <w:rsid w:val="0052453A"/>
    <w:rsid w:val="00524A79"/>
    <w:rsid w:val="0054144E"/>
    <w:rsid w:val="00543FB0"/>
    <w:rsid w:val="005502CA"/>
    <w:rsid w:val="00566CB7"/>
    <w:rsid w:val="00566E99"/>
    <w:rsid w:val="00586B94"/>
    <w:rsid w:val="00592221"/>
    <w:rsid w:val="005939A2"/>
    <w:rsid w:val="00597C37"/>
    <w:rsid w:val="005A1B76"/>
    <w:rsid w:val="005B08E9"/>
    <w:rsid w:val="005C33AC"/>
    <w:rsid w:val="005D347C"/>
    <w:rsid w:val="005D7071"/>
    <w:rsid w:val="005E00D8"/>
    <w:rsid w:val="00606D41"/>
    <w:rsid w:val="00631F73"/>
    <w:rsid w:val="006332DC"/>
    <w:rsid w:val="0063352A"/>
    <w:rsid w:val="006362FA"/>
    <w:rsid w:val="00654FDF"/>
    <w:rsid w:val="006628E7"/>
    <w:rsid w:val="00670488"/>
    <w:rsid w:val="0067105E"/>
    <w:rsid w:val="00671D62"/>
    <w:rsid w:val="00672FBA"/>
    <w:rsid w:val="0068319E"/>
    <w:rsid w:val="006860AA"/>
    <w:rsid w:val="006A7F21"/>
    <w:rsid w:val="006E1106"/>
    <w:rsid w:val="006E7F79"/>
    <w:rsid w:val="006F7055"/>
    <w:rsid w:val="0071720C"/>
    <w:rsid w:val="00723D56"/>
    <w:rsid w:val="0072402B"/>
    <w:rsid w:val="00725890"/>
    <w:rsid w:val="00735E8C"/>
    <w:rsid w:val="00752A32"/>
    <w:rsid w:val="0075474E"/>
    <w:rsid w:val="00756B2F"/>
    <w:rsid w:val="00760233"/>
    <w:rsid w:val="00761CBA"/>
    <w:rsid w:val="00762605"/>
    <w:rsid w:val="00767B20"/>
    <w:rsid w:val="00770BA4"/>
    <w:rsid w:val="00771773"/>
    <w:rsid w:val="00772C66"/>
    <w:rsid w:val="00774866"/>
    <w:rsid w:val="00780E74"/>
    <w:rsid w:val="00781D44"/>
    <w:rsid w:val="007928CF"/>
    <w:rsid w:val="007A4057"/>
    <w:rsid w:val="007A423C"/>
    <w:rsid w:val="007B11AE"/>
    <w:rsid w:val="007C0A65"/>
    <w:rsid w:val="007E2F9D"/>
    <w:rsid w:val="007E384E"/>
    <w:rsid w:val="007F001A"/>
    <w:rsid w:val="0080625F"/>
    <w:rsid w:val="00807CCD"/>
    <w:rsid w:val="00813E2C"/>
    <w:rsid w:val="00822537"/>
    <w:rsid w:val="00822DE5"/>
    <w:rsid w:val="00831A39"/>
    <w:rsid w:val="0083543A"/>
    <w:rsid w:val="0084149B"/>
    <w:rsid w:val="00844826"/>
    <w:rsid w:val="00847860"/>
    <w:rsid w:val="00882FAC"/>
    <w:rsid w:val="00884AD6"/>
    <w:rsid w:val="00897E9A"/>
    <w:rsid w:val="008A2A77"/>
    <w:rsid w:val="008C73DA"/>
    <w:rsid w:val="008D3F2C"/>
    <w:rsid w:val="008E61D3"/>
    <w:rsid w:val="008F6D4F"/>
    <w:rsid w:val="0091136F"/>
    <w:rsid w:val="00911755"/>
    <w:rsid w:val="009170CE"/>
    <w:rsid w:val="009255D8"/>
    <w:rsid w:val="00925C82"/>
    <w:rsid w:val="00936577"/>
    <w:rsid w:val="009408AF"/>
    <w:rsid w:val="00944069"/>
    <w:rsid w:val="00944F96"/>
    <w:rsid w:val="0095336D"/>
    <w:rsid w:val="009547B0"/>
    <w:rsid w:val="009603F9"/>
    <w:rsid w:val="00963E52"/>
    <w:rsid w:val="00967EC6"/>
    <w:rsid w:val="009745A9"/>
    <w:rsid w:val="009860A0"/>
    <w:rsid w:val="0099510A"/>
    <w:rsid w:val="009B2610"/>
    <w:rsid w:val="009C5D18"/>
    <w:rsid w:val="009C775B"/>
    <w:rsid w:val="009E2940"/>
    <w:rsid w:val="00A00B66"/>
    <w:rsid w:val="00A01686"/>
    <w:rsid w:val="00A10DE5"/>
    <w:rsid w:val="00A348B1"/>
    <w:rsid w:val="00A627B9"/>
    <w:rsid w:val="00A8008A"/>
    <w:rsid w:val="00A80B09"/>
    <w:rsid w:val="00A83EAD"/>
    <w:rsid w:val="00A854CF"/>
    <w:rsid w:val="00A876EA"/>
    <w:rsid w:val="00A87CE5"/>
    <w:rsid w:val="00AB2D09"/>
    <w:rsid w:val="00AB34AA"/>
    <w:rsid w:val="00AB4CFB"/>
    <w:rsid w:val="00AB5FAD"/>
    <w:rsid w:val="00AD48F9"/>
    <w:rsid w:val="00AD642F"/>
    <w:rsid w:val="00AF53E5"/>
    <w:rsid w:val="00AF5C62"/>
    <w:rsid w:val="00B256D9"/>
    <w:rsid w:val="00B27B2A"/>
    <w:rsid w:val="00B30EDB"/>
    <w:rsid w:val="00B3447F"/>
    <w:rsid w:val="00B40581"/>
    <w:rsid w:val="00B50D32"/>
    <w:rsid w:val="00B52A20"/>
    <w:rsid w:val="00B626B5"/>
    <w:rsid w:val="00B73582"/>
    <w:rsid w:val="00B840F6"/>
    <w:rsid w:val="00B84452"/>
    <w:rsid w:val="00B91197"/>
    <w:rsid w:val="00B97197"/>
    <w:rsid w:val="00B978CF"/>
    <w:rsid w:val="00BA5126"/>
    <w:rsid w:val="00BA60BD"/>
    <w:rsid w:val="00BB5FCB"/>
    <w:rsid w:val="00BC20E9"/>
    <w:rsid w:val="00BD4E34"/>
    <w:rsid w:val="00BE2EA4"/>
    <w:rsid w:val="00BF0919"/>
    <w:rsid w:val="00BF1574"/>
    <w:rsid w:val="00C17491"/>
    <w:rsid w:val="00C2393B"/>
    <w:rsid w:val="00C51558"/>
    <w:rsid w:val="00C54B89"/>
    <w:rsid w:val="00C70874"/>
    <w:rsid w:val="00C80ACB"/>
    <w:rsid w:val="00C81E9F"/>
    <w:rsid w:val="00C85F53"/>
    <w:rsid w:val="00C8706C"/>
    <w:rsid w:val="00C949D3"/>
    <w:rsid w:val="00CA52B4"/>
    <w:rsid w:val="00CA701D"/>
    <w:rsid w:val="00CB09D3"/>
    <w:rsid w:val="00CC7033"/>
    <w:rsid w:val="00CD3442"/>
    <w:rsid w:val="00CE6A11"/>
    <w:rsid w:val="00CE7271"/>
    <w:rsid w:val="00D01C3A"/>
    <w:rsid w:val="00D13A98"/>
    <w:rsid w:val="00D1486B"/>
    <w:rsid w:val="00D16405"/>
    <w:rsid w:val="00D2000E"/>
    <w:rsid w:val="00D23CE3"/>
    <w:rsid w:val="00D4123F"/>
    <w:rsid w:val="00D4586B"/>
    <w:rsid w:val="00D50B0F"/>
    <w:rsid w:val="00D674A9"/>
    <w:rsid w:val="00D83E55"/>
    <w:rsid w:val="00D85AA4"/>
    <w:rsid w:val="00D94903"/>
    <w:rsid w:val="00D95A9F"/>
    <w:rsid w:val="00DA185B"/>
    <w:rsid w:val="00DA18EA"/>
    <w:rsid w:val="00DA1F60"/>
    <w:rsid w:val="00DB02F8"/>
    <w:rsid w:val="00DB4D84"/>
    <w:rsid w:val="00DC06E0"/>
    <w:rsid w:val="00DC4CE9"/>
    <w:rsid w:val="00DC7077"/>
    <w:rsid w:val="00DC7835"/>
    <w:rsid w:val="00DC7D0E"/>
    <w:rsid w:val="00DD4AA1"/>
    <w:rsid w:val="00DE46D1"/>
    <w:rsid w:val="00DE48DA"/>
    <w:rsid w:val="00E11615"/>
    <w:rsid w:val="00E25CEF"/>
    <w:rsid w:val="00E262D8"/>
    <w:rsid w:val="00E276CA"/>
    <w:rsid w:val="00E3259B"/>
    <w:rsid w:val="00E36B52"/>
    <w:rsid w:val="00E607A3"/>
    <w:rsid w:val="00E65014"/>
    <w:rsid w:val="00E94A6A"/>
    <w:rsid w:val="00E9574A"/>
    <w:rsid w:val="00EC1D99"/>
    <w:rsid w:val="00EC4EF6"/>
    <w:rsid w:val="00ED0FC4"/>
    <w:rsid w:val="00ED7007"/>
    <w:rsid w:val="00EE3CFB"/>
    <w:rsid w:val="00EE69E2"/>
    <w:rsid w:val="00EF0D07"/>
    <w:rsid w:val="00EF42EA"/>
    <w:rsid w:val="00F27077"/>
    <w:rsid w:val="00F27CA5"/>
    <w:rsid w:val="00F419C9"/>
    <w:rsid w:val="00F625F2"/>
    <w:rsid w:val="00F639DC"/>
    <w:rsid w:val="00F76AC7"/>
    <w:rsid w:val="00F94CED"/>
    <w:rsid w:val="00F972D7"/>
    <w:rsid w:val="00FB755B"/>
    <w:rsid w:val="00FC4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6D53F"/>
  <w14:defaultImageDpi w14:val="32767"/>
  <w15:chartTrackingRefBased/>
  <w15:docId w15:val="{C782C357-0238-0545-803A-5ACF9F91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5FAD"/>
    <w:rPr>
      <w:rFonts w:ascii="Times New Roman" w:eastAsiaTheme="minorEastAsia" w:hAnsi="Times New Roman" w:cs="Times New Roman"/>
    </w:rPr>
  </w:style>
  <w:style w:type="paragraph" w:styleId="Heading2">
    <w:name w:val="heading 2"/>
    <w:basedOn w:val="Normal"/>
    <w:next w:val="Normal"/>
    <w:link w:val="Heading2Char"/>
    <w:uiPriority w:val="9"/>
    <w:unhideWhenUsed/>
    <w:qFormat/>
    <w:rsid w:val="00AB5FAD"/>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AB5FA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5FAD"/>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AB5FAD"/>
    <w:pPr>
      <w:ind w:left="720"/>
      <w:contextualSpacing/>
    </w:pPr>
    <w:rPr>
      <w:rFonts w:asciiTheme="minorHAnsi" w:hAnsiTheme="minorHAnsi" w:cstheme="minorBidi"/>
    </w:rPr>
  </w:style>
  <w:style w:type="character" w:customStyle="1" w:styleId="Heading3Char">
    <w:name w:val="Heading 3 Char"/>
    <w:basedOn w:val="DefaultParagraphFont"/>
    <w:link w:val="Heading3"/>
    <w:uiPriority w:val="9"/>
    <w:rsid w:val="00AB5FAD"/>
    <w:rPr>
      <w:rFonts w:asciiTheme="majorHAnsi" w:eastAsiaTheme="majorEastAsia" w:hAnsiTheme="majorHAnsi" w:cstheme="majorBidi"/>
      <w:color w:val="1F3763" w:themeColor="accent1" w:themeShade="7F"/>
    </w:rPr>
  </w:style>
  <w:style w:type="paragraph" w:styleId="Bibliography">
    <w:name w:val="Bibliography"/>
    <w:basedOn w:val="Normal"/>
    <w:next w:val="Normal"/>
    <w:uiPriority w:val="37"/>
    <w:unhideWhenUsed/>
    <w:rsid w:val="0072402B"/>
    <w:pPr>
      <w:ind w:left="720" w:hanging="720"/>
    </w:pPr>
  </w:style>
  <w:style w:type="paragraph" w:styleId="BalloonText">
    <w:name w:val="Balloon Text"/>
    <w:basedOn w:val="Normal"/>
    <w:link w:val="BalloonTextChar"/>
    <w:uiPriority w:val="99"/>
    <w:semiHidden/>
    <w:unhideWhenUsed/>
    <w:rsid w:val="005C33AC"/>
    <w:rPr>
      <w:sz w:val="18"/>
      <w:szCs w:val="18"/>
    </w:rPr>
  </w:style>
  <w:style w:type="character" w:customStyle="1" w:styleId="BalloonTextChar">
    <w:name w:val="Balloon Text Char"/>
    <w:basedOn w:val="DefaultParagraphFont"/>
    <w:link w:val="BalloonText"/>
    <w:uiPriority w:val="99"/>
    <w:semiHidden/>
    <w:rsid w:val="005C33AC"/>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D83E55"/>
    <w:rPr>
      <w:sz w:val="16"/>
      <w:szCs w:val="16"/>
    </w:rPr>
  </w:style>
  <w:style w:type="paragraph" w:styleId="CommentText">
    <w:name w:val="annotation text"/>
    <w:basedOn w:val="Normal"/>
    <w:link w:val="CommentTextChar"/>
    <w:uiPriority w:val="99"/>
    <w:semiHidden/>
    <w:unhideWhenUsed/>
    <w:rsid w:val="00D83E55"/>
    <w:rPr>
      <w:sz w:val="20"/>
      <w:szCs w:val="20"/>
    </w:rPr>
  </w:style>
  <w:style w:type="character" w:customStyle="1" w:styleId="CommentTextChar">
    <w:name w:val="Comment Text Char"/>
    <w:basedOn w:val="DefaultParagraphFont"/>
    <w:link w:val="CommentText"/>
    <w:uiPriority w:val="99"/>
    <w:semiHidden/>
    <w:rsid w:val="00D83E55"/>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3E55"/>
    <w:rPr>
      <w:b/>
      <w:bCs/>
    </w:rPr>
  </w:style>
  <w:style w:type="character" w:customStyle="1" w:styleId="CommentSubjectChar">
    <w:name w:val="Comment Subject Char"/>
    <w:basedOn w:val="CommentTextChar"/>
    <w:link w:val="CommentSubject"/>
    <w:uiPriority w:val="99"/>
    <w:semiHidden/>
    <w:rsid w:val="00D83E55"/>
    <w:rPr>
      <w:rFonts w:ascii="Times New Roman" w:eastAsiaTheme="minorEastAsia" w:hAnsi="Times New Roman" w:cs="Times New Roman"/>
      <w:b/>
      <w:bCs/>
      <w:sz w:val="20"/>
      <w:szCs w:val="20"/>
    </w:rPr>
  </w:style>
  <w:style w:type="paragraph" w:styleId="Revision">
    <w:name w:val="Revision"/>
    <w:hidden/>
    <w:uiPriority w:val="99"/>
    <w:semiHidden/>
    <w:rsid w:val="00D83E55"/>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197670">
      <w:bodyDiv w:val="1"/>
      <w:marLeft w:val="0"/>
      <w:marRight w:val="0"/>
      <w:marTop w:val="0"/>
      <w:marBottom w:val="0"/>
      <w:divBdr>
        <w:top w:val="none" w:sz="0" w:space="0" w:color="auto"/>
        <w:left w:val="none" w:sz="0" w:space="0" w:color="auto"/>
        <w:bottom w:val="none" w:sz="0" w:space="0" w:color="auto"/>
        <w:right w:val="none" w:sz="0" w:space="0" w:color="auto"/>
      </w:divBdr>
    </w:div>
    <w:div w:id="144639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TotalTime>
  <Pages>10</Pages>
  <Words>9060</Words>
  <Characters>51644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Thuong Van Du TRAN</dc:creator>
  <cp:keywords/>
  <dc:description/>
  <cp:lastModifiedBy>Thuong Van Du TRAN</cp:lastModifiedBy>
  <cp:revision>263</cp:revision>
  <cp:lastPrinted>2018-08-06T07:07:00Z</cp:lastPrinted>
  <dcterms:created xsi:type="dcterms:W3CDTF">2018-03-12T20:30:00Z</dcterms:created>
  <dcterms:modified xsi:type="dcterms:W3CDTF">2018-10-15T14:26:00Z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id="YQZA3CqB"/&gt;&lt;style id="http://www.zotero.org/styles/bioinformatics" hasBibliography="1" bibliographyStyleHasBeenSet="1"/&gt;&lt;prefs&gt;&lt;pref name="fieldType" value="Field"/&gt;&lt;pref name="automaticJournalAb</vt:lpwstr>
  </property>
  <property fmtid="{D5CDD505-2E9C-101B-9397-08002B2CF9AE}" pid="3" name="ZOTERO_PREF_2">
    <vt:lpwstr>breviations" value="true"/&gt;&lt;pref name="dontAskDelayCitationUpdates" value="true"/&gt;&lt;/prefs&gt;&lt;/data&gt;</vt:lpwstr>
  </property>
</Properties>
</file>