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B" w:rsidRDefault="00A5179B" w:rsidP="00A5179B">
      <w:pPr>
        <w:tabs>
          <w:tab w:val="right" w:pos="360"/>
          <w:tab w:val="left" w:pos="1080"/>
        </w:tabs>
        <w:rPr>
          <w:rFonts w:cs="Arial"/>
          <w:b/>
          <w:sz w:val="22"/>
          <w:szCs w:val="22"/>
        </w:rPr>
      </w:pPr>
      <w:bookmarkStart w:id="0" w:name="_GoBack"/>
      <w:bookmarkEnd w:id="0"/>
      <w:proofErr w:type="gramStart"/>
      <w:r w:rsidRPr="00FC66CD">
        <w:rPr>
          <w:rFonts w:cs="Arial"/>
          <w:b/>
          <w:sz w:val="22"/>
          <w:szCs w:val="22"/>
        </w:rPr>
        <w:t>Spangenberg, J.E, Schweizer, M., and Zufferey, V. 2020.</w:t>
      </w:r>
      <w:proofErr w:type="gramEnd"/>
    </w:p>
    <w:p w:rsidR="00A5179B" w:rsidRDefault="00A5179B" w:rsidP="00A5179B">
      <w:pPr>
        <w:tabs>
          <w:tab w:val="right" w:pos="360"/>
          <w:tab w:val="left" w:pos="1080"/>
        </w:tabs>
        <w:rPr>
          <w:rFonts w:cs="Arial"/>
          <w:b/>
          <w:sz w:val="22"/>
          <w:szCs w:val="22"/>
        </w:rPr>
      </w:pPr>
      <w:r w:rsidRPr="006304ED">
        <w:rPr>
          <w:rFonts w:cs="Arial"/>
          <w:b/>
          <w:sz w:val="22"/>
          <w:szCs w:val="22"/>
        </w:rPr>
        <w:t>Shifts in carbon and nitrogen stable isotope composition and epicuticular lipids in leaves reflect early water-stress in vineyards</w:t>
      </w:r>
    </w:p>
    <w:p w:rsidR="00E339D3" w:rsidRDefault="00E339D3" w:rsidP="0069695E">
      <w:pPr>
        <w:spacing w:line="240" w:lineRule="exact"/>
        <w:contextualSpacing/>
        <w:rPr>
          <w:rFonts w:cs="Arial"/>
          <w:b/>
          <w:sz w:val="22"/>
          <w:szCs w:val="22"/>
        </w:rPr>
      </w:pPr>
    </w:p>
    <w:p w:rsidR="0069695E" w:rsidRPr="007A3947" w:rsidRDefault="009900A8" w:rsidP="0069695E">
      <w:pPr>
        <w:spacing w:line="240" w:lineRule="exact"/>
        <w:contextualSpacing/>
        <w:rPr>
          <w:rFonts w:cs="Arial"/>
          <w:sz w:val="22"/>
          <w:szCs w:val="22"/>
        </w:rPr>
      </w:pPr>
      <w:r w:rsidRPr="0069695E">
        <w:rPr>
          <w:rFonts w:cs="Arial"/>
          <w:b/>
          <w:sz w:val="22"/>
          <w:szCs w:val="22"/>
        </w:rPr>
        <w:t xml:space="preserve">Supporting Information </w:t>
      </w:r>
      <w:r w:rsidR="00317972" w:rsidRPr="0069695E">
        <w:rPr>
          <w:rFonts w:cs="Arial"/>
          <w:b/>
          <w:sz w:val="22"/>
          <w:szCs w:val="22"/>
        </w:rPr>
        <w:t xml:space="preserve">Table </w:t>
      </w:r>
      <w:r w:rsidR="00CB5BDF" w:rsidRPr="0069695E">
        <w:rPr>
          <w:rFonts w:cs="Arial"/>
          <w:b/>
          <w:sz w:val="22"/>
          <w:szCs w:val="22"/>
        </w:rPr>
        <w:t>S</w:t>
      </w:r>
      <w:r w:rsidR="00E339D3">
        <w:rPr>
          <w:rFonts w:cs="Arial"/>
          <w:b/>
          <w:sz w:val="22"/>
          <w:szCs w:val="22"/>
        </w:rPr>
        <w:t>3</w:t>
      </w:r>
      <w:r w:rsidR="00DF27CE" w:rsidRPr="0069695E">
        <w:rPr>
          <w:rFonts w:cs="Arial"/>
          <w:b/>
          <w:sz w:val="22"/>
          <w:szCs w:val="22"/>
        </w:rPr>
        <w:t>.</w:t>
      </w:r>
      <w:r w:rsidR="00F3497F" w:rsidRPr="0069695E">
        <w:rPr>
          <w:sz w:val="22"/>
          <w:szCs w:val="22"/>
        </w:rPr>
        <w:t xml:space="preserve"> </w:t>
      </w:r>
      <w:r w:rsidR="00CE6D22" w:rsidRPr="007A3947">
        <w:rPr>
          <w:rFonts w:cs="Arial"/>
          <w:sz w:val="22"/>
          <w:szCs w:val="22"/>
        </w:rPr>
        <w:t>Predawn leaf water potential (</w:t>
      </w:r>
      <w:r w:rsidR="00CE6D22" w:rsidRPr="007A3947">
        <w:rPr>
          <w:noProof/>
          <w:sz w:val="22"/>
          <w:szCs w:val="22"/>
        </w:rPr>
        <w:t>Ψ</w:t>
      </w:r>
      <w:r w:rsidR="00CE6D22" w:rsidRPr="007A3947">
        <w:rPr>
          <w:noProof/>
          <w:sz w:val="22"/>
          <w:szCs w:val="22"/>
          <w:vertAlign w:val="subscript"/>
        </w:rPr>
        <w:t>pd</w:t>
      </w:r>
      <w:r w:rsidR="00CE6D22" w:rsidRPr="007A3947">
        <w:rPr>
          <w:rFonts w:cs="Arial"/>
          <w:sz w:val="22"/>
          <w:szCs w:val="22"/>
        </w:rPr>
        <w:t xml:space="preserve">), </w:t>
      </w:r>
      <w:r w:rsidR="00F2173B" w:rsidRPr="007A3947">
        <w:rPr>
          <w:rFonts w:cs="Arial"/>
          <w:sz w:val="22"/>
          <w:szCs w:val="22"/>
        </w:rPr>
        <w:t>leaf gas exchange parameters,</w:t>
      </w:r>
      <w:r w:rsidR="00A341F3" w:rsidRPr="007A3947">
        <w:rPr>
          <w:rFonts w:cs="Arial"/>
          <w:sz w:val="22"/>
          <w:szCs w:val="22"/>
        </w:rPr>
        <w:t xml:space="preserve"> and</w:t>
      </w:r>
      <w:r w:rsidR="00F2173B" w:rsidRPr="007A3947">
        <w:rPr>
          <w:rFonts w:cs="Arial"/>
          <w:sz w:val="22"/>
          <w:szCs w:val="22"/>
        </w:rPr>
        <w:t xml:space="preserve"> </w:t>
      </w:r>
      <w:r w:rsidR="00CE6D22" w:rsidRPr="007A3947">
        <w:rPr>
          <w:rFonts w:ascii="Symbol" w:hAnsi="Symbol" w:cs="Arial"/>
          <w:sz w:val="22"/>
          <w:szCs w:val="22"/>
        </w:rPr>
        <w:t></w:t>
      </w:r>
      <w:r w:rsidR="00CE6D22" w:rsidRPr="007A3947">
        <w:rPr>
          <w:rFonts w:cs="Arial"/>
          <w:sz w:val="22"/>
          <w:szCs w:val="22"/>
          <w:vertAlign w:val="superscript"/>
        </w:rPr>
        <w:t>13</w:t>
      </w:r>
      <w:r w:rsidR="00CE6D22" w:rsidRPr="007A3947">
        <w:rPr>
          <w:rFonts w:cs="Arial"/>
          <w:sz w:val="22"/>
          <w:szCs w:val="22"/>
        </w:rPr>
        <w:t xml:space="preserve">C of must sugars from Chasselas and Pinot noir vines grown </w:t>
      </w:r>
      <w:r w:rsidR="00FA6DE5">
        <w:rPr>
          <w:rFonts w:cs="Arial"/>
          <w:sz w:val="22"/>
          <w:szCs w:val="22"/>
        </w:rPr>
        <w:t xml:space="preserve">in 2014 </w:t>
      </w:r>
      <w:r w:rsidR="00CE6D22" w:rsidRPr="007A3947">
        <w:rPr>
          <w:rFonts w:cs="Arial"/>
          <w:sz w:val="22"/>
          <w:szCs w:val="22"/>
        </w:rPr>
        <w:t>under different soil water treatment</w:t>
      </w:r>
      <w:r w:rsidR="007F4783">
        <w:rPr>
          <w:rFonts w:cs="Arial"/>
          <w:sz w:val="22"/>
          <w:szCs w:val="22"/>
        </w:rPr>
        <w:t xml:space="preserve"> (</w:t>
      </w:r>
      <w:r w:rsidR="007A16ED">
        <w:rPr>
          <w:rFonts w:cs="Arial"/>
          <w:sz w:val="22"/>
          <w:szCs w:val="22"/>
        </w:rPr>
        <w:t>Agroscope experimental station, Leytron, Switzerland</w:t>
      </w:r>
      <w:r w:rsidR="007F4783">
        <w:rPr>
          <w:rFonts w:cs="Arial"/>
          <w:sz w:val="22"/>
          <w:szCs w:val="22"/>
        </w:rPr>
        <w:t>)</w:t>
      </w:r>
      <w:r w:rsidR="0048774C" w:rsidRPr="007A3947">
        <w:rPr>
          <w:rFonts w:cs="Arial"/>
          <w:sz w:val="22"/>
          <w:szCs w:val="22"/>
        </w:rPr>
        <w:t>. Leaf gas exchange data from Zufferey et al. (2017, 20</w:t>
      </w:r>
      <w:r w:rsidR="00501ECB" w:rsidRPr="007A3947">
        <w:rPr>
          <w:rFonts w:cs="Arial"/>
          <w:sz w:val="22"/>
          <w:szCs w:val="22"/>
        </w:rPr>
        <w:t>18),</w:t>
      </w:r>
      <w:r w:rsidR="0048774C" w:rsidRPr="007A3947">
        <w:rPr>
          <w:rFonts w:cs="Arial"/>
          <w:sz w:val="22"/>
          <w:szCs w:val="22"/>
        </w:rPr>
        <w:t xml:space="preserve"> must </w:t>
      </w:r>
      <w:r w:rsidR="00C47C56" w:rsidRPr="007A3947">
        <w:rPr>
          <w:rFonts w:ascii="Symbol" w:hAnsi="Symbol" w:cs="Arial"/>
          <w:sz w:val="22"/>
          <w:szCs w:val="22"/>
        </w:rPr>
        <w:t></w:t>
      </w:r>
      <w:r w:rsidR="00C47C56" w:rsidRPr="007A3947">
        <w:rPr>
          <w:rFonts w:cs="Arial"/>
          <w:sz w:val="22"/>
          <w:szCs w:val="22"/>
          <w:vertAlign w:val="superscript"/>
        </w:rPr>
        <w:t>13</w:t>
      </w:r>
      <w:r w:rsidR="00C47C56" w:rsidRPr="007A3947">
        <w:rPr>
          <w:rFonts w:cs="Arial"/>
          <w:sz w:val="22"/>
          <w:szCs w:val="22"/>
        </w:rPr>
        <w:t xml:space="preserve">C </w:t>
      </w:r>
      <w:r w:rsidR="0048774C" w:rsidRPr="007A3947">
        <w:rPr>
          <w:rFonts w:cs="Arial"/>
          <w:sz w:val="22"/>
          <w:szCs w:val="22"/>
        </w:rPr>
        <w:t xml:space="preserve">data from </w:t>
      </w:r>
      <w:r w:rsidR="00877AB6" w:rsidRPr="007A3947">
        <w:rPr>
          <w:rFonts w:cs="Arial"/>
          <w:sz w:val="22"/>
          <w:szCs w:val="22"/>
        </w:rPr>
        <w:t xml:space="preserve">Spangenberg </w:t>
      </w:r>
      <w:r w:rsidR="00877AB6" w:rsidRPr="00B750F1">
        <w:rPr>
          <w:rFonts w:cs="Arial"/>
          <w:i/>
          <w:sz w:val="22"/>
          <w:szCs w:val="22"/>
        </w:rPr>
        <w:t>et al.</w:t>
      </w:r>
      <w:r w:rsidR="00877AB6" w:rsidRPr="007A3947">
        <w:rPr>
          <w:rFonts w:cs="Arial"/>
          <w:sz w:val="22"/>
          <w:szCs w:val="22"/>
        </w:rPr>
        <w:t xml:space="preserve"> </w:t>
      </w:r>
      <w:r w:rsidR="00877AB6">
        <w:rPr>
          <w:rFonts w:cs="Arial"/>
          <w:sz w:val="22"/>
          <w:szCs w:val="22"/>
        </w:rPr>
        <w:t>(</w:t>
      </w:r>
      <w:r w:rsidR="00877AB6" w:rsidRPr="007A3947">
        <w:rPr>
          <w:rFonts w:cs="Arial"/>
          <w:sz w:val="22"/>
          <w:szCs w:val="22"/>
        </w:rPr>
        <w:t>2017</w:t>
      </w:r>
      <w:r w:rsidR="00877AB6">
        <w:rPr>
          <w:rFonts w:cs="Arial"/>
          <w:sz w:val="22"/>
          <w:szCs w:val="22"/>
        </w:rPr>
        <w:t xml:space="preserve">) </w:t>
      </w:r>
      <w:proofErr w:type="gramStart"/>
      <w:r w:rsidR="00877AB6">
        <w:rPr>
          <w:rFonts w:cs="Arial"/>
          <w:sz w:val="22"/>
          <w:szCs w:val="22"/>
        </w:rPr>
        <w:t>anf</w:t>
      </w:r>
      <w:proofErr w:type="gramEnd"/>
      <w:r w:rsidR="00877AB6">
        <w:rPr>
          <w:rFonts w:cs="Arial"/>
          <w:sz w:val="22"/>
          <w:szCs w:val="22"/>
        </w:rPr>
        <w:t xml:space="preserve"> Spangenberg &amp; Zufferey (</w:t>
      </w:r>
      <w:r w:rsidR="00877AB6" w:rsidRPr="007A3947">
        <w:rPr>
          <w:rFonts w:cs="Arial"/>
          <w:sz w:val="22"/>
          <w:szCs w:val="22"/>
        </w:rPr>
        <w:t>2018</w:t>
      </w:r>
      <w:r w:rsidR="00877AB6">
        <w:rPr>
          <w:rFonts w:cs="Arial"/>
          <w:sz w:val="22"/>
          <w:szCs w:val="22"/>
        </w:rPr>
        <w:t xml:space="preserve">). </w:t>
      </w:r>
      <w:r w:rsidR="0069695E" w:rsidRPr="007A3947">
        <w:rPr>
          <w:rFonts w:cs="Arial"/>
          <w:color w:val="000000"/>
          <w:sz w:val="22"/>
          <w:szCs w:val="22"/>
        </w:rPr>
        <w:t xml:space="preserve">All data shown are the mean </w:t>
      </w:r>
      <w:r w:rsidR="0069695E" w:rsidRPr="007A3947">
        <w:rPr>
          <w:color w:val="000000"/>
          <w:sz w:val="22"/>
          <w:szCs w:val="22"/>
        </w:rPr>
        <w:t xml:space="preserve">± </w:t>
      </w:r>
      <w:r w:rsidR="0069695E" w:rsidRPr="007A3947">
        <w:rPr>
          <w:rFonts w:cs="Arial"/>
          <w:color w:val="000000"/>
          <w:sz w:val="22"/>
          <w:szCs w:val="22"/>
        </w:rPr>
        <w:t xml:space="preserve">SE of </w:t>
      </w:r>
      <w:r w:rsidR="0069695E" w:rsidRPr="007A3947">
        <w:rPr>
          <w:sz w:val="22"/>
          <w:szCs w:val="22"/>
        </w:rPr>
        <w:t>4 to 6 measurements (</w:t>
      </w:r>
      <w:r w:rsidR="0069695E" w:rsidRPr="007A3947">
        <w:rPr>
          <w:rFonts w:cs="Arial"/>
          <w:color w:val="000000"/>
          <w:sz w:val="22"/>
          <w:szCs w:val="22"/>
        </w:rPr>
        <w:t>n = 4–6)</w:t>
      </w:r>
      <w:r w:rsidR="00FA6DE5">
        <w:rPr>
          <w:rFonts w:cs="Arial"/>
          <w:color w:val="000000"/>
          <w:sz w:val="22"/>
          <w:szCs w:val="22"/>
        </w:rPr>
        <w:t>.</w:t>
      </w:r>
    </w:p>
    <w:p w:rsidR="0069695E" w:rsidRPr="00BA5878" w:rsidRDefault="0069695E" w:rsidP="00BA5878">
      <w:pPr>
        <w:spacing w:line="240" w:lineRule="exact"/>
        <w:contextualSpacing/>
        <w:rPr>
          <w:rFonts w:cs="Arial"/>
          <w:i/>
        </w:rPr>
      </w:pPr>
    </w:p>
    <w:p w:rsidR="00A341F3" w:rsidRPr="00A341F3" w:rsidRDefault="00A341F3" w:rsidP="00A341F3">
      <w:pPr>
        <w:spacing w:line="191" w:lineRule="exact"/>
        <w:contextualSpacing/>
        <w:rPr>
          <w:sz w:val="20"/>
          <w:szCs w:val="20"/>
        </w:rPr>
      </w:pPr>
    </w:p>
    <w:tbl>
      <w:tblPr>
        <w:tblW w:w="9925" w:type="dxa"/>
        <w:tblInd w:w="10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4"/>
        <w:gridCol w:w="1274"/>
        <w:gridCol w:w="1418"/>
        <w:gridCol w:w="1418"/>
        <w:gridCol w:w="1418"/>
        <w:gridCol w:w="1418"/>
        <w:gridCol w:w="1418"/>
      </w:tblGrid>
      <w:tr w:rsidR="007226F3" w:rsidRPr="008A0E1B" w:rsidTr="00333110">
        <w:trPr>
          <w:trHeight w:hRule="exact" w:val="227"/>
        </w:trPr>
        <w:tc>
          <w:tcPr>
            <w:tcW w:w="156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26F3" w:rsidRPr="00333110" w:rsidRDefault="007226F3" w:rsidP="00333110">
            <w:pPr>
              <w:spacing w:line="191" w:lineRule="exact"/>
              <w:ind w:right="-1463"/>
              <w:contextualSpacing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333110">
              <w:rPr>
                <w:rFonts w:cs="Arial"/>
                <w:b/>
                <w:i/>
                <w:color w:val="000000"/>
                <w:sz w:val="20"/>
                <w:szCs w:val="20"/>
              </w:rPr>
              <w:t>P</w:t>
            </w:r>
            <w:r w:rsidR="00FA29EE" w:rsidRPr="00333110">
              <w:rPr>
                <w:rFonts w:cs="Arial"/>
                <w:b/>
                <w:i/>
                <w:color w:val="000000"/>
                <w:sz w:val="20"/>
                <w:szCs w:val="20"/>
              </w:rPr>
              <w:t>a</w:t>
            </w:r>
            <w:r w:rsidRPr="00333110">
              <w:rPr>
                <w:rFonts w:cs="Arial"/>
                <w:b/>
                <w:i/>
                <w:color w:val="000000"/>
                <w:sz w:val="20"/>
                <w:szCs w:val="20"/>
              </w:rPr>
              <w:t>rameter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6F3" w:rsidRPr="008A0E1B" w:rsidRDefault="007226F3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Chasselas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6F3" w:rsidRPr="008A0E1B" w:rsidRDefault="007226F3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6F3" w:rsidRPr="008A0E1B" w:rsidRDefault="007226F3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6F3" w:rsidRPr="008A0E1B" w:rsidRDefault="007226F3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Pinot noir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6F3" w:rsidRPr="008A0E1B" w:rsidRDefault="007226F3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6F3" w:rsidRPr="008A0E1B" w:rsidRDefault="007226F3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33110" w:rsidRPr="008A0E1B" w:rsidTr="00333110">
        <w:trPr>
          <w:trHeight w:hRule="exact" w:val="227"/>
        </w:trPr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33110" w:rsidRPr="008A0E1B" w:rsidRDefault="00333110" w:rsidP="0025725B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DOY/Stage</w:t>
            </w:r>
            <w:r w:rsidRPr="008A0E1B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10" w:rsidRPr="008A0E1B" w:rsidRDefault="00333110" w:rsidP="00DF4AAD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 xml:space="preserve">DI </w:t>
            </w:r>
            <w:r w:rsidRPr="008A0E1B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10" w:rsidRPr="008A0E1B" w:rsidRDefault="00333110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NI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10" w:rsidRPr="008A0E1B" w:rsidRDefault="00333110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10" w:rsidRPr="008A0E1B" w:rsidRDefault="00333110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DI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10" w:rsidRPr="008A0E1B" w:rsidRDefault="00333110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NI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10" w:rsidRPr="008A0E1B" w:rsidRDefault="00333110" w:rsidP="00A341F3">
            <w:pPr>
              <w:spacing w:line="191" w:lineRule="exact"/>
              <w:ind w:right="-1463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8A0E1B">
              <w:rPr>
                <w:rFonts w:cs="Arial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color w:val="000000"/>
                <w:sz w:val="20"/>
                <w:szCs w:val="20"/>
              </w:rPr>
            </w:pPr>
            <w:r w:rsidRPr="008A0E1B">
              <w:rPr>
                <w:i/>
                <w:noProof/>
                <w:sz w:val="20"/>
                <w:szCs w:val="20"/>
              </w:rPr>
              <w:sym w:font="Symbol" w:char="F059"/>
            </w:r>
            <w:r w:rsidRPr="00AB26D3">
              <w:rPr>
                <w:i/>
                <w:noProof/>
                <w:sz w:val="20"/>
                <w:szCs w:val="20"/>
                <w:vertAlign w:val="subscript"/>
              </w:rPr>
              <w:t>pd</w:t>
            </w:r>
            <w:r w:rsidRPr="008A0E1B">
              <w:rPr>
                <w:i/>
                <w:noProof/>
                <w:sz w:val="20"/>
                <w:szCs w:val="20"/>
              </w:rPr>
              <w:t xml:space="preserve"> </w:t>
            </w:r>
            <w:r w:rsidRPr="008A0E1B">
              <w:rPr>
                <w:rFonts w:cs="Arial"/>
                <w:color w:val="000000"/>
                <w:sz w:val="20"/>
                <w:szCs w:val="20"/>
              </w:rPr>
              <w:t>(MPa)</w:t>
            </w:r>
            <w:r w:rsidRPr="008A0E1B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C5D6F" w:rsidP="008A0E1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169/Flowering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–0.08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–0.11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–0.13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–0.08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–0.09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–0.10 ± 0.02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C5D6F" w:rsidP="008A0E1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206/Pea size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–0.06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–0.13 ± 0.03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–0.19 ± 0.03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–0.06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–0.11 ± 0.03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–0.15 ± 0.03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C5D6F" w:rsidP="008A0E1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233/</w:t>
            </w:r>
            <w:proofErr w:type="spellStart"/>
            <w:r>
              <w:rPr>
                <w:color w:val="000000"/>
                <w:sz w:val="20"/>
                <w:szCs w:val="20"/>
              </w:rPr>
              <w:t>Veraison</w:t>
            </w:r>
            <w:proofErr w:type="spellEnd"/>
            <w:r w:rsidR="007226F3" w:rsidRPr="008A0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–0.07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–0.12 ± 0.01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–0.30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–0.07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–0.10 ± 0.01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–0.31 ± 0.01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</w:t>
            </w:r>
            <w:r w:rsidR="007C5D6F">
              <w:rPr>
                <w:color w:val="000000"/>
                <w:sz w:val="20"/>
                <w:szCs w:val="20"/>
              </w:rPr>
              <w:t>69/Harvest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–0.08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–0.10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–0.26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–0.08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–0.10 ± 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–0.24 ± 0.02</w:t>
            </w:r>
          </w:p>
        </w:tc>
      </w:tr>
      <w:tr w:rsidR="007226F3" w:rsidRPr="00C85010" w:rsidTr="008A0E1B">
        <w:trPr>
          <w:trHeight w:val="261"/>
        </w:trPr>
        <w:tc>
          <w:tcPr>
            <w:tcW w:w="4253" w:type="dxa"/>
            <w:gridSpan w:val="4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8A0E1B">
              <w:rPr>
                <w:i/>
                <w:sz w:val="20"/>
                <w:szCs w:val="20"/>
              </w:rPr>
              <w:t>Leaf temperature (°C)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166/Flowering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23.8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23.8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24.0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521795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25.4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521795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25.6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521795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26.1 ± 0.3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206/Pea size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26.0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26.2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26.3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521795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27.4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521795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27.7 ± 0.4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521795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28.0 ± 0.3</w:t>
            </w:r>
          </w:p>
        </w:tc>
      </w:tr>
      <w:tr w:rsidR="0052179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233/</w:t>
            </w:r>
            <w:proofErr w:type="spellStart"/>
            <w:r>
              <w:rPr>
                <w:color w:val="000000"/>
                <w:sz w:val="20"/>
                <w:szCs w:val="20"/>
              </w:rPr>
              <w:t>Veraison</w:t>
            </w:r>
            <w:proofErr w:type="spellEnd"/>
            <w:r w:rsidRPr="008A0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28.2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28.3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28.4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521795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28.2 ± 0.4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521795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28.3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521795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28.4 ± 0.2</w:t>
            </w:r>
          </w:p>
        </w:tc>
      </w:tr>
      <w:tr w:rsidR="0052179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69/Harvest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27.0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27.1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8A0E1B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27.2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521795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27.3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521795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27.2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1795" w:rsidRPr="00521795" w:rsidRDefault="00521795" w:rsidP="00521795">
            <w:pPr>
              <w:contextualSpacing/>
              <w:jc w:val="center"/>
              <w:rPr>
                <w:sz w:val="20"/>
                <w:szCs w:val="20"/>
              </w:rPr>
            </w:pPr>
            <w:r w:rsidRPr="00521795">
              <w:rPr>
                <w:color w:val="000000"/>
                <w:sz w:val="20"/>
                <w:szCs w:val="20"/>
              </w:rPr>
              <w:t>27.5 ± 0.2</w:t>
            </w:r>
          </w:p>
        </w:tc>
      </w:tr>
      <w:tr w:rsidR="007226F3" w:rsidRPr="007226F3" w:rsidTr="008A0E1B">
        <w:trPr>
          <w:trHeight w:val="261"/>
        </w:trPr>
        <w:tc>
          <w:tcPr>
            <w:tcW w:w="4253" w:type="dxa"/>
            <w:gridSpan w:val="4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i/>
                <w:sz w:val="20"/>
                <w:szCs w:val="20"/>
              </w:rPr>
            </w:pPr>
            <w:r w:rsidRPr="008A0E1B">
              <w:rPr>
                <w:i/>
                <w:sz w:val="20"/>
                <w:szCs w:val="20"/>
              </w:rPr>
              <w:t xml:space="preserve">Stomatal conductance, </w:t>
            </w:r>
            <w:proofErr w:type="spellStart"/>
            <w:r w:rsidRPr="008A0E1B">
              <w:rPr>
                <w:i/>
                <w:sz w:val="20"/>
                <w:szCs w:val="20"/>
              </w:rPr>
              <w:t>g</w:t>
            </w:r>
            <w:r w:rsidRPr="00AB26D3">
              <w:rPr>
                <w:sz w:val="20"/>
                <w:szCs w:val="20"/>
                <w:vertAlign w:val="subscript"/>
              </w:rPr>
              <w:t>s</w:t>
            </w:r>
            <w:proofErr w:type="spellEnd"/>
            <w:r w:rsidRPr="008A0E1B">
              <w:rPr>
                <w:i/>
                <w:sz w:val="20"/>
                <w:szCs w:val="20"/>
              </w:rPr>
              <w:t xml:space="preserve"> (mmol CO</w:t>
            </w:r>
            <w:r w:rsidRPr="008A0E1B">
              <w:rPr>
                <w:i/>
                <w:sz w:val="20"/>
                <w:szCs w:val="20"/>
                <w:vertAlign w:val="subscript"/>
              </w:rPr>
              <w:t>2</w:t>
            </w:r>
            <w:r w:rsidRPr="008A0E1B">
              <w:rPr>
                <w:i/>
                <w:sz w:val="20"/>
                <w:szCs w:val="20"/>
              </w:rPr>
              <w:t xml:space="preserve"> m</w:t>
            </w:r>
            <w:r w:rsidRPr="008A0E1B">
              <w:rPr>
                <w:i/>
                <w:sz w:val="20"/>
                <w:szCs w:val="20"/>
                <w:vertAlign w:val="superscript"/>
              </w:rPr>
              <w:t>–2</w:t>
            </w:r>
            <w:r w:rsidRPr="008A0E1B">
              <w:rPr>
                <w:i/>
                <w:sz w:val="20"/>
                <w:szCs w:val="20"/>
              </w:rPr>
              <w:t>s</w:t>
            </w:r>
            <w:r w:rsidRPr="008A0E1B">
              <w:rPr>
                <w:i/>
                <w:sz w:val="20"/>
                <w:szCs w:val="20"/>
                <w:vertAlign w:val="superscript"/>
              </w:rPr>
              <w:softHyphen/>
              <w:t>–1</w:t>
            </w:r>
            <w:r w:rsidRPr="008A0E1B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166/Flowering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366 ± 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350 ± 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348 ± 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380 ± 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388 ± 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368 ± 12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206/Pea size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380 ± 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362 ± 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355 ± 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370 ± 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379 ± 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360 ± 10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233/</w:t>
            </w:r>
            <w:proofErr w:type="spellStart"/>
            <w:r>
              <w:rPr>
                <w:color w:val="000000"/>
                <w:sz w:val="20"/>
                <w:szCs w:val="20"/>
              </w:rPr>
              <w:t>Veraison</w:t>
            </w:r>
            <w:proofErr w:type="spellEnd"/>
            <w:r w:rsidRPr="008A0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351 ± 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340 ± 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310 ± 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366 ± 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360 ± 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330 ± 11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69/Harvest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270 ± 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255 ± 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205 ± 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310 ± 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268 ± 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225 ± 10</w:t>
            </w:r>
          </w:p>
        </w:tc>
      </w:tr>
      <w:tr w:rsidR="007226F3" w:rsidRPr="00C85010" w:rsidTr="008A0E1B">
        <w:trPr>
          <w:trHeight w:val="261"/>
        </w:trPr>
        <w:tc>
          <w:tcPr>
            <w:tcW w:w="4253" w:type="dxa"/>
            <w:gridSpan w:val="4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i/>
                <w:sz w:val="20"/>
                <w:szCs w:val="20"/>
              </w:rPr>
            </w:pPr>
            <w:r w:rsidRPr="008A0E1B">
              <w:rPr>
                <w:i/>
                <w:sz w:val="20"/>
                <w:szCs w:val="20"/>
              </w:rPr>
              <w:t xml:space="preserve">Mesophyll resistance, </w:t>
            </w:r>
            <w:proofErr w:type="spellStart"/>
            <w:r w:rsidRPr="008A0E1B">
              <w:rPr>
                <w:i/>
                <w:sz w:val="20"/>
                <w:szCs w:val="20"/>
              </w:rPr>
              <w:t>r</w:t>
            </w:r>
            <w:r w:rsidRPr="00AB26D3">
              <w:rPr>
                <w:sz w:val="20"/>
                <w:szCs w:val="20"/>
                <w:vertAlign w:val="subscript"/>
              </w:rPr>
              <w:t>m</w:t>
            </w:r>
            <w:proofErr w:type="spellEnd"/>
            <w:r w:rsidRPr="008A0E1B">
              <w:rPr>
                <w:i/>
                <w:sz w:val="20"/>
                <w:szCs w:val="20"/>
              </w:rPr>
              <w:t xml:space="preserve"> (bar </w:t>
            </w:r>
            <w:proofErr w:type="spellStart"/>
            <w:r w:rsidRPr="008A0E1B">
              <w:rPr>
                <w:i/>
                <w:sz w:val="20"/>
                <w:szCs w:val="20"/>
              </w:rPr>
              <w:t>mol</w:t>
            </w:r>
            <w:proofErr w:type="spellEnd"/>
            <w:r w:rsidRPr="008A0E1B">
              <w:rPr>
                <w:i/>
                <w:sz w:val="20"/>
                <w:szCs w:val="20"/>
                <w:vertAlign w:val="superscript"/>
              </w:rPr>
              <w:t>–1</w:t>
            </w:r>
            <w:r w:rsidRPr="008A0E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166/Flowering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12.0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10.9 ± 1.5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11.0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10.0 ± 0.9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10.5 ± 1.5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10.6 ± 1.2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206/Pea size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12.5 ± 2.0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11.3 ± 2.0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11.9 ± 3.0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12.0 ± 2.0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12.3 ± 3.0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12.9 ± 2.0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233/</w:t>
            </w:r>
            <w:proofErr w:type="spellStart"/>
            <w:r>
              <w:rPr>
                <w:color w:val="000000"/>
                <w:sz w:val="20"/>
                <w:szCs w:val="20"/>
              </w:rPr>
              <w:t>Veraison</w:t>
            </w:r>
            <w:proofErr w:type="spellEnd"/>
            <w:r w:rsidRPr="008A0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11.8 ± 3.0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12.5 ± 3.0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15.8 ± 5.0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14.2 ± 2.0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14.0 ± 5.0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16.9 ± 3.0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69/Harvest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22.5 ± 1.0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22.5 ± 0.5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28.0 ± 3.0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20.5 ± 1.0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21.0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25.5 ± 4.0</w:t>
            </w:r>
          </w:p>
        </w:tc>
      </w:tr>
      <w:tr w:rsidR="007226F3" w:rsidRPr="00C85010" w:rsidTr="008A0E1B">
        <w:trPr>
          <w:trHeight w:val="261"/>
        </w:trPr>
        <w:tc>
          <w:tcPr>
            <w:tcW w:w="4253" w:type="dxa"/>
            <w:gridSpan w:val="4"/>
            <w:tcBorders>
              <w:top w:val="nil"/>
              <w:bottom w:val="nil"/>
            </w:tcBorders>
            <w:vAlign w:val="center"/>
          </w:tcPr>
          <w:p w:rsidR="007226F3" w:rsidRPr="008A0E1B" w:rsidRDefault="00AB26D3" w:rsidP="00AB26D3">
            <w:pPr>
              <w:contextualSpacing/>
              <w:rPr>
                <w:i/>
                <w:sz w:val="20"/>
                <w:szCs w:val="20"/>
              </w:rPr>
            </w:pPr>
            <w:r w:rsidRPr="00FA29EE">
              <w:rPr>
                <w:i/>
                <w:sz w:val="20"/>
                <w:szCs w:val="20"/>
              </w:rPr>
              <w:t>Net p</w:t>
            </w:r>
            <w:r w:rsidR="007226F3" w:rsidRPr="00FA29EE">
              <w:rPr>
                <w:i/>
                <w:sz w:val="20"/>
                <w:szCs w:val="20"/>
              </w:rPr>
              <w:t xml:space="preserve">hotosynthetic </w:t>
            </w:r>
            <w:r w:rsidRPr="00FA29EE">
              <w:rPr>
                <w:i/>
                <w:sz w:val="20"/>
                <w:szCs w:val="20"/>
              </w:rPr>
              <w:t>rate</w:t>
            </w:r>
            <w:r w:rsidR="007226F3" w:rsidRPr="00FA29EE">
              <w:rPr>
                <w:i/>
                <w:sz w:val="20"/>
                <w:szCs w:val="20"/>
              </w:rPr>
              <w:t>, A (µ</w:t>
            </w:r>
            <w:proofErr w:type="spellStart"/>
            <w:r w:rsidR="007226F3" w:rsidRPr="00FA29EE">
              <w:rPr>
                <w:i/>
                <w:sz w:val="20"/>
                <w:szCs w:val="20"/>
              </w:rPr>
              <w:t>mol</w:t>
            </w:r>
            <w:proofErr w:type="spellEnd"/>
            <w:r w:rsidR="007226F3" w:rsidRPr="00FA29EE">
              <w:rPr>
                <w:i/>
                <w:sz w:val="20"/>
                <w:szCs w:val="20"/>
              </w:rPr>
              <w:t xml:space="preserve"> CO</w:t>
            </w:r>
            <w:r w:rsidR="007226F3" w:rsidRPr="00FA29EE">
              <w:rPr>
                <w:i/>
                <w:sz w:val="20"/>
                <w:szCs w:val="20"/>
                <w:vertAlign w:val="subscript"/>
              </w:rPr>
              <w:t>2</w:t>
            </w:r>
            <w:r w:rsidR="007226F3" w:rsidRPr="00FA29EE">
              <w:rPr>
                <w:i/>
                <w:sz w:val="20"/>
                <w:szCs w:val="20"/>
              </w:rPr>
              <w:t xml:space="preserve"> m</w:t>
            </w:r>
            <w:r w:rsidR="007226F3" w:rsidRPr="00FA29EE">
              <w:rPr>
                <w:i/>
                <w:sz w:val="20"/>
                <w:szCs w:val="20"/>
                <w:vertAlign w:val="superscript"/>
              </w:rPr>
              <w:t>–2</w:t>
            </w:r>
            <w:r w:rsidR="007226F3" w:rsidRPr="00FA29EE">
              <w:rPr>
                <w:i/>
                <w:sz w:val="20"/>
                <w:szCs w:val="20"/>
              </w:rPr>
              <w:t>s</w:t>
            </w:r>
            <w:r w:rsidR="007226F3" w:rsidRPr="00FA29EE">
              <w:rPr>
                <w:i/>
                <w:sz w:val="20"/>
                <w:szCs w:val="20"/>
                <w:vertAlign w:val="superscript"/>
              </w:rPr>
              <w:softHyphen/>
              <w:t>–1</w:t>
            </w:r>
            <w:r w:rsidR="007226F3" w:rsidRPr="00FA29E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166/Flowering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16.8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17.2 ± 0.4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17.1 ± 0.5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17.9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18.1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18.1 ± 0.2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206/Pea size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17.2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17.4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16.8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17.7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17.5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16.6 ± 0.2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233/</w:t>
            </w:r>
            <w:proofErr w:type="spellStart"/>
            <w:r>
              <w:rPr>
                <w:color w:val="000000"/>
                <w:sz w:val="20"/>
                <w:szCs w:val="20"/>
              </w:rPr>
              <w:t>Veraison</w:t>
            </w:r>
            <w:proofErr w:type="spellEnd"/>
            <w:r w:rsidRPr="008A0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16.0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15.5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13.2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16.2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15.2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13.3 ± 0.4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69/Harvest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12.2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10.2 ± 0.5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9.1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13.8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11.8 ± 0.5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10.5 ± 0.4</w:t>
            </w:r>
          </w:p>
        </w:tc>
      </w:tr>
      <w:tr w:rsidR="007226F3" w:rsidRPr="00C85010" w:rsidTr="008A0E1B">
        <w:trPr>
          <w:trHeight w:val="261"/>
        </w:trPr>
        <w:tc>
          <w:tcPr>
            <w:tcW w:w="4253" w:type="dxa"/>
            <w:gridSpan w:val="4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i/>
                <w:sz w:val="20"/>
                <w:szCs w:val="20"/>
              </w:rPr>
            </w:pPr>
            <w:r w:rsidRPr="008A0E1B">
              <w:rPr>
                <w:i/>
                <w:sz w:val="20"/>
                <w:szCs w:val="20"/>
              </w:rPr>
              <w:t>Transpiration, E (mmol H</w:t>
            </w:r>
            <w:r w:rsidRPr="008A0E1B">
              <w:rPr>
                <w:i/>
                <w:sz w:val="20"/>
                <w:szCs w:val="20"/>
                <w:vertAlign w:val="subscript"/>
              </w:rPr>
              <w:t>2</w:t>
            </w:r>
            <w:r w:rsidRPr="008A0E1B">
              <w:rPr>
                <w:i/>
                <w:sz w:val="20"/>
                <w:szCs w:val="20"/>
              </w:rPr>
              <w:t>O m</w:t>
            </w:r>
            <w:r w:rsidRPr="008A0E1B">
              <w:rPr>
                <w:i/>
                <w:sz w:val="20"/>
                <w:szCs w:val="20"/>
                <w:vertAlign w:val="superscript"/>
              </w:rPr>
              <w:t>–2</w:t>
            </w:r>
            <w:r w:rsidRPr="008A0E1B">
              <w:rPr>
                <w:i/>
                <w:sz w:val="20"/>
                <w:szCs w:val="20"/>
              </w:rPr>
              <w:t>s</w:t>
            </w:r>
            <w:r w:rsidRPr="008A0E1B">
              <w:rPr>
                <w:i/>
                <w:sz w:val="20"/>
                <w:szCs w:val="20"/>
                <w:vertAlign w:val="superscript"/>
              </w:rPr>
              <w:softHyphen/>
              <w:t>–1</w:t>
            </w:r>
            <w:r w:rsidRPr="008A0E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166/Flowering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6.1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6.1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6.0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6.2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6.3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6.2 ± 0.2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206/Pea size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6.1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6.0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5.7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6.3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6.1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5.7 ± 0.2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233/</w:t>
            </w:r>
            <w:proofErr w:type="spellStart"/>
            <w:r>
              <w:rPr>
                <w:color w:val="000000"/>
                <w:sz w:val="20"/>
                <w:szCs w:val="20"/>
              </w:rPr>
              <w:t>Veraison</w:t>
            </w:r>
            <w:proofErr w:type="spellEnd"/>
            <w:r w:rsidRPr="008A0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5.7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5.5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5.0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5.8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5.7 ± 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5.2 ± 0.3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69/Harvest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3.3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3.0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2.4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3.5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3.1 ± 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2.8 ± 0.3</w:t>
            </w:r>
          </w:p>
        </w:tc>
      </w:tr>
      <w:tr w:rsidR="007226F3" w:rsidRPr="00C85010" w:rsidTr="008A0E1B">
        <w:trPr>
          <w:trHeight w:val="261"/>
        </w:trPr>
        <w:tc>
          <w:tcPr>
            <w:tcW w:w="4253" w:type="dxa"/>
            <w:gridSpan w:val="4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i/>
                <w:sz w:val="20"/>
                <w:szCs w:val="20"/>
              </w:rPr>
            </w:pPr>
            <w:r w:rsidRPr="008A0E1B">
              <w:rPr>
                <w:i/>
                <w:sz w:val="20"/>
                <w:szCs w:val="20"/>
              </w:rPr>
              <w:t xml:space="preserve">Intrinsic water use efficiency, </w:t>
            </w:r>
            <w:proofErr w:type="spellStart"/>
            <w:r w:rsidRPr="008A0E1B">
              <w:rPr>
                <w:i/>
                <w:sz w:val="20"/>
                <w:szCs w:val="20"/>
              </w:rPr>
              <w:t>WUE</w:t>
            </w:r>
            <w:r w:rsidRPr="008A0E1B">
              <w:rPr>
                <w:i/>
                <w:sz w:val="20"/>
                <w:szCs w:val="20"/>
                <w:vertAlign w:val="subscript"/>
              </w:rPr>
              <w:t>i</w:t>
            </w:r>
            <w:proofErr w:type="spellEnd"/>
            <w:r w:rsidRPr="008A0E1B">
              <w:rPr>
                <w:i/>
                <w:sz w:val="20"/>
                <w:szCs w:val="20"/>
              </w:rPr>
              <w:t xml:space="preserve">  (A/</w:t>
            </w:r>
            <w:proofErr w:type="spellStart"/>
            <w:r w:rsidRPr="008A0E1B">
              <w:rPr>
                <w:i/>
                <w:sz w:val="20"/>
                <w:szCs w:val="20"/>
              </w:rPr>
              <w:t>gs</w:t>
            </w:r>
            <w:proofErr w:type="spellEnd"/>
            <w:r w:rsidRPr="008A0E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166/Flowering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0.045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0.049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0.049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0.047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0.046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0.050 ± 0.010</w:t>
            </w: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206/Pea size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0.045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0.048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0.046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0.048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0.046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226F3" w:rsidRPr="008A0E1B" w:rsidRDefault="007226F3" w:rsidP="008A0E1B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0.046 ± 0.020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233/</w:t>
            </w:r>
            <w:proofErr w:type="spellStart"/>
            <w:r>
              <w:rPr>
                <w:color w:val="000000"/>
                <w:sz w:val="20"/>
                <w:szCs w:val="20"/>
              </w:rPr>
              <w:t>Veraison</w:t>
            </w:r>
            <w:proofErr w:type="spellEnd"/>
            <w:r w:rsidRPr="008A0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0.046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0.045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0.043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0.044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0.042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0.040 ± 0.010</w:t>
            </w:r>
          </w:p>
        </w:tc>
      </w:tr>
      <w:tr w:rsidR="003905A5" w:rsidRPr="00C85010" w:rsidTr="008A0E1B">
        <w:trPr>
          <w:trHeight w:val="26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 w:rsidRPr="008A0E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69/Harvest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0E1B">
              <w:rPr>
                <w:sz w:val="20"/>
                <w:szCs w:val="20"/>
              </w:rPr>
              <w:t>0.045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0.040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0.044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0.045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0.044 ± 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905A5" w:rsidRPr="008A0E1B" w:rsidRDefault="003905A5" w:rsidP="003905A5">
            <w:pPr>
              <w:contextualSpacing/>
              <w:jc w:val="center"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0.046 ± 0.010</w:t>
            </w:r>
          </w:p>
        </w:tc>
      </w:tr>
      <w:tr w:rsidR="007226F3" w:rsidRPr="00C85010" w:rsidTr="008A0E1B">
        <w:trPr>
          <w:trHeight w:val="261"/>
        </w:trPr>
        <w:tc>
          <w:tcPr>
            <w:tcW w:w="4253" w:type="dxa"/>
            <w:gridSpan w:val="4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i/>
                <w:sz w:val="20"/>
                <w:szCs w:val="20"/>
              </w:rPr>
            </w:pPr>
            <w:r w:rsidRPr="008A0E1B">
              <w:rPr>
                <w:rFonts w:ascii="Symbol" w:hAnsi="Symbol"/>
                <w:i/>
                <w:noProof/>
                <w:sz w:val="20"/>
                <w:szCs w:val="20"/>
              </w:rPr>
              <w:t></w:t>
            </w:r>
            <w:r w:rsidRPr="008A0E1B">
              <w:rPr>
                <w:i/>
                <w:noProof/>
                <w:sz w:val="20"/>
                <w:szCs w:val="20"/>
                <w:vertAlign w:val="superscript"/>
              </w:rPr>
              <w:t>13</w:t>
            </w:r>
            <w:r w:rsidRPr="008A0E1B">
              <w:rPr>
                <w:i/>
                <w:noProof/>
                <w:sz w:val="20"/>
                <w:szCs w:val="20"/>
              </w:rPr>
              <w:t>C</w:t>
            </w:r>
            <w:r w:rsidRPr="008A0E1B">
              <w:rPr>
                <w:i/>
                <w:noProof/>
                <w:sz w:val="20"/>
                <w:szCs w:val="20"/>
                <w:vertAlign w:val="subscript"/>
              </w:rPr>
              <w:t>sugars/VPDB</w:t>
            </w:r>
            <w:r w:rsidRPr="008A0E1B">
              <w:rPr>
                <w:i/>
                <w:noProof/>
                <w:sz w:val="20"/>
                <w:szCs w:val="20"/>
              </w:rPr>
              <w:t xml:space="preserve"> (mUr or ‰)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</w:p>
        </w:tc>
      </w:tr>
      <w:tr w:rsidR="007226F3" w:rsidRPr="00C85010" w:rsidTr="008A0E1B">
        <w:trPr>
          <w:trHeight w:val="261"/>
        </w:trPr>
        <w:tc>
          <w:tcPr>
            <w:tcW w:w="1417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–27.26 ± 0.11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–26.83 ± 0.07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–26.54 ± 0.13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–27.16 ± 0.02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–26.47 ± 0.03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226F3" w:rsidRPr="008A0E1B" w:rsidRDefault="007226F3" w:rsidP="008A0E1B">
            <w:pPr>
              <w:contextualSpacing/>
              <w:rPr>
                <w:sz w:val="20"/>
                <w:szCs w:val="20"/>
              </w:rPr>
            </w:pPr>
            <w:r w:rsidRPr="008A0E1B">
              <w:rPr>
                <w:sz w:val="20"/>
                <w:szCs w:val="20"/>
              </w:rPr>
              <w:t>–26.65 ± 0.12</w:t>
            </w:r>
          </w:p>
        </w:tc>
      </w:tr>
    </w:tbl>
    <w:p w:rsidR="007226F3" w:rsidRDefault="007226F3" w:rsidP="00A341F3">
      <w:pPr>
        <w:spacing w:line="191" w:lineRule="exact"/>
        <w:contextualSpacing/>
        <w:rPr>
          <w:rFonts w:cs="Arial"/>
          <w:color w:val="000000"/>
          <w:sz w:val="18"/>
          <w:szCs w:val="18"/>
        </w:rPr>
      </w:pPr>
    </w:p>
    <w:p w:rsidR="00A341F3" w:rsidRPr="00BA5878" w:rsidRDefault="00DF4AAD" w:rsidP="00A341F3">
      <w:pPr>
        <w:spacing w:line="191" w:lineRule="exact"/>
        <w:contextualSpacing/>
        <w:rPr>
          <w:noProof/>
          <w:sz w:val="20"/>
          <w:szCs w:val="20"/>
        </w:rPr>
      </w:pPr>
      <w:proofErr w:type="gramStart"/>
      <w:r w:rsidRPr="00BA5878">
        <w:rPr>
          <w:rFonts w:cs="Arial"/>
          <w:color w:val="000000"/>
          <w:sz w:val="20"/>
          <w:szCs w:val="20"/>
          <w:vertAlign w:val="superscript"/>
        </w:rPr>
        <w:t>a</w:t>
      </w:r>
      <w:proofErr w:type="gramEnd"/>
      <w:r w:rsidR="00CE6D22" w:rsidRPr="00BA5878">
        <w:rPr>
          <w:rFonts w:cs="Arial"/>
          <w:color w:val="000000"/>
          <w:sz w:val="20"/>
          <w:szCs w:val="20"/>
          <w:vertAlign w:val="superscript"/>
        </w:rPr>
        <w:t xml:space="preserve"> </w:t>
      </w:r>
      <w:r w:rsidR="004B7B50" w:rsidRPr="00BA5878">
        <w:rPr>
          <w:noProof/>
          <w:sz w:val="20"/>
          <w:szCs w:val="20"/>
        </w:rPr>
        <w:t xml:space="preserve">DOY </w:t>
      </w:r>
      <w:r w:rsidR="005F0E98">
        <w:rPr>
          <w:noProof/>
          <w:sz w:val="20"/>
          <w:szCs w:val="20"/>
        </w:rPr>
        <w:t xml:space="preserve">= days of the year </w:t>
      </w:r>
    </w:p>
    <w:p w:rsidR="00AE0845" w:rsidRPr="00BA5878" w:rsidRDefault="00DF4AAD" w:rsidP="00DF27CE">
      <w:pPr>
        <w:spacing w:line="191" w:lineRule="exact"/>
        <w:contextualSpacing/>
        <w:rPr>
          <w:noProof/>
          <w:sz w:val="20"/>
          <w:szCs w:val="20"/>
        </w:rPr>
      </w:pPr>
      <w:proofErr w:type="gramStart"/>
      <w:r w:rsidRPr="00BA5878">
        <w:rPr>
          <w:rFonts w:cs="Arial"/>
          <w:color w:val="000000"/>
          <w:sz w:val="20"/>
          <w:szCs w:val="20"/>
          <w:vertAlign w:val="superscript"/>
        </w:rPr>
        <w:t>b</w:t>
      </w:r>
      <w:proofErr w:type="gramEnd"/>
      <w:r w:rsidRPr="00BA5878">
        <w:rPr>
          <w:noProof/>
          <w:sz w:val="20"/>
          <w:szCs w:val="20"/>
        </w:rPr>
        <w:t xml:space="preserve"> DI = drip irrigation (9 L water m</w:t>
      </w:r>
      <w:r w:rsidRPr="00BA5878">
        <w:rPr>
          <w:noProof/>
          <w:sz w:val="20"/>
          <w:szCs w:val="20"/>
          <w:vertAlign w:val="superscript"/>
        </w:rPr>
        <w:t>–2</w:t>
      </w:r>
      <w:r w:rsidRPr="00BA5878">
        <w:rPr>
          <w:noProof/>
          <w:sz w:val="20"/>
          <w:szCs w:val="20"/>
        </w:rPr>
        <w:t xml:space="preserve"> per week between flowering and veraison), NI = no irrigation, NIP = no irrig</w:t>
      </w:r>
      <w:r w:rsidR="00AE0845" w:rsidRPr="00BA5878">
        <w:rPr>
          <w:noProof/>
          <w:sz w:val="20"/>
          <w:szCs w:val="20"/>
        </w:rPr>
        <w:t>ation and plastic-covered soil.</w:t>
      </w:r>
    </w:p>
    <w:p w:rsidR="00AE0845" w:rsidRDefault="00AE0845" w:rsidP="00DF27CE">
      <w:pPr>
        <w:spacing w:line="191" w:lineRule="exact"/>
        <w:contextualSpacing/>
        <w:rPr>
          <w:sz w:val="20"/>
          <w:szCs w:val="20"/>
        </w:rPr>
      </w:pPr>
      <w:proofErr w:type="gramStart"/>
      <w:r w:rsidRPr="00BA5878">
        <w:rPr>
          <w:rFonts w:cs="Arial"/>
          <w:color w:val="000000"/>
          <w:sz w:val="20"/>
          <w:szCs w:val="20"/>
          <w:vertAlign w:val="superscript"/>
        </w:rPr>
        <w:t>c</w:t>
      </w:r>
      <w:proofErr w:type="gramEnd"/>
      <w:r w:rsidR="00B522C7" w:rsidRPr="00BA5878">
        <w:rPr>
          <w:noProof/>
          <w:sz w:val="20"/>
          <w:szCs w:val="20"/>
        </w:rPr>
        <w:t xml:space="preserve"> </w:t>
      </w:r>
      <w:r w:rsidRPr="00BA5878">
        <w:rPr>
          <w:i/>
          <w:sz w:val="20"/>
          <w:szCs w:val="20"/>
        </w:rPr>
        <w:sym w:font="Symbol" w:char="F059"/>
      </w:r>
      <w:proofErr w:type="spellStart"/>
      <w:r w:rsidRPr="00BA5878">
        <w:rPr>
          <w:i/>
          <w:sz w:val="20"/>
          <w:szCs w:val="20"/>
          <w:vertAlign w:val="subscript"/>
        </w:rPr>
        <w:t>pd</w:t>
      </w:r>
      <w:proofErr w:type="spellEnd"/>
      <w:r w:rsidR="00B522C7" w:rsidRPr="00BA5878">
        <w:rPr>
          <w:i/>
          <w:noProof/>
          <w:sz w:val="20"/>
          <w:szCs w:val="20"/>
        </w:rPr>
        <w:t xml:space="preserve"> </w:t>
      </w:r>
      <w:r w:rsidR="00B522C7" w:rsidRPr="00BA5878">
        <w:rPr>
          <w:noProof/>
          <w:sz w:val="20"/>
          <w:szCs w:val="20"/>
        </w:rPr>
        <w:t xml:space="preserve"> = predawn </w:t>
      </w:r>
      <w:r w:rsidRPr="00BA5878">
        <w:rPr>
          <w:noProof/>
          <w:sz w:val="20"/>
          <w:szCs w:val="20"/>
        </w:rPr>
        <w:t xml:space="preserve">leaf </w:t>
      </w:r>
      <w:r w:rsidR="00B522C7" w:rsidRPr="00BA5878">
        <w:rPr>
          <w:noProof/>
          <w:sz w:val="20"/>
          <w:szCs w:val="20"/>
        </w:rPr>
        <w:t>water potential</w:t>
      </w:r>
      <w:r w:rsidRPr="00BA5878">
        <w:rPr>
          <w:noProof/>
          <w:sz w:val="20"/>
          <w:szCs w:val="20"/>
        </w:rPr>
        <w:t xml:space="preserve"> </w:t>
      </w:r>
      <w:r w:rsidRPr="00BA5878">
        <w:rPr>
          <w:sz w:val="20"/>
          <w:szCs w:val="20"/>
        </w:rPr>
        <w:t>from bloom to harvest</w:t>
      </w:r>
    </w:p>
    <w:p w:rsidR="00424C66" w:rsidRPr="008A0E1B" w:rsidRDefault="00424C66" w:rsidP="00DF27CE">
      <w:pPr>
        <w:spacing w:line="191" w:lineRule="exact"/>
        <w:contextualSpacing/>
        <w:rPr>
          <w:noProof/>
          <w:sz w:val="20"/>
          <w:szCs w:val="20"/>
        </w:rPr>
      </w:pPr>
    </w:p>
    <w:sectPr w:rsidR="00424C66" w:rsidRPr="008A0E1B" w:rsidSect="00B00D88">
      <w:pgSz w:w="11900" w:h="16840"/>
      <w:pgMar w:top="1701" w:right="1418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12"/>
  </w:docVars>
  <w:rsids>
    <w:rsidRoot w:val="005866F2"/>
    <w:rsid w:val="000065BA"/>
    <w:rsid w:val="00024D10"/>
    <w:rsid w:val="00027C02"/>
    <w:rsid w:val="00035057"/>
    <w:rsid w:val="00041675"/>
    <w:rsid w:val="000434A4"/>
    <w:rsid w:val="00051235"/>
    <w:rsid w:val="000521D5"/>
    <w:rsid w:val="00054D3B"/>
    <w:rsid w:val="00056CAE"/>
    <w:rsid w:val="00057B60"/>
    <w:rsid w:val="000770CF"/>
    <w:rsid w:val="000B12F5"/>
    <w:rsid w:val="000B68C3"/>
    <w:rsid w:val="000C7118"/>
    <w:rsid w:val="000C730E"/>
    <w:rsid w:val="000D23DA"/>
    <w:rsid w:val="000D3600"/>
    <w:rsid w:val="000D3B65"/>
    <w:rsid w:val="000E4235"/>
    <w:rsid w:val="000E5356"/>
    <w:rsid w:val="000F1D8F"/>
    <w:rsid w:val="000F3588"/>
    <w:rsid w:val="000F4C8C"/>
    <w:rsid w:val="00105FB8"/>
    <w:rsid w:val="001075FA"/>
    <w:rsid w:val="00110A87"/>
    <w:rsid w:val="00110C70"/>
    <w:rsid w:val="0011622B"/>
    <w:rsid w:val="001225DF"/>
    <w:rsid w:val="00125F32"/>
    <w:rsid w:val="00142960"/>
    <w:rsid w:val="00147E0D"/>
    <w:rsid w:val="00160046"/>
    <w:rsid w:val="001674DF"/>
    <w:rsid w:val="00170A53"/>
    <w:rsid w:val="00180BA4"/>
    <w:rsid w:val="00180C04"/>
    <w:rsid w:val="00180F31"/>
    <w:rsid w:val="0018155A"/>
    <w:rsid w:val="001823B8"/>
    <w:rsid w:val="0018454E"/>
    <w:rsid w:val="00197A9B"/>
    <w:rsid w:val="001A2EFE"/>
    <w:rsid w:val="001B2DA2"/>
    <w:rsid w:val="001B69A7"/>
    <w:rsid w:val="001C340F"/>
    <w:rsid w:val="001D0D6F"/>
    <w:rsid w:val="001E0598"/>
    <w:rsid w:val="001F0A52"/>
    <w:rsid w:val="001F2D6D"/>
    <w:rsid w:val="001F38FF"/>
    <w:rsid w:val="001F61B4"/>
    <w:rsid w:val="00205A31"/>
    <w:rsid w:val="002121FF"/>
    <w:rsid w:val="002131BB"/>
    <w:rsid w:val="00214787"/>
    <w:rsid w:val="00217FCA"/>
    <w:rsid w:val="002226AD"/>
    <w:rsid w:val="00227A4D"/>
    <w:rsid w:val="00237DF2"/>
    <w:rsid w:val="0025725B"/>
    <w:rsid w:val="00260D6C"/>
    <w:rsid w:val="00270D4E"/>
    <w:rsid w:val="00271F47"/>
    <w:rsid w:val="00277122"/>
    <w:rsid w:val="00281E7F"/>
    <w:rsid w:val="002823BC"/>
    <w:rsid w:val="00283146"/>
    <w:rsid w:val="002859D2"/>
    <w:rsid w:val="00292CF5"/>
    <w:rsid w:val="00293969"/>
    <w:rsid w:val="002B2D2E"/>
    <w:rsid w:val="002B4660"/>
    <w:rsid w:val="002B6FEF"/>
    <w:rsid w:val="002C1363"/>
    <w:rsid w:val="002C4C0B"/>
    <w:rsid w:val="002E0E11"/>
    <w:rsid w:val="002F3BE0"/>
    <w:rsid w:val="003022D9"/>
    <w:rsid w:val="00305871"/>
    <w:rsid w:val="003059CC"/>
    <w:rsid w:val="00306911"/>
    <w:rsid w:val="00307FAB"/>
    <w:rsid w:val="003134F3"/>
    <w:rsid w:val="00317972"/>
    <w:rsid w:val="00324CFF"/>
    <w:rsid w:val="00333110"/>
    <w:rsid w:val="00345688"/>
    <w:rsid w:val="003568AC"/>
    <w:rsid w:val="003643D8"/>
    <w:rsid w:val="00380366"/>
    <w:rsid w:val="003831A4"/>
    <w:rsid w:val="00386E17"/>
    <w:rsid w:val="003905A5"/>
    <w:rsid w:val="003928D0"/>
    <w:rsid w:val="0039447B"/>
    <w:rsid w:val="003A0D87"/>
    <w:rsid w:val="003A5CCE"/>
    <w:rsid w:val="003B1D66"/>
    <w:rsid w:val="003B4A61"/>
    <w:rsid w:val="003B4ECC"/>
    <w:rsid w:val="003C0E47"/>
    <w:rsid w:val="003C2B7D"/>
    <w:rsid w:val="003D0CE9"/>
    <w:rsid w:val="003E10FA"/>
    <w:rsid w:val="003E445D"/>
    <w:rsid w:val="003E6FB8"/>
    <w:rsid w:val="003E7A24"/>
    <w:rsid w:val="003F2CD8"/>
    <w:rsid w:val="0040288F"/>
    <w:rsid w:val="00407032"/>
    <w:rsid w:val="0041214C"/>
    <w:rsid w:val="00422E83"/>
    <w:rsid w:val="00424C66"/>
    <w:rsid w:val="00430EF7"/>
    <w:rsid w:val="00432EE1"/>
    <w:rsid w:val="0044523E"/>
    <w:rsid w:val="0044540B"/>
    <w:rsid w:val="0046676D"/>
    <w:rsid w:val="00475A85"/>
    <w:rsid w:val="0048774C"/>
    <w:rsid w:val="00495572"/>
    <w:rsid w:val="004B12EC"/>
    <w:rsid w:val="004B2839"/>
    <w:rsid w:val="004B3138"/>
    <w:rsid w:val="004B7B50"/>
    <w:rsid w:val="004C0B69"/>
    <w:rsid w:val="004D2165"/>
    <w:rsid w:val="004D3F5D"/>
    <w:rsid w:val="004D57EC"/>
    <w:rsid w:val="004D5BE4"/>
    <w:rsid w:val="004E692D"/>
    <w:rsid w:val="004E6FD6"/>
    <w:rsid w:val="00501ECB"/>
    <w:rsid w:val="00513AF2"/>
    <w:rsid w:val="00513FBA"/>
    <w:rsid w:val="00521167"/>
    <w:rsid w:val="00521795"/>
    <w:rsid w:val="005224CE"/>
    <w:rsid w:val="00531B7A"/>
    <w:rsid w:val="00534D31"/>
    <w:rsid w:val="005357D7"/>
    <w:rsid w:val="00574CC8"/>
    <w:rsid w:val="00575BF1"/>
    <w:rsid w:val="00585C0C"/>
    <w:rsid w:val="0058723C"/>
    <w:rsid w:val="005919DC"/>
    <w:rsid w:val="00593228"/>
    <w:rsid w:val="00595286"/>
    <w:rsid w:val="00595B92"/>
    <w:rsid w:val="00596293"/>
    <w:rsid w:val="005979DD"/>
    <w:rsid w:val="005A04D4"/>
    <w:rsid w:val="005A0FEC"/>
    <w:rsid w:val="005A55CA"/>
    <w:rsid w:val="005B103A"/>
    <w:rsid w:val="005B2C7A"/>
    <w:rsid w:val="005B3F0E"/>
    <w:rsid w:val="005C1172"/>
    <w:rsid w:val="005C6CC4"/>
    <w:rsid w:val="005D1EDE"/>
    <w:rsid w:val="005D6383"/>
    <w:rsid w:val="005E26A9"/>
    <w:rsid w:val="005E5D4D"/>
    <w:rsid w:val="005F0E98"/>
    <w:rsid w:val="005F2C24"/>
    <w:rsid w:val="005F2DAA"/>
    <w:rsid w:val="005F4CD4"/>
    <w:rsid w:val="005F5BFB"/>
    <w:rsid w:val="005F5E36"/>
    <w:rsid w:val="006176EC"/>
    <w:rsid w:val="00620F36"/>
    <w:rsid w:val="00626618"/>
    <w:rsid w:val="006331D1"/>
    <w:rsid w:val="006375D3"/>
    <w:rsid w:val="00637B90"/>
    <w:rsid w:val="00653C7F"/>
    <w:rsid w:val="00653D66"/>
    <w:rsid w:val="00662B36"/>
    <w:rsid w:val="006672C7"/>
    <w:rsid w:val="006675E2"/>
    <w:rsid w:val="006861CC"/>
    <w:rsid w:val="006908F8"/>
    <w:rsid w:val="00693F61"/>
    <w:rsid w:val="0069695E"/>
    <w:rsid w:val="0069780D"/>
    <w:rsid w:val="006A5C25"/>
    <w:rsid w:val="006B6867"/>
    <w:rsid w:val="006B72E7"/>
    <w:rsid w:val="006C7116"/>
    <w:rsid w:val="006D002C"/>
    <w:rsid w:val="006E1B82"/>
    <w:rsid w:val="006F0947"/>
    <w:rsid w:val="006F397D"/>
    <w:rsid w:val="006F6248"/>
    <w:rsid w:val="007013EB"/>
    <w:rsid w:val="00711537"/>
    <w:rsid w:val="007226F3"/>
    <w:rsid w:val="007244FE"/>
    <w:rsid w:val="00736D4F"/>
    <w:rsid w:val="00740249"/>
    <w:rsid w:val="007423CD"/>
    <w:rsid w:val="00770EA3"/>
    <w:rsid w:val="00773F55"/>
    <w:rsid w:val="00775EC2"/>
    <w:rsid w:val="007812E6"/>
    <w:rsid w:val="00787C12"/>
    <w:rsid w:val="007932A8"/>
    <w:rsid w:val="007968DF"/>
    <w:rsid w:val="007A16ED"/>
    <w:rsid w:val="007A3947"/>
    <w:rsid w:val="007A3A91"/>
    <w:rsid w:val="007B4D52"/>
    <w:rsid w:val="007C2792"/>
    <w:rsid w:val="007C5D6F"/>
    <w:rsid w:val="007C73F0"/>
    <w:rsid w:val="007F4783"/>
    <w:rsid w:val="007F47DE"/>
    <w:rsid w:val="007F7E66"/>
    <w:rsid w:val="00804F60"/>
    <w:rsid w:val="0080781B"/>
    <w:rsid w:val="008148A2"/>
    <w:rsid w:val="00816F4F"/>
    <w:rsid w:val="00817034"/>
    <w:rsid w:val="0083475A"/>
    <w:rsid w:val="008357A4"/>
    <w:rsid w:val="0084068C"/>
    <w:rsid w:val="00846722"/>
    <w:rsid w:val="008640DB"/>
    <w:rsid w:val="008737A6"/>
    <w:rsid w:val="00877AB6"/>
    <w:rsid w:val="008901A2"/>
    <w:rsid w:val="008902D1"/>
    <w:rsid w:val="00893E4C"/>
    <w:rsid w:val="008A0E1B"/>
    <w:rsid w:val="008A13A1"/>
    <w:rsid w:val="008A2FE6"/>
    <w:rsid w:val="008A51E7"/>
    <w:rsid w:val="008A63CD"/>
    <w:rsid w:val="008A78F5"/>
    <w:rsid w:val="008B2A7F"/>
    <w:rsid w:val="008B353E"/>
    <w:rsid w:val="008B40FD"/>
    <w:rsid w:val="008C3690"/>
    <w:rsid w:val="008C69E8"/>
    <w:rsid w:val="008E7722"/>
    <w:rsid w:val="008F2C63"/>
    <w:rsid w:val="008F6126"/>
    <w:rsid w:val="00900394"/>
    <w:rsid w:val="009017C0"/>
    <w:rsid w:val="009046AC"/>
    <w:rsid w:val="009067D9"/>
    <w:rsid w:val="00911CF9"/>
    <w:rsid w:val="0091399D"/>
    <w:rsid w:val="00917EA7"/>
    <w:rsid w:val="009347C9"/>
    <w:rsid w:val="00941539"/>
    <w:rsid w:val="009443C9"/>
    <w:rsid w:val="0097088E"/>
    <w:rsid w:val="00973317"/>
    <w:rsid w:val="00973F64"/>
    <w:rsid w:val="009749BD"/>
    <w:rsid w:val="00981C80"/>
    <w:rsid w:val="009850D2"/>
    <w:rsid w:val="009900A8"/>
    <w:rsid w:val="00993977"/>
    <w:rsid w:val="009941EF"/>
    <w:rsid w:val="009A03F8"/>
    <w:rsid w:val="009A158E"/>
    <w:rsid w:val="009B463E"/>
    <w:rsid w:val="009C3953"/>
    <w:rsid w:val="009C745E"/>
    <w:rsid w:val="009E6E2C"/>
    <w:rsid w:val="009F00F3"/>
    <w:rsid w:val="00A02641"/>
    <w:rsid w:val="00A03060"/>
    <w:rsid w:val="00A03619"/>
    <w:rsid w:val="00A106D6"/>
    <w:rsid w:val="00A12CC1"/>
    <w:rsid w:val="00A14926"/>
    <w:rsid w:val="00A24AC1"/>
    <w:rsid w:val="00A31B2B"/>
    <w:rsid w:val="00A32925"/>
    <w:rsid w:val="00A341F3"/>
    <w:rsid w:val="00A471A1"/>
    <w:rsid w:val="00A5179B"/>
    <w:rsid w:val="00A51FB8"/>
    <w:rsid w:val="00A539EC"/>
    <w:rsid w:val="00A57247"/>
    <w:rsid w:val="00A57A46"/>
    <w:rsid w:val="00A601AF"/>
    <w:rsid w:val="00A6219D"/>
    <w:rsid w:val="00A67722"/>
    <w:rsid w:val="00A823D4"/>
    <w:rsid w:val="00A84FE1"/>
    <w:rsid w:val="00A95EC2"/>
    <w:rsid w:val="00A976B8"/>
    <w:rsid w:val="00AA3D87"/>
    <w:rsid w:val="00AA64F2"/>
    <w:rsid w:val="00AB26D3"/>
    <w:rsid w:val="00AC3FF2"/>
    <w:rsid w:val="00AC5B24"/>
    <w:rsid w:val="00AD4C8F"/>
    <w:rsid w:val="00AD7104"/>
    <w:rsid w:val="00AE0845"/>
    <w:rsid w:val="00AE1662"/>
    <w:rsid w:val="00AE3DA1"/>
    <w:rsid w:val="00AE612C"/>
    <w:rsid w:val="00AE66A7"/>
    <w:rsid w:val="00B00D88"/>
    <w:rsid w:val="00B2662B"/>
    <w:rsid w:val="00B3011D"/>
    <w:rsid w:val="00B37E79"/>
    <w:rsid w:val="00B500F4"/>
    <w:rsid w:val="00B52235"/>
    <w:rsid w:val="00B522C7"/>
    <w:rsid w:val="00B52F76"/>
    <w:rsid w:val="00B55D6E"/>
    <w:rsid w:val="00B57220"/>
    <w:rsid w:val="00B6148F"/>
    <w:rsid w:val="00B64E65"/>
    <w:rsid w:val="00B72239"/>
    <w:rsid w:val="00B800E1"/>
    <w:rsid w:val="00B8678A"/>
    <w:rsid w:val="00B97C7F"/>
    <w:rsid w:val="00BA0640"/>
    <w:rsid w:val="00BA5878"/>
    <w:rsid w:val="00BB484C"/>
    <w:rsid w:val="00BB68AB"/>
    <w:rsid w:val="00BC16BC"/>
    <w:rsid w:val="00BC320E"/>
    <w:rsid w:val="00BD3BB1"/>
    <w:rsid w:val="00BD5F40"/>
    <w:rsid w:val="00BF00CB"/>
    <w:rsid w:val="00BF1776"/>
    <w:rsid w:val="00BF29F4"/>
    <w:rsid w:val="00BF5864"/>
    <w:rsid w:val="00C03A0C"/>
    <w:rsid w:val="00C15333"/>
    <w:rsid w:val="00C205B0"/>
    <w:rsid w:val="00C2090D"/>
    <w:rsid w:val="00C20CAD"/>
    <w:rsid w:val="00C24A5C"/>
    <w:rsid w:val="00C32AFA"/>
    <w:rsid w:val="00C409BD"/>
    <w:rsid w:val="00C47BB0"/>
    <w:rsid w:val="00C47C56"/>
    <w:rsid w:val="00C55003"/>
    <w:rsid w:val="00C64709"/>
    <w:rsid w:val="00C6714F"/>
    <w:rsid w:val="00C71D3A"/>
    <w:rsid w:val="00C75ADA"/>
    <w:rsid w:val="00C85010"/>
    <w:rsid w:val="00C9313F"/>
    <w:rsid w:val="00CB4E6D"/>
    <w:rsid w:val="00CB5BDF"/>
    <w:rsid w:val="00CC0541"/>
    <w:rsid w:val="00CC39EF"/>
    <w:rsid w:val="00CD0FC5"/>
    <w:rsid w:val="00CE375F"/>
    <w:rsid w:val="00CE3A6C"/>
    <w:rsid w:val="00CE4B12"/>
    <w:rsid w:val="00CE6D22"/>
    <w:rsid w:val="00CF6091"/>
    <w:rsid w:val="00CF7430"/>
    <w:rsid w:val="00D114B3"/>
    <w:rsid w:val="00D1207A"/>
    <w:rsid w:val="00D14F9C"/>
    <w:rsid w:val="00D16013"/>
    <w:rsid w:val="00D22606"/>
    <w:rsid w:val="00D3063F"/>
    <w:rsid w:val="00D412BF"/>
    <w:rsid w:val="00D43779"/>
    <w:rsid w:val="00D44166"/>
    <w:rsid w:val="00D4482C"/>
    <w:rsid w:val="00D63009"/>
    <w:rsid w:val="00D642D1"/>
    <w:rsid w:val="00D659C9"/>
    <w:rsid w:val="00D70ECE"/>
    <w:rsid w:val="00D75BE5"/>
    <w:rsid w:val="00D762E7"/>
    <w:rsid w:val="00D806AB"/>
    <w:rsid w:val="00D82DF4"/>
    <w:rsid w:val="00D8671C"/>
    <w:rsid w:val="00D9204A"/>
    <w:rsid w:val="00D92546"/>
    <w:rsid w:val="00D95D3E"/>
    <w:rsid w:val="00DA6A6A"/>
    <w:rsid w:val="00DC047C"/>
    <w:rsid w:val="00DC064D"/>
    <w:rsid w:val="00DC77D5"/>
    <w:rsid w:val="00DD03CF"/>
    <w:rsid w:val="00DD2EC8"/>
    <w:rsid w:val="00DD36E1"/>
    <w:rsid w:val="00DD3C27"/>
    <w:rsid w:val="00DE060B"/>
    <w:rsid w:val="00DE1F4E"/>
    <w:rsid w:val="00DF27CE"/>
    <w:rsid w:val="00DF34E7"/>
    <w:rsid w:val="00DF4AAD"/>
    <w:rsid w:val="00DF5BF5"/>
    <w:rsid w:val="00E14E1D"/>
    <w:rsid w:val="00E14EA4"/>
    <w:rsid w:val="00E223CA"/>
    <w:rsid w:val="00E24DF4"/>
    <w:rsid w:val="00E268F4"/>
    <w:rsid w:val="00E32EBE"/>
    <w:rsid w:val="00E339D3"/>
    <w:rsid w:val="00E43B23"/>
    <w:rsid w:val="00E5089A"/>
    <w:rsid w:val="00E55F68"/>
    <w:rsid w:val="00E57C19"/>
    <w:rsid w:val="00E67823"/>
    <w:rsid w:val="00E678B5"/>
    <w:rsid w:val="00E90980"/>
    <w:rsid w:val="00E92481"/>
    <w:rsid w:val="00E92BE0"/>
    <w:rsid w:val="00E94F34"/>
    <w:rsid w:val="00E95E31"/>
    <w:rsid w:val="00EA09BC"/>
    <w:rsid w:val="00EA368F"/>
    <w:rsid w:val="00EB25CA"/>
    <w:rsid w:val="00EB7C9C"/>
    <w:rsid w:val="00EC0D99"/>
    <w:rsid w:val="00EC4A21"/>
    <w:rsid w:val="00EE44FD"/>
    <w:rsid w:val="00EE4A68"/>
    <w:rsid w:val="00EE6645"/>
    <w:rsid w:val="00EE7419"/>
    <w:rsid w:val="00EE7C27"/>
    <w:rsid w:val="00EF0A30"/>
    <w:rsid w:val="00EF67AA"/>
    <w:rsid w:val="00EF7C1F"/>
    <w:rsid w:val="00F01013"/>
    <w:rsid w:val="00F06D57"/>
    <w:rsid w:val="00F2105A"/>
    <w:rsid w:val="00F2173B"/>
    <w:rsid w:val="00F21D06"/>
    <w:rsid w:val="00F22B45"/>
    <w:rsid w:val="00F248FB"/>
    <w:rsid w:val="00F3497F"/>
    <w:rsid w:val="00F367C7"/>
    <w:rsid w:val="00F37A1E"/>
    <w:rsid w:val="00F41BA3"/>
    <w:rsid w:val="00F60161"/>
    <w:rsid w:val="00F60D0C"/>
    <w:rsid w:val="00F66E73"/>
    <w:rsid w:val="00F74E19"/>
    <w:rsid w:val="00F81765"/>
    <w:rsid w:val="00F847DF"/>
    <w:rsid w:val="00F86D24"/>
    <w:rsid w:val="00F91C9D"/>
    <w:rsid w:val="00F97567"/>
    <w:rsid w:val="00F97B58"/>
    <w:rsid w:val="00FA0317"/>
    <w:rsid w:val="00FA1F9C"/>
    <w:rsid w:val="00FA29EE"/>
    <w:rsid w:val="00FA6DE5"/>
    <w:rsid w:val="00FA7D2E"/>
    <w:rsid w:val="00FB19C4"/>
    <w:rsid w:val="00FB6DBB"/>
    <w:rsid w:val="00FC1F10"/>
    <w:rsid w:val="00FC28B9"/>
    <w:rsid w:val="00FC514B"/>
    <w:rsid w:val="00FD42FD"/>
    <w:rsid w:val="00FD4E8F"/>
    <w:rsid w:val="00FE5E82"/>
    <w:rsid w:val="00FE7936"/>
    <w:rsid w:val="00FF4B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66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rsid w:val="005866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66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6F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866F2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8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6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66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rsid w:val="005866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66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6F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866F2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8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6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2875</Characters>
  <Application>Microsoft Office Word</Application>
  <DocSecurity>0</DocSecurity>
  <Lines>287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Spangenberg</dc:creator>
  <cp:lastModifiedBy>ABADON</cp:lastModifiedBy>
  <cp:revision>2</cp:revision>
  <cp:lastPrinted>2019-12-18T02:46:00Z</cp:lastPrinted>
  <dcterms:created xsi:type="dcterms:W3CDTF">2020-06-19T02:21:00Z</dcterms:created>
  <dcterms:modified xsi:type="dcterms:W3CDTF">2020-06-19T02:21:00Z</dcterms:modified>
</cp:coreProperties>
</file>