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D5CFDD" w14:textId="66F7689F" w:rsidR="009F0B5F" w:rsidRPr="000217C7" w:rsidRDefault="0026148C" w:rsidP="00A72F2D">
      <w:pPr>
        <w:pStyle w:val="Heading1NOcontents"/>
        <w:rPr>
          <w:lang w:val="en-GB"/>
        </w:rPr>
      </w:pPr>
      <w:bookmarkStart w:id="0" w:name="_Toc528590094"/>
      <w:bookmarkStart w:id="1" w:name="_Toc526155246"/>
      <w:bookmarkStart w:id="2" w:name="_Toc526433002"/>
      <w:bookmarkStart w:id="3" w:name="_Toc526436152"/>
      <w:bookmarkStart w:id="4" w:name="_Toc526437092"/>
      <w:bookmarkStart w:id="5" w:name="_GoBack"/>
      <w:r w:rsidRPr="000217C7">
        <w:rPr>
          <w:lang w:val="en-GB"/>
        </w:rPr>
        <w:t>The</w:t>
      </w:r>
      <w:r w:rsidR="006F0A2E" w:rsidRPr="000217C7">
        <w:rPr>
          <w:lang w:val="en-GB"/>
        </w:rPr>
        <w:t xml:space="preserve"> neural sub</w:t>
      </w:r>
      <w:r w:rsidR="00006C45" w:rsidRPr="000217C7">
        <w:rPr>
          <w:lang w:val="en-GB"/>
        </w:rPr>
        <w:t xml:space="preserve">strates of </w:t>
      </w:r>
      <w:bookmarkEnd w:id="0"/>
      <w:r w:rsidR="003D2996" w:rsidRPr="000217C7">
        <w:rPr>
          <w:lang w:val="en-GB"/>
        </w:rPr>
        <w:t xml:space="preserve">subliminal </w:t>
      </w:r>
      <w:r w:rsidR="00D37275" w:rsidRPr="000217C7">
        <w:rPr>
          <w:lang w:val="en-GB"/>
        </w:rPr>
        <w:t>attentional bias</w:t>
      </w:r>
      <w:r w:rsidR="00280499" w:rsidRPr="000217C7">
        <w:rPr>
          <w:lang w:val="en-GB"/>
        </w:rPr>
        <w:t xml:space="preserve"> and </w:t>
      </w:r>
      <w:r w:rsidR="00084333" w:rsidRPr="000217C7">
        <w:rPr>
          <w:lang w:val="en-GB"/>
        </w:rPr>
        <w:t xml:space="preserve">reduced </w:t>
      </w:r>
      <w:r w:rsidR="00280499" w:rsidRPr="000217C7">
        <w:rPr>
          <w:lang w:val="en-GB"/>
        </w:rPr>
        <w:t>inhibition</w:t>
      </w:r>
      <w:r w:rsidR="00CC3AD7" w:rsidRPr="000217C7">
        <w:rPr>
          <w:lang w:val="en-GB"/>
        </w:rPr>
        <w:t xml:space="preserve"> in </w:t>
      </w:r>
      <w:r w:rsidR="00F12141" w:rsidRPr="000217C7">
        <w:rPr>
          <w:lang w:val="en-GB"/>
        </w:rPr>
        <w:t xml:space="preserve">individuals with a higher </w:t>
      </w:r>
      <w:bookmarkEnd w:id="5"/>
      <w:r w:rsidR="00F12141" w:rsidRPr="000217C7">
        <w:rPr>
          <w:lang w:val="en-GB"/>
        </w:rPr>
        <w:t>BMI</w:t>
      </w:r>
      <w:r w:rsidR="00D37275" w:rsidRPr="000217C7">
        <w:rPr>
          <w:lang w:val="en-GB"/>
        </w:rPr>
        <w:t>: a VBM and resting state connectivity study</w:t>
      </w:r>
    </w:p>
    <w:p w14:paraId="09943039" w14:textId="77777777" w:rsidR="009F0B5F" w:rsidRPr="000217C7" w:rsidRDefault="0017303D" w:rsidP="003705CB">
      <w:pPr>
        <w:rPr>
          <w:color w:val="000000" w:themeColor="text1"/>
          <w:lang w:val="it-IT"/>
        </w:rPr>
      </w:pPr>
      <w:r w:rsidRPr="000217C7">
        <w:rPr>
          <w:color w:val="000000" w:themeColor="text1"/>
          <w:lang w:val="it-IT"/>
        </w:rPr>
        <w:t xml:space="preserve">Osimo, S. </w:t>
      </w:r>
      <w:proofErr w:type="spellStart"/>
      <w:r w:rsidRPr="000217C7">
        <w:rPr>
          <w:color w:val="000000" w:themeColor="text1"/>
          <w:lang w:val="it-IT"/>
        </w:rPr>
        <w:t>A.</w:t>
      </w:r>
      <w:r w:rsidR="0049245D" w:rsidRPr="000217C7">
        <w:rPr>
          <w:color w:val="000000" w:themeColor="text1"/>
          <w:vertAlign w:val="superscript"/>
          <w:lang w:val="it-IT"/>
        </w:rPr>
        <w:t>a</w:t>
      </w:r>
      <w:proofErr w:type="spellEnd"/>
      <w:r w:rsidR="00BB6F95" w:rsidRPr="000217C7">
        <w:rPr>
          <w:color w:val="000000" w:themeColor="text1"/>
          <w:vertAlign w:val="superscript"/>
          <w:lang w:val="it-IT"/>
        </w:rPr>
        <w:t>*</w:t>
      </w:r>
      <w:r w:rsidRPr="000217C7">
        <w:rPr>
          <w:color w:val="000000" w:themeColor="text1"/>
          <w:lang w:val="it-IT"/>
        </w:rPr>
        <w:t xml:space="preserve">, </w:t>
      </w:r>
      <w:proofErr w:type="spellStart"/>
      <w:r w:rsidR="00AC0358" w:rsidRPr="000217C7">
        <w:rPr>
          <w:color w:val="000000" w:themeColor="text1"/>
          <w:lang w:val="it-IT"/>
        </w:rPr>
        <w:t>Piretti</w:t>
      </w:r>
      <w:proofErr w:type="spellEnd"/>
      <w:r w:rsidR="00AC0358" w:rsidRPr="000217C7">
        <w:rPr>
          <w:color w:val="000000" w:themeColor="text1"/>
          <w:lang w:val="it-IT"/>
        </w:rPr>
        <w:t>, L.</w:t>
      </w:r>
      <w:r w:rsidR="00E769DF" w:rsidRPr="000217C7">
        <w:rPr>
          <w:color w:val="000000" w:themeColor="text1"/>
          <w:vertAlign w:val="superscript"/>
          <w:lang w:val="it-IT"/>
        </w:rPr>
        <w:t xml:space="preserve"> </w:t>
      </w:r>
      <w:proofErr w:type="spellStart"/>
      <w:proofErr w:type="gramStart"/>
      <w:r w:rsidR="0049245D" w:rsidRPr="000217C7">
        <w:rPr>
          <w:color w:val="000000" w:themeColor="text1"/>
          <w:vertAlign w:val="superscript"/>
          <w:lang w:val="it-IT"/>
        </w:rPr>
        <w:t>a</w:t>
      </w:r>
      <w:r w:rsidR="00E769DF" w:rsidRPr="000217C7">
        <w:rPr>
          <w:color w:val="000000" w:themeColor="text1"/>
          <w:vertAlign w:val="superscript"/>
          <w:lang w:val="it-IT"/>
        </w:rPr>
        <w:t>,</w:t>
      </w:r>
      <w:r w:rsidR="0049245D" w:rsidRPr="000217C7">
        <w:rPr>
          <w:color w:val="000000" w:themeColor="text1"/>
          <w:vertAlign w:val="superscript"/>
          <w:lang w:val="it-IT"/>
        </w:rPr>
        <w:t>b</w:t>
      </w:r>
      <w:proofErr w:type="gramEnd"/>
      <w:r w:rsidR="00E769DF" w:rsidRPr="000217C7">
        <w:rPr>
          <w:color w:val="000000" w:themeColor="text1"/>
          <w:vertAlign w:val="superscript"/>
          <w:lang w:val="it-IT"/>
        </w:rPr>
        <w:t>,</w:t>
      </w:r>
      <w:r w:rsidR="0049245D" w:rsidRPr="000217C7">
        <w:rPr>
          <w:color w:val="000000" w:themeColor="text1"/>
          <w:vertAlign w:val="superscript"/>
          <w:lang w:val="it-IT"/>
        </w:rPr>
        <w:t>c</w:t>
      </w:r>
      <w:proofErr w:type="spellEnd"/>
      <w:r w:rsidRPr="000217C7">
        <w:rPr>
          <w:color w:val="000000" w:themeColor="text1"/>
          <w:lang w:val="it-IT"/>
        </w:rPr>
        <w:t xml:space="preserve">, </w:t>
      </w:r>
      <w:r w:rsidR="00783ECF" w:rsidRPr="000217C7">
        <w:rPr>
          <w:color w:val="000000" w:themeColor="text1"/>
          <w:lang w:val="it-IT"/>
        </w:rPr>
        <w:t>Ionta, S.</w:t>
      </w:r>
      <w:r w:rsidR="00E769DF" w:rsidRPr="000217C7">
        <w:rPr>
          <w:color w:val="000000" w:themeColor="text1"/>
          <w:vertAlign w:val="superscript"/>
          <w:lang w:val="it-IT"/>
        </w:rPr>
        <w:t xml:space="preserve"> </w:t>
      </w:r>
      <w:r w:rsidR="0049245D" w:rsidRPr="000217C7">
        <w:rPr>
          <w:color w:val="000000" w:themeColor="text1"/>
          <w:vertAlign w:val="superscript"/>
          <w:lang w:val="it-IT"/>
        </w:rPr>
        <w:t>d</w:t>
      </w:r>
      <w:r w:rsidR="00783ECF" w:rsidRPr="000217C7">
        <w:rPr>
          <w:color w:val="000000" w:themeColor="text1"/>
          <w:lang w:val="it-IT"/>
        </w:rPr>
        <w:t xml:space="preserve">, </w:t>
      </w:r>
      <w:proofErr w:type="spellStart"/>
      <w:r w:rsidR="00783ECF" w:rsidRPr="000217C7">
        <w:rPr>
          <w:color w:val="000000" w:themeColor="text1"/>
          <w:lang w:val="it-IT"/>
        </w:rPr>
        <w:t>Rumiati</w:t>
      </w:r>
      <w:proofErr w:type="spellEnd"/>
      <w:r w:rsidR="00783ECF" w:rsidRPr="000217C7">
        <w:rPr>
          <w:color w:val="000000" w:themeColor="text1"/>
          <w:lang w:val="it-IT"/>
        </w:rPr>
        <w:t>, R. I.</w:t>
      </w:r>
      <w:r w:rsidR="00E769DF" w:rsidRPr="000217C7">
        <w:rPr>
          <w:color w:val="000000" w:themeColor="text1"/>
          <w:vertAlign w:val="superscript"/>
          <w:lang w:val="it-IT"/>
        </w:rPr>
        <w:t xml:space="preserve"> </w:t>
      </w:r>
      <w:r w:rsidR="0049245D" w:rsidRPr="000217C7">
        <w:rPr>
          <w:color w:val="000000" w:themeColor="text1"/>
          <w:vertAlign w:val="superscript"/>
          <w:lang w:val="it-IT"/>
        </w:rPr>
        <w:t>a</w:t>
      </w:r>
      <w:r w:rsidR="00783ECF" w:rsidRPr="000217C7">
        <w:rPr>
          <w:color w:val="000000" w:themeColor="text1"/>
          <w:lang w:val="it-IT"/>
        </w:rPr>
        <w:t xml:space="preserve">, </w:t>
      </w:r>
      <w:r w:rsidRPr="000217C7">
        <w:rPr>
          <w:color w:val="000000" w:themeColor="text1"/>
          <w:lang w:val="it-IT"/>
        </w:rPr>
        <w:t>Aiello</w:t>
      </w:r>
      <w:r w:rsidR="00AC0358" w:rsidRPr="000217C7">
        <w:rPr>
          <w:color w:val="000000" w:themeColor="text1"/>
          <w:lang w:val="it-IT"/>
        </w:rPr>
        <w:t xml:space="preserve">, </w:t>
      </w:r>
      <w:proofErr w:type="spellStart"/>
      <w:r w:rsidR="00AC0358" w:rsidRPr="000217C7">
        <w:rPr>
          <w:color w:val="000000" w:themeColor="text1"/>
          <w:lang w:val="it-IT"/>
        </w:rPr>
        <w:t>M</w:t>
      </w:r>
      <w:r w:rsidRPr="000217C7">
        <w:rPr>
          <w:color w:val="000000" w:themeColor="text1"/>
          <w:lang w:val="it-IT"/>
        </w:rPr>
        <w:t>.</w:t>
      </w:r>
      <w:bookmarkStart w:id="6" w:name="_Toc528590095"/>
      <w:r w:rsidR="0049245D" w:rsidRPr="000217C7">
        <w:rPr>
          <w:color w:val="000000" w:themeColor="text1"/>
          <w:vertAlign w:val="superscript"/>
          <w:lang w:val="it-IT"/>
        </w:rPr>
        <w:t>a</w:t>
      </w:r>
      <w:proofErr w:type="spellEnd"/>
    </w:p>
    <w:p w14:paraId="150AB381" w14:textId="77777777" w:rsidR="0049245D" w:rsidRPr="000217C7" w:rsidRDefault="0049245D" w:rsidP="0049245D">
      <w:pPr>
        <w:rPr>
          <w:color w:val="000000" w:themeColor="text1"/>
          <w:lang w:val="it-IT"/>
        </w:rPr>
      </w:pPr>
      <w:r w:rsidRPr="000217C7">
        <w:rPr>
          <w:color w:val="000000" w:themeColor="text1"/>
          <w:lang w:val="it-IT"/>
        </w:rPr>
        <w:t>a</w:t>
      </w:r>
      <w:r w:rsidR="00D212B9" w:rsidRPr="000217C7">
        <w:rPr>
          <w:color w:val="000000" w:themeColor="text1"/>
          <w:lang w:val="it-IT"/>
        </w:rPr>
        <w:t xml:space="preserve"> – Cognitive </w:t>
      </w:r>
      <w:proofErr w:type="spellStart"/>
      <w:r w:rsidR="00D212B9" w:rsidRPr="000217C7">
        <w:rPr>
          <w:color w:val="000000" w:themeColor="text1"/>
          <w:lang w:val="it-IT"/>
        </w:rPr>
        <w:t>neuroscience</w:t>
      </w:r>
      <w:proofErr w:type="spellEnd"/>
      <w:r w:rsidR="00D212B9" w:rsidRPr="000217C7">
        <w:rPr>
          <w:color w:val="000000" w:themeColor="text1"/>
          <w:lang w:val="it-IT"/>
        </w:rPr>
        <w:t xml:space="preserve"> </w:t>
      </w:r>
      <w:proofErr w:type="spellStart"/>
      <w:r w:rsidR="00D212B9" w:rsidRPr="000217C7">
        <w:rPr>
          <w:color w:val="000000" w:themeColor="text1"/>
          <w:lang w:val="it-IT"/>
        </w:rPr>
        <w:t>department</w:t>
      </w:r>
      <w:proofErr w:type="spellEnd"/>
      <w:r w:rsidR="00D212B9" w:rsidRPr="000217C7">
        <w:rPr>
          <w:color w:val="000000" w:themeColor="text1"/>
          <w:lang w:val="it-IT"/>
        </w:rPr>
        <w:t xml:space="preserve">, SISSA, </w:t>
      </w:r>
      <w:r w:rsidRPr="000217C7">
        <w:rPr>
          <w:color w:val="000000" w:themeColor="text1"/>
          <w:lang w:val="it-IT"/>
        </w:rPr>
        <w:t xml:space="preserve">via </w:t>
      </w:r>
      <w:proofErr w:type="spellStart"/>
      <w:r w:rsidRPr="000217C7">
        <w:rPr>
          <w:color w:val="000000" w:themeColor="text1"/>
          <w:lang w:val="it-IT"/>
        </w:rPr>
        <w:t>Bonomea</w:t>
      </w:r>
      <w:proofErr w:type="spellEnd"/>
      <w:r w:rsidRPr="000217C7">
        <w:rPr>
          <w:color w:val="000000" w:themeColor="text1"/>
          <w:lang w:val="it-IT"/>
        </w:rPr>
        <w:t xml:space="preserve"> 265, 34136 </w:t>
      </w:r>
      <w:r w:rsidR="00D212B9" w:rsidRPr="000217C7">
        <w:rPr>
          <w:color w:val="000000" w:themeColor="text1"/>
          <w:lang w:val="it-IT"/>
        </w:rPr>
        <w:t>Trieste</w:t>
      </w:r>
      <w:r w:rsidRPr="000217C7">
        <w:rPr>
          <w:color w:val="000000" w:themeColor="text1"/>
          <w:lang w:val="it-IT"/>
        </w:rPr>
        <w:t xml:space="preserve"> </w:t>
      </w:r>
      <w:r w:rsidRPr="000217C7">
        <w:rPr>
          <w:color w:val="000000" w:themeColor="text1"/>
          <w:sz w:val="23"/>
          <w:szCs w:val="23"/>
          <w:lang w:val="it-IT"/>
        </w:rPr>
        <w:t>(TS)</w:t>
      </w:r>
      <w:r w:rsidR="00D212B9" w:rsidRPr="000217C7">
        <w:rPr>
          <w:color w:val="000000" w:themeColor="text1"/>
          <w:lang w:val="it-IT"/>
        </w:rPr>
        <w:t xml:space="preserve">, </w:t>
      </w:r>
      <w:proofErr w:type="spellStart"/>
      <w:r w:rsidR="00D212B9" w:rsidRPr="000217C7">
        <w:rPr>
          <w:color w:val="000000" w:themeColor="text1"/>
          <w:lang w:val="it-IT"/>
        </w:rPr>
        <w:t>Italy</w:t>
      </w:r>
      <w:proofErr w:type="spellEnd"/>
    </w:p>
    <w:p w14:paraId="56952990" w14:textId="77777777" w:rsidR="0049245D" w:rsidRPr="000217C7" w:rsidRDefault="0049245D" w:rsidP="0049245D">
      <w:pPr>
        <w:rPr>
          <w:color w:val="000000" w:themeColor="text1"/>
        </w:rPr>
      </w:pPr>
      <w:r w:rsidRPr="000217C7">
        <w:rPr>
          <w:color w:val="000000" w:themeColor="text1"/>
        </w:rPr>
        <w:t>b</w:t>
      </w:r>
      <w:r w:rsidR="00D212B9" w:rsidRPr="000217C7">
        <w:rPr>
          <w:color w:val="000000" w:themeColor="text1"/>
        </w:rPr>
        <w:t xml:space="preserve"> – </w:t>
      </w:r>
      <w:r w:rsidRPr="000217C7">
        <w:rPr>
          <w:color w:val="000000" w:themeColor="text1"/>
          <w:sz w:val="23"/>
          <w:szCs w:val="23"/>
        </w:rPr>
        <w:t xml:space="preserve">Department of Psychology and Cognitive Sciences, University of Trento, </w:t>
      </w:r>
      <w:proofErr w:type="spellStart"/>
      <w:r w:rsidRPr="000217C7">
        <w:rPr>
          <w:rFonts w:eastAsia="Times New Roman" w:cs="Times New Roman"/>
          <w:color w:val="000000" w:themeColor="text1"/>
          <w:lang w:eastAsia="en-GB"/>
        </w:rPr>
        <w:t>corso</w:t>
      </w:r>
      <w:proofErr w:type="spellEnd"/>
      <w:r w:rsidRPr="000217C7">
        <w:rPr>
          <w:rFonts w:eastAsia="Times New Roman" w:cs="Times New Roman"/>
          <w:color w:val="000000" w:themeColor="text1"/>
          <w:lang w:eastAsia="en-GB"/>
        </w:rPr>
        <w:t xml:space="preserve"> Bettini 84, 38068</w:t>
      </w:r>
      <w:r w:rsidRPr="000217C7">
        <w:rPr>
          <w:color w:val="000000" w:themeColor="text1"/>
        </w:rPr>
        <w:t xml:space="preserve"> </w:t>
      </w:r>
      <w:proofErr w:type="spellStart"/>
      <w:r w:rsidRPr="000217C7">
        <w:rPr>
          <w:color w:val="000000" w:themeColor="text1"/>
          <w:sz w:val="23"/>
          <w:szCs w:val="23"/>
        </w:rPr>
        <w:t>Rovereto</w:t>
      </w:r>
      <w:proofErr w:type="spellEnd"/>
      <w:r w:rsidRPr="000217C7">
        <w:rPr>
          <w:color w:val="000000" w:themeColor="text1"/>
          <w:sz w:val="23"/>
          <w:szCs w:val="23"/>
        </w:rPr>
        <w:t xml:space="preserve"> (TN), Italy</w:t>
      </w:r>
      <w:r w:rsidRPr="000217C7" w:rsidDel="0049245D">
        <w:rPr>
          <w:color w:val="000000" w:themeColor="text1"/>
        </w:rPr>
        <w:t xml:space="preserve"> </w:t>
      </w:r>
    </w:p>
    <w:p w14:paraId="33686104" w14:textId="77777777" w:rsidR="0049245D" w:rsidRPr="000217C7" w:rsidRDefault="0049245D" w:rsidP="0049245D">
      <w:pPr>
        <w:rPr>
          <w:color w:val="000000" w:themeColor="text1"/>
          <w:lang w:val="it-IT"/>
        </w:rPr>
      </w:pPr>
      <w:r w:rsidRPr="000217C7">
        <w:rPr>
          <w:color w:val="000000" w:themeColor="text1"/>
          <w:lang w:val="it-IT"/>
        </w:rPr>
        <w:t>c</w:t>
      </w:r>
      <w:r w:rsidR="00D212B9" w:rsidRPr="000217C7">
        <w:rPr>
          <w:color w:val="000000" w:themeColor="text1"/>
          <w:lang w:val="it-IT"/>
        </w:rPr>
        <w:t xml:space="preserve"> – </w:t>
      </w:r>
      <w:r w:rsidRPr="000217C7">
        <w:rPr>
          <w:color w:val="000000" w:themeColor="text1"/>
          <w:sz w:val="23"/>
          <w:szCs w:val="23"/>
          <w:lang w:val="it-IT"/>
        </w:rPr>
        <w:t xml:space="preserve">Fondazione ONLUS Marica De Vincenzi, </w:t>
      </w:r>
      <w:r w:rsidRPr="000217C7">
        <w:rPr>
          <w:rFonts w:eastAsia="Times New Roman" w:cs="Times New Roman"/>
          <w:color w:val="000000" w:themeColor="text1"/>
          <w:lang w:val="it-IT" w:eastAsia="en-GB"/>
        </w:rPr>
        <w:t xml:space="preserve">via Alessandro Manzoni, 11, 38122 </w:t>
      </w:r>
      <w:r w:rsidRPr="000217C7">
        <w:rPr>
          <w:color w:val="000000" w:themeColor="text1"/>
          <w:sz w:val="23"/>
          <w:szCs w:val="23"/>
          <w:lang w:val="it-IT"/>
        </w:rPr>
        <w:t>Rovereto (</w:t>
      </w:r>
      <w:r w:rsidRPr="000217C7">
        <w:rPr>
          <w:rFonts w:eastAsia="Times New Roman" w:cs="Times New Roman"/>
          <w:color w:val="000000" w:themeColor="text1"/>
          <w:lang w:val="it-IT" w:eastAsia="en-GB"/>
        </w:rPr>
        <w:t>TN)</w:t>
      </w:r>
      <w:r w:rsidRPr="000217C7">
        <w:rPr>
          <w:color w:val="000000" w:themeColor="text1"/>
          <w:sz w:val="23"/>
          <w:szCs w:val="23"/>
          <w:lang w:val="it-IT"/>
        </w:rPr>
        <w:t xml:space="preserve">, </w:t>
      </w:r>
      <w:proofErr w:type="spellStart"/>
      <w:r w:rsidRPr="000217C7">
        <w:rPr>
          <w:color w:val="000000" w:themeColor="text1"/>
          <w:sz w:val="23"/>
          <w:szCs w:val="23"/>
          <w:lang w:val="it-IT"/>
        </w:rPr>
        <w:t>Italy</w:t>
      </w:r>
      <w:proofErr w:type="spellEnd"/>
    </w:p>
    <w:p w14:paraId="465E98EA" w14:textId="073BC578" w:rsidR="0049245D" w:rsidRPr="000217C7" w:rsidRDefault="0049245D" w:rsidP="0049245D">
      <w:pPr>
        <w:rPr>
          <w:color w:val="000000" w:themeColor="text1"/>
        </w:rPr>
      </w:pPr>
      <w:r w:rsidRPr="000217C7">
        <w:rPr>
          <w:color w:val="000000" w:themeColor="text1"/>
          <w:sz w:val="23"/>
          <w:szCs w:val="23"/>
        </w:rPr>
        <w:t>d</w:t>
      </w:r>
      <w:r w:rsidR="00D212B9" w:rsidRPr="000217C7">
        <w:rPr>
          <w:color w:val="000000" w:themeColor="text1"/>
        </w:rPr>
        <w:t xml:space="preserve"> – </w:t>
      </w:r>
      <w:r w:rsidRPr="000217C7">
        <w:rPr>
          <w:color w:val="000000" w:themeColor="text1"/>
        </w:rPr>
        <w:t>Sensory-Motor Lab (</w:t>
      </w:r>
      <w:proofErr w:type="spellStart"/>
      <w:r w:rsidRPr="000217C7">
        <w:rPr>
          <w:color w:val="000000" w:themeColor="text1"/>
        </w:rPr>
        <w:t>SeMoLa</w:t>
      </w:r>
      <w:proofErr w:type="spellEnd"/>
      <w:r w:rsidRPr="000217C7">
        <w:rPr>
          <w:color w:val="000000" w:themeColor="text1"/>
        </w:rPr>
        <w:t>), Department of Ophthalmology</w:t>
      </w:r>
      <w:r w:rsidR="00FC189C" w:rsidRPr="000217C7">
        <w:rPr>
          <w:color w:val="000000" w:themeColor="text1"/>
        </w:rPr>
        <w:t>-</w:t>
      </w:r>
      <w:r w:rsidRPr="000217C7">
        <w:rPr>
          <w:color w:val="000000" w:themeColor="text1"/>
        </w:rPr>
        <w:t>University of Lausanne, Jules Gonin Eye Hospital</w:t>
      </w:r>
      <w:r w:rsidR="00FC189C" w:rsidRPr="000217C7">
        <w:rPr>
          <w:color w:val="000000" w:themeColor="text1"/>
        </w:rPr>
        <w:t>-</w:t>
      </w:r>
      <w:proofErr w:type="spellStart"/>
      <w:r w:rsidRPr="000217C7">
        <w:rPr>
          <w:color w:val="000000" w:themeColor="text1"/>
        </w:rPr>
        <w:t>Fondation</w:t>
      </w:r>
      <w:proofErr w:type="spellEnd"/>
      <w:r w:rsidRPr="000217C7">
        <w:rPr>
          <w:color w:val="000000" w:themeColor="text1"/>
        </w:rPr>
        <w:t xml:space="preserve"> </w:t>
      </w:r>
      <w:proofErr w:type="spellStart"/>
      <w:r w:rsidRPr="000217C7">
        <w:rPr>
          <w:color w:val="000000" w:themeColor="text1"/>
        </w:rPr>
        <w:t>Asile</w:t>
      </w:r>
      <w:proofErr w:type="spellEnd"/>
      <w:r w:rsidRPr="000217C7">
        <w:rPr>
          <w:color w:val="000000" w:themeColor="text1"/>
        </w:rPr>
        <w:t xml:space="preserve"> des </w:t>
      </w:r>
      <w:proofErr w:type="spellStart"/>
      <w:r w:rsidRPr="000217C7">
        <w:rPr>
          <w:color w:val="000000" w:themeColor="text1"/>
        </w:rPr>
        <w:t>Aveugles</w:t>
      </w:r>
      <w:proofErr w:type="spellEnd"/>
      <w:r w:rsidRPr="000217C7">
        <w:rPr>
          <w:color w:val="000000" w:themeColor="text1"/>
        </w:rPr>
        <w:t xml:space="preserve">, </w:t>
      </w:r>
      <w:r w:rsidR="00FC189C" w:rsidRPr="000217C7">
        <w:rPr>
          <w:rFonts w:eastAsia="Times New Roman" w:cs="Times New Roman"/>
          <w:color w:val="000000" w:themeColor="text1"/>
          <w:lang w:eastAsia="en-GB"/>
        </w:rPr>
        <w:t xml:space="preserve">Av. </w:t>
      </w:r>
      <w:r w:rsidRPr="000217C7">
        <w:rPr>
          <w:rFonts w:eastAsia="Times New Roman" w:cs="Times New Roman"/>
          <w:color w:val="000000" w:themeColor="text1"/>
          <w:lang w:eastAsia="en-GB"/>
        </w:rPr>
        <w:t>de France 15, 1002</w:t>
      </w:r>
      <w:r w:rsidRPr="000217C7">
        <w:rPr>
          <w:color w:val="000000" w:themeColor="text1"/>
        </w:rPr>
        <w:t xml:space="preserve"> Lausanne, Switzerland.</w:t>
      </w:r>
    </w:p>
    <w:p w14:paraId="361D2745" w14:textId="1B133236" w:rsidR="004A338C" w:rsidRPr="000217C7" w:rsidRDefault="00BB6F95" w:rsidP="004A338C">
      <w:pPr>
        <w:rPr>
          <w:color w:val="000000" w:themeColor="text1"/>
        </w:rPr>
      </w:pPr>
      <w:r w:rsidRPr="000217C7">
        <w:rPr>
          <w:color w:val="000000" w:themeColor="text1"/>
          <w:sz w:val="23"/>
          <w:szCs w:val="23"/>
        </w:rPr>
        <w:t>*</w:t>
      </w:r>
      <w:r w:rsidR="004A338C" w:rsidRPr="000217C7">
        <w:rPr>
          <w:color w:val="000000" w:themeColor="text1"/>
          <w:sz w:val="23"/>
          <w:szCs w:val="23"/>
        </w:rPr>
        <w:t xml:space="preserve"> – Corresponding Author. Present Address: </w:t>
      </w:r>
      <w:proofErr w:type="spellStart"/>
      <w:r w:rsidR="004A338C" w:rsidRPr="000217C7">
        <w:rPr>
          <w:color w:val="000000" w:themeColor="text1"/>
        </w:rPr>
        <w:t>Fondation</w:t>
      </w:r>
      <w:proofErr w:type="spellEnd"/>
      <w:r w:rsidR="004A338C" w:rsidRPr="000217C7">
        <w:rPr>
          <w:color w:val="000000" w:themeColor="text1"/>
        </w:rPr>
        <w:t xml:space="preserve"> </w:t>
      </w:r>
      <w:proofErr w:type="spellStart"/>
      <w:r w:rsidR="004A338C" w:rsidRPr="000217C7">
        <w:rPr>
          <w:color w:val="000000" w:themeColor="text1"/>
        </w:rPr>
        <w:t>Asile</w:t>
      </w:r>
      <w:proofErr w:type="spellEnd"/>
      <w:r w:rsidR="004A338C" w:rsidRPr="000217C7">
        <w:rPr>
          <w:color w:val="000000" w:themeColor="text1"/>
        </w:rPr>
        <w:t xml:space="preserve"> des </w:t>
      </w:r>
      <w:proofErr w:type="spellStart"/>
      <w:r w:rsidR="004A338C" w:rsidRPr="000217C7">
        <w:rPr>
          <w:color w:val="000000" w:themeColor="text1"/>
        </w:rPr>
        <w:t>Aveugles</w:t>
      </w:r>
      <w:proofErr w:type="spellEnd"/>
      <w:r w:rsidR="004A338C" w:rsidRPr="000217C7">
        <w:rPr>
          <w:color w:val="000000" w:themeColor="text1"/>
        </w:rPr>
        <w:t xml:space="preserve">, </w:t>
      </w:r>
      <w:r w:rsidR="00FC189C" w:rsidRPr="000217C7">
        <w:rPr>
          <w:rFonts w:eastAsia="Times New Roman" w:cs="Times New Roman"/>
          <w:color w:val="000000" w:themeColor="text1"/>
          <w:lang w:eastAsia="en-GB"/>
        </w:rPr>
        <w:t>A</w:t>
      </w:r>
      <w:r w:rsidR="004A338C" w:rsidRPr="000217C7">
        <w:rPr>
          <w:rFonts w:eastAsia="Times New Roman" w:cs="Times New Roman"/>
          <w:color w:val="000000" w:themeColor="text1"/>
          <w:lang w:eastAsia="en-GB"/>
        </w:rPr>
        <w:t>v</w:t>
      </w:r>
      <w:r w:rsidR="00FC189C" w:rsidRPr="000217C7">
        <w:rPr>
          <w:rFonts w:eastAsia="Times New Roman" w:cs="Times New Roman"/>
          <w:color w:val="000000" w:themeColor="text1"/>
          <w:lang w:eastAsia="en-GB"/>
        </w:rPr>
        <w:t>.</w:t>
      </w:r>
      <w:r w:rsidR="004A338C" w:rsidRPr="000217C7">
        <w:rPr>
          <w:rFonts w:eastAsia="Times New Roman" w:cs="Times New Roman"/>
          <w:color w:val="000000" w:themeColor="text1"/>
          <w:lang w:eastAsia="en-GB"/>
        </w:rPr>
        <w:t xml:space="preserve"> de France 15, 1002</w:t>
      </w:r>
      <w:r w:rsidR="004A338C" w:rsidRPr="000217C7">
        <w:rPr>
          <w:color w:val="000000" w:themeColor="text1"/>
        </w:rPr>
        <w:t xml:space="preserve"> Lausanne, Switzerland. E-mail address: sofia.osimo@gmail.com</w:t>
      </w:r>
    </w:p>
    <w:p w14:paraId="177848E0" w14:textId="77777777" w:rsidR="00E775B7" w:rsidRPr="000217C7" w:rsidRDefault="00E775B7" w:rsidP="00E775B7">
      <w:pPr>
        <w:rPr>
          <w:color w:val="000000" w:themeColor="text1"/>
          <w:sz w:val="23"/>
          <w:szCs w:val="23"/>
        </w:rPr>
      </w:pPr>
    </w:p>
    <w:p w14:paraId="7C9085CC" w14:textId="77777777" w:rsidR="00F8136A" w:rsidRPr="000217C7" w:rsidRDefault="00F8136A" w:rsidP="0047026B">
      <w:pPr>
        <w:spacing w:line="240" w:lineRule="auto"/>
        <w:ind w:firstLine="0"/>
        <w:jc w:val="left"/>
        <w:rPr>
          <w:b/>
          <w:color w:val="000000" w:themeColor="text1"/>
          <w:sz w:val="32"/>
        </w:rPr>
      </w:pPr>
      <w:r w:rsidRPr="000217C7">
        <w:rPr>
          <w:color w:val="000000" w:themeColor="text1"/>
        </w:rPr>
        <w:br w:type="page"/>
      </w:r>
    </w:p>
    <w:p w14:paraId="4F69EDCD" w14:textId="77777777" w:rsidR="006F0A2E" w:rsidRPr="000217C7" w:rsidRDefault="006F0A2E" w:rsidP="003705CB">
      <w:pPr>
        <w:pStyle w:val="Heading1"/>
        <w:rPr>
          <w:lang w:val="en-GB"/>
        </w:rPr>
      </w:pPr>
      <w:r w:rsidRPr="000217C7">
        <w:lastRenderedPageBreak/>
        <w:t>Abstract</w:t>
      </w:r>
      <w:bookmarkEnd w:id="6"/>
    </w:p>
    <w:p w14:paraId="72466103" w14:textId="66E3F870" w:rsidR="003A2533" w:rsidRPr="000217C7" w:rsidRDefault="008510CF" w:rsidP="003A2533">
      <w:pPr>
        <w:rPr>
          <w:color w:val="000000" w:themeColor="text1"/>
        </w:rPr>
      </w:pPr>
      <w:r w:rsidRPr="000217C7">
        <w:rPr>
          <w:color w:val="000000" w:themeColor="text1"/>
          <w:lang w:val="en-GB"/>
        </w:rPr>
        <w:t xml:space="preserve">Previous studies have shown that </w:t>
      </w:r>
      <w:r w:rsidR="00084333" w:rsidRPr="000217C7">
        <w:rPr>
          <w:color w:val="000000" w:themeColor="text1"/>
          <w:lang w:val="en-GB"/>
        </w:rPr>
        <w:t xml:space="preserve">individuals with </w:t>
      </w:r>
      <w:r w:rsidR="001600E3" w:rsidRPr="000217C7">
        <w:rPr>
          <w:color w:val="000000" w:themeColor="text1"/>
          <w:lang w:val="en-GB"/>
        </w:rPr>
        <w:t>overweight and</w:t>
      </w:r>
      <w:r w:rsidR="00626117" w:rsidRPr="000217C7">
        <w:rPr>
          <w:color w:val="000000" w:themeColor="text1"/>
          <w:lang w:val="en-GB"/>
        </w:rPr>
        <w:t xml:space="preserve"> </w:t>
      </w:r>
      <w:r w:rsidR="001600E3" w:rsidRPr="000217C7">
        <w:rPr>
          <w:color w:val="000000" w:themeColor="text1"/>
          <w:lang w:val="en-GB"/>
        </w:rPr>
        <w:t>obes</w:t>
      </w:r>
      <w:r w:rsidR="00084333" w:rsidRPr="000217C7">
        <w:rPr>
          <w:color w:val="000000" w:themeColor="text1"/>
          <w:lang w:val="en-GB"/>
        </w:rPr>
        <w:t>ity</w:t>
      </w:r>
      <w:r w:rsidR="001600E3" w:rsidRPr="000217C7">
        <w:rPr>
          <w:color w:val="000000" w:themeColor="text1"/>
          <w:lang w:val="en-GB"/>
        </w:rPr>
        <w:t xml:space="preserve"> may experience attentional biases </w:t>
      </w:r>
      <w:r w:rsidR="007A7F5C" w:rsidRPr="000217C7">
        <w:rPr>
          <w:color w:val="000000" w:themeColor="text1"/>
          <w:lang w:val="en-GB"/>
        </w:rPr>
        <w:t xml:space="preserve">and reduced inhibition </w:t>
      </w:r>
      <w:r w:rsidR="001600E3" w:rsidRPr="000217C7">
        <w:rPr>
          <w:color w:val="000000" w:themeColor="text1"/>
          <w:lang w:val="en-GB"/>
        </w:rPr>
        <w:t xml:space="preserve">toward food stimuli. However, </w:t>
      </w:r>
      <w:r w:rsidR="007A7F5C" w:rsidRPr="000217C7">
        <w:rPr>
          <w:color w:val="000000" w:themeColor="text1"/>
          <w:lang w:val="en-GB"/>
        </w:rPr>
        <w:t xml:space="preserve">evidence </w:t>
      </w:r>
      <w:r w:rsidR="00A2274A" w:rsidRPr="000217C7">
        <w:rPr>
          <w:color w:val="000000" w:themeColor="text1"/>
          <w:lang w:val="en-GB"/>
        </w:rPr>
        <w:t xml:space="preserve">as to </w:t>
      </w:r>
      <w:r w:rsidR="007A7F5C" w:rsidRPr="000217C7">
        <w:rPr>
          <w:color w:val="000000" w:themeColor="text1"/>
        </w:rPr>
        <w:t>whether th</w:t>
      </w:r>
      <w:r w:rsidR="00285579" w:rsidRPr="000217C7">
        <w:rPr>
          <w:color w:val="000000" w:themeColor="text1"/>
        </w:rPr>
        <w:t>e attentional</w:t>
      </w:r>
      <w:r w:rsidR="007A7F5C" w:rsidRPr="000217C7">
        <w:rPr>
          <w:color w:val="000000" w:themeColor="text1"/>
        </w:rPr>
        <w:t xml:space="preserve"> bias </w:t>
      </w:r>
      <w:r w:rsidR="00285579" w:rsidRPr="000217C7">
        <w:rPr>
          <w:color w:val="000000" w:themeColor="text1"/>
        </w:rPr>
        <w:t>is</w:t>
      </w:r>
      <w:r w:rsidR="007A7F5C" w:rsidRPr="000217C7">
        <w:rPr>
          <w:color w:val="000000" w:themeColor="text1"/>
        </w:rPr>
        <w:t xml:space="preserve"> present even before stimuli are consciously recognized is scarce. Moreover, it is not known whether differences in </w:t>
      </w:r>
      <w:r w:rsidR="00A2274A" w:rsidRPr="000217C7">
        <w:rPr>
          <w:color w:val="000000" w:themeColor="text1"/>
        </w:rPr>
        <w:t xml:space="preserve">the </w:t>
      </w:r>
      <w:r w:rsidR="007A7F5C" w:rsidRPr="000217C7">
        <w:rPr>
          <w:color w:val="000000" w:themeColor="text1"/>
        </w:rPr>
        <w:t xml:space="preserve">underlying brain morphometry </w:t>
      </w:r>
      <w:r w:rsidR="00661B8D" w:rsidRPr="000217C7">
        <w:rPr>
          <w:color w:val="000000" w:themeColor="text1"/>
        </w:rPr>
        <w:t xml:space="preserve">and connectivity may </w:t>
      </w:r>
      <w:r w:rsidR="002874B5" w:rsidRPr="000217C7">
        <w:rPr>
          <w:color w:val="000000" w:themeColor="text1"/>
        </w:rPr>
        <w:t>co-occur</w:t>
      </w:r>
      <w:r w:rsidR="007A7F5C" w:rsidRPr="000217C7">
        <w:rPr>
          <w:color w:val="000000" w:themeColor="text1"/>
        </w:rPr>
        <w:t xml:space="preserve"> </w:t>
      </w:r>
      <w:r w:rsidR="002874B5" w:rsidRPr="000217C7">
        <w:rPr>
          <w:color w:val="000000" w:themeColor="text1"/>
        </w:rPr>
        <w:t>with</w:t>
      </w:r>
      <w:r w:rsidR="007A7F5C" w:rsidRPr="000217C7">
        <w:rPr>
          <w:color w:val="000000" w:themeColor="text1"/>
        </w:rPr>
        <w:t xml:space="preserve"> attention</w:t>
      </w:r>
      <w:r w:rsidR="00A2274A" w:rsidRPr="000217C7">
        <w:rPr>
          <w:color w:val="000000" w:themeColor="text1"/>
        </w:rPr>
        <w:t>al</w:t>
      </w:r>
      <w:r w:rsidR="007A7F5C" w:rsidRPr="000217C7">
        <w:rPr>
          <w:color w:val="000000" w:themeColor="text1"/>
        </w:rPr>
        <w:t xml:space="preserve"> bias </w:t>
      </w:r>
      <w:r w:rsidR="00285579" w:rsidRPr="000217C7">
        <w:rPr>
          <w:color w:val="000000" w:themeColor="text1"/>
        </w:rPr>
        <w:t xml:space="preserve">and impulsivity </w:t>
      </w:r>
      <w:r w:rsidR="007A7F5C" w:rsidRPr="000217C7">
        <w:rPr>
          <w:color w:val="000000" w:themeColor="text1"/>
        </w:rPr>
        <w:t>to</w:t>
      </w:r>
      <w:r w:rsidR="00A2274A" w:rsidRPr="000217C7">
        <w:rPr>
          <w:color w:val="000000" w:themeColor="text1"/>
        </w:rPr>
        <w:t>wards</w:t>
      </w:r>
      <w:r w:rsidR="007A7F5C" w:rsidRPr="000217C7">
        <w:rPr>
          <w:color w:val="000000" w:themeColor="text1"/>
        </w:rPr>
        <w:t xml:space="preserve"> food in individuals with different BMIs.</w:t>
      </w:r>
      <w:r w:rsidR="00661B8D" w:rsidRPr="000217C7">
        <w:rPr>
          <w:color w:val="000000" w:themeColor="text1"/>
        </w:rPr>
        <w:t xml:space="preserve"> </w:t>
      </w:r>
      <w:r w:rsidR="00626117" w:rsidRPr="000217C7">
        <w:rPr>
          <w:color w:val="000000" w:themeColor="text1"/>
        </w:rPr>
        <w:t xml:space="preserve">To address these questions, we asked </w:t>
      </w:r>
      <w:r w:rsidR="00626117" w:rsidRPr="000217C7">
        <w:rPr>
          <w:color w:val="000000" w:themeColor="text1"/>
          <w:lang w:val="en-GB"/>
        </w:rPr>
        <w:t>f</w:t>
      </w:r>
      <w:r w:rsidR="00FD4E70" w:rsidRPr="000217C7">
        <w:rPr>
          <w:color w:val="000000" w:themeColor="text1"/>
          <w:lang w:val="en-GB"/>
        </w:rPr>
        <w:t>ifty-three participants</w:t>
      </w:r>
      <w:r w:rsidR="006E4AD2" w:rsidRPr="000217C7">
        <w:rPr>
          <w:color w:val="000000" w:themeColor="text1"/>
          <w:lang w:val="en-GB"/>
        </w:rPr>
        <w:t xml:space="preserve"> </w:t>
      </w:r>
      <w:r w:rsidR="00F34ED5" w:rsidRPr="000217C7">
        <w:rPr>
          <w:color w:val="000000" w:themeColor="text1"/>
          <w:lang w:val="en-GB"/>
        </w:rPr>
        <w:t>(</w:t>
      </w:r>
      <w:r w:rsidR="00F34ED5" w:rsidRPr="000217C7">
        <w:rPr>
          <w:color w:val="000000" w:themeColor="text1"/>
        </w:rPr>
        <w:t xml:space="preserve">13 males, age </w:t>
      </w:r>
      <w:r w:rsidR="00F34ED5" w:rsidRPr="000217C7">
        <w:rPr>
          <w:i/>
          <w:color w:val="000000" w:themeColor="text1"/>
        </w:rPr>
        <w:t xml:space="preserve">M </w:t>
      </w:r>
      <w:r w:rsidR="00F34ED5" w:rsidRPr="000217C7">
        <w:rPr>
          <w:color w:val="000000" w:themeColor="text1"/>
        </w:rPr>
        <w:t xml:space="preserve">= 23.2, </w:t>
      </w:r>
      <w:r w:rsidR="00F34ED5" w:rsidRPr="000217C7">
        <w:rPr>
          <w:i/>
          <w:color w:val="000000" w:themeColor="text1"/>
        </w:rPr>
        <w:t>SD</w:t>
      </w:r>
      <w:r w:rsidR="00F34ED5" w:rsidRPr="000217C7">
        <w:rPr>
          <w:color w:val="000000" w:themeColor="text1"/>
        </w:rPr>
        <w:t xml:space="preserve"> = 2.9</w:t>
      </w:r>
      <w:r w:rsidR="00F34ED5" w:rsidRPr="000217C7">
        <w:rPr>
          <w:color w:val="000000" w:themeColor="text1"/>
          <w:lang w:val="en-GB"/>
        </w:rPr>
        <w:t xml:space="preserve">) </w:t>
      </w:r>
      <w:r w:rsidR="00626117" w:rsidRPr="000217C7">
        <w:rPr>
          <w:color w:val="000000" w:themeColor="text1"/>
          <w:lang w:val="en-GB"/>
        </w:rPr>
        <w:t xml:space="preserve">to </w:t>
      </w:r>
      <w:r w:rsidR="00A2274A" w:rsidRPr="000217C7">
        <w:rPr>
          <w:color w:val="000000" w:themeColor="text1"/>
          <w:lang w:val="en-GB"/>
        </w:rPr>
        <w:t xml:space="preserve">perform </w:t>
      </w:r>
      <w:r w:rsidR="006E4AD2" w:rsidRPr="000217C7">
        <w:rPr>
          <w:color w:val="000000" w:themeColor="text1"/>
          <w:lang w:val="en-GB"/>
        </w:rPr>
        <w:t>a breaking Continuous Flash Suppression</w:t>
      </w:r>
      <w:r w:rsidR="00D85ADC" w:rsidRPr="000217C7">
        <w:rPr>
          <w:color w:val="000000" w:themeColor="text1"/>
          <w:lang w:val="en-GB"/>
        </w:rPr>
        <w:t xml:space="preserve"> (bCFS)</w:t>
      </w:r>
      <w:r w:rsidR="006E4AD2" w:rsidRPr="000217C7">
        <w:rPr>
          <w:color w:val="000000" w:themeColor="text1"/>
          <w:lang w:val="en-GB"/>
        </w:rPr>
        <w:t xml:space="preserve"> task </w:t>
      </w:r>
      <w:r w:rsidR="00244C08" w:rsidRPr="000217C7">
        <w:rPr>
          <w:color w:val="000000" w:themeColor="text1"/>
          <w:lang w:val="en-GB"/>
        </w:rPr>
        <w:t xml:space="preserve">to measure </w:t>
      </w:r>
      <w:r w:rsidR="00295585" w:rsidRPr="000217C7">
        <w:rPr>
          <w:color w:val="000000" w:themeColor="text1"/>
          <w:lang w:val="en-GB"/>
        </w:rPr>
        <w:t xml:space="preserve">the </w:t>
      </w:r>
      <w:r w:rsidR="00244C08" w:rsidRPr="000217C7">
        <w:rPr>
          <w:color w:val="000000" w:themeColor="text1"/>
          <w:lang w:val="en-GB"/>
        </w:rPr>
        <w:t xml:space="preserve">speed of subliminal processing, </w:t>
      </w:r>
      <w:r w:rsidR="006E4AD2" w:rsidRPr="000217C7">
        <w:rPr>
          <w:color w:val="000000" w:themeColor="text1"/>
          <w:lang w:val="en-GB"/>
        </w:rPr>
        <w:t>and a Go/No-Go task</w:t>
      </w:r>
      <w:r w:rsidR="00244C08" w:rsidRPr="000217C7">
        <w:rPr>
          <w:color w:val="000000" w:themeColor="text1"/>
          <w:lang w:val="en-GB"/>
        </w:rPr>
        <w:t xml:space="preserve"> to measure inhibition,</w:t>
      </w:r>
      <w:r w:rsidR="006E4AD2" w:rsidRPr="000217C7">
        <w:rPr>
          <w:color w:val="000000" w:themeColor="text1"/>
          <w:lang w:val="en-GB"/>
        </w:rPr>
        <w:t xml:space="preserve"> </w:t>
      </w:r>
      <w:r w:rsidR="002874B5" w:rsidRPr="000217C7">
        <w:rPr>
          <w:color w:val="000000" w:themeColor="text1"/>
          <w:lang w:val="en-GB"/>
        </w:rPr>
        <w:t>using</w:t>
      </w:r>
      <w:r w:rsidR="006E4AD2" w:rsidRPr="000217C7">
        <w:rPr>
          <w:color w:val="000000" w:themeColor="text1"/>
          <w:lang w:val="en-GB"/>
        </w:rPr>
        <w:t xml:space="preserve"> food and </w:t>
      </w:r>
      <w:proofErr w:type="spellStart"/>
      <w:r w:rsidR="006E4AD2" w:rsidRPr="000217C7">
        <w:rPr>
          <w:color w:val="000000" w:themeColor="text1"/>
          <w:lang w:val="en-GB"/>
        </w:rPr>
        <w:t>nonfood</w:t>
      </w:r>
      <w:proofErr w:type="spellEnd"/>
      <w:r w:rsidR="006E4AD2" w:rsidRPr="000217C7">
        <w:rPr>
          <w:color w:val="000000" w:themeColor="text1"/>
          <w:lang w:val="en-GB"/>
        </w:rPr>
        <w:t xml:space="preserve"> stimuli. We collected whole-brain structural magnetic resonance images </w:t>
      </w:r>
      <w:r w:rsidR="00783ECF" w:rsidRPr="000217C7">
        <w:rPr>
          <w:color w:val="000000" w:themeColor="text1"/>
          <w:lang w:val="en-GB"/>
        </w:rPr>
        <w:t xml:space="preserve">and </w:t>
      </w:r>
      <w:r w:rsidR="002F7C74" w:rsidRPr="000217C7">
        <w:rPr>
          <w:color w:val="000000" w:themeColor="text1"/>
          <w:lang w:val="en-GB"/>
        </w:rPr>
        <w:t xml:space="preserve">functional </w:t>
      </w:r>
      <w:r w:rsidR="00295585" w:rsidRPr="000217C7">
        <w:rPr>
          <w:color w:val="000000" w:themeColor="text1"/>
          <w:lang w:val="en-GB"/>
        </w:rPr>
        <w:t>resting-</w:t>
      </w:r>
      <w:r w:rsidR="00783ECF" w:rsidRPr="000217C7">
        <w:rPr>
          <w:color w:val="000000" w:themeColor="text1"/>
          <w:lang w:val="en-GB"/>
        </w:rPr>
        <w:t>state activity</w:t>
      </w:r>
      <w:r w:rsidR="00D85ADC" w:rsidRPr="000217C7">
        <w:rPr>
          <w:color w:val="000000" w:themeColor="text1"/>
          <w:lang w:val="en-GB"/>
        </w:rPr>
        <w:t xml:space="preserve">. </w:t>
      </w:r>
      <w:r w:rsidR="002874B5" w:rsidRPr="000217C7">
        <w:rPr>
          <w:color w:val="000000" w:themeColor="text1"/>
        </w:rPr>
        <w:t>A higher BMI predicted</w:t>
      </w:r>
      <w:r w:rsidR="00F27382" w:rsidRPr="000217C7">
        <w:rPr>
          <w:color w:val="000000" w:themeColor="text1"/>
        </w:rPr>
        <w:t xml:space="preserve"> slower subliminal processing of images </w:t>
      </w:r>
      <w:r w:rsidR="007A7F5C" w:rsidRPr="000217C7">
        <w:rPr>
          <w:color w:val="000000" w:themeColor="text1"/>
        </w:rPr>
        <w:t>independently of the type of the stimulus (food or nonfood)</w:t>
      </w:r>
      <w:r w:rsidR="002874B5" w:rsidRPr="000217C7">
        <w:rPr>
          <w:color w:val="000000" w:themeColor="text1"/>
        </w:rPr>
        <w:t>.</w:t>
      </w:r>
      <w:r w:rsidR="007A7F5C" w:rsidRPr="000217C7">
        <w:rPr>
          <w:color w:val="000000" w:themeColor="text1"/>
        </w:rPr>
        <w:t xml:space="preserve"> </w:t>
      </w:r>
      <w:r w:rsidR="002874B5" w:rsidRPr="000217C7">
        <w:rPr>
          <w:color w:val="000000" w:themeColor="text1"/>
        </w:rPr>
        <w:t>T</w:t>
      </w:r>
      <w:r w:rsidR="00213D25" w:rsidRPr="000217C7">
        <w:rPr>
          <w:color w:val="000000" w:themeColor="text1"/>
        </w:rPr>
        <w:t xml:space="preserve">his higher threshold of awareness </w:t>
      </w:r>
      <w:r w:rsidR="009C5A2F" w:rsidRPr="000217C7">
        <w:rPr>
          <w:color w:val="000000" w:themeColor="text1"/>
        </w:rPr>
        <w:t>is</w:t>
      </w:r>
      <w:r w:rsidR="00213D25" w:rsidRPr="000217C7">
        <w:rPr>
          <w:color w:val="000000" w:themeColor="text1"/>
        </w:rPr>
        <w:t xml:space="preserve"> linked to </w:t>
      </w:r>
      <w:r w:rsidR="004726A8" w:rsidRPr="000217C7">
        <w:rPr>
          <w:color w:val="000000" w:themeColor="text1"/>
        </w:rPr>
        <w:t xml:space="preserve">lower </w:t>
      </w:r>
      <w:r w:rsidR="00213D25" w:rsidRPr="000217C7">
        <w:rPr>
          <w:color w:val="000000" w:themeColor="text1"/>
        </w:rPr>
        <w:t>gr</w:t>
      </w:r>
      <w:r w:rsidR="00EA55D8" w:rsidRPr="000217C7">
        <w:rPr>
          <w:color w:val="000000" w:themeColor="text1"/>
        </w:rPr>
        <w:t>e</w:t>
      </w:r>
      <w:r w:rsidR="00213D25" w:rsidRPr="000217C7">
        <w:rPr>
          <w:color w:val="000000" w:themeColor="text1"/>
        </w:rPr>
        <w:t>y matter</w:t>
      </w:r>
      <w:r w:rsidR="003D133F" w:rsidRPr="000217C7">
        <w:rPr>
          <w:color w:val="000000" w:themeColor="text1"/>
        </w:rPr>
        <w:t xml:space="preserve"> (GM)</w:t>
      </w:r>
      <w:r w:rsidR="00213D25" w:rsidRPr="000217C7">
        <w:rPr>
          <w:color w:val="000000" w:themeColor="text1"/>
        </w:rPr>
        <w:t xml:space="preserve"> density</w:t>
      </w:r>
      <w:r w:rsidR="009344BA" w:rsidRPr="000217C7">
        <w:rPr>
          <w:color w:val="000000" w:themeColor="text1"/>
        </w:rPr>
        <w:t xml:space="preserve"> </w:t>
      </w:r>
      <w:r w:rsidR="00213D25" w:rsidRPr="000217C7">
        <w:rPr>
          <w:color w:val="000000" w:themeColor="text1"/>
        </w:rPr>
        <w:t>of key areas involved in awareness, high-level sensory integration, and reward, such as</w:t>
      </w:r>
      <w:r w:rsidR="002874B5" w:rsidRPr="000217C7">
        <w:rPr>
          <w:color w:val="000000" w:themeColor="text1"/>
        </w:rPr>
        <w:t xml:space="preserve"> the</w:t>
      </w:r>
      <w:r w:rsidR="00213D25" w:rsidRPr="000217C7">
        <w:rPr>
          <w:color w:val="000000" w:themeColor="text1"/>
        </w:rPr>
        <w:t xml:space="preserve"> </w:t>
      </w:r>
      <w:r w:rsidR="002874B5" w:rsidRPr="000217C7">
        <w:rPr>
          <w:color w:val="000000" w:themeColor="text1"/>
        </w:rPr>
        <w:t>orbitofrontal cortex</w:t>
      </w:r>
      <w:r w:rsidR="00B8239A" w:rsidRPr="000217C7">
        <w:rPr>
          <w:color w:val="000000" w:themeColor="text1"/>
        </w:rPr>
        <w:t>,</w:t>
      </w:r>
      <w:r w:rsidR="002874B5" w:rsidRPr="000217C7">
        <w:rPr>
          <w:color w:val="000000" w:themeColor="text1"/>
        </w:rPr>
        <w:t xml:space="preserve"> the</w:t>
      </w:r>
      <w:r w:rsidR="00B8239A" w:rsidRPr="000217C7">
        <w:rPr>
          <w:color w:val="000000" w:themeColor="text1"/>
        </w:rPr>
        <w:t xml:space="preserve"> bilateral temporal areas, </w:t>
      </w:r>
      <w:r w:rsidR="002874B5" w:rsidRPr="000217C7">
        <w:rPr>
          <w:color w:val="000000" w:themeColor="text1"/>
        </w:rPr>
        <w:t xml:space="preserve">the </w:t>
      </w:r>
      <w:r w:rsidR="00213D25" w:rsidRPr="000217C7">
        <w:rPr>
          <w:color w:val="000000" w:themeColor="text1"/>
        </w:rPr>
        <w:t>operculum</w:t>
      </w:r>
      <w:r w:rsidR="00964A7F" w:rsidRPr="000217C7">
        <w:rPr>
          <w:color w:val="000000" w:themeColor="text1"/>
        </w:rPr>
        <w:t>,</w:t>
      </w:r>
      <w:r w:rsidR="00213D25" w:rsidRPr="000217C7">
        <w:rPr>
          <w:color w:val="000000" w:themeColor="text1"/>
        </w:rPr>
        <w:t xml:space="preserve"> and insula</w:t>
      </w:r>
      <w:r w:rsidR="004726A8" w:rsidRPr="000217C7">
        <w:rPr>
          <w:color w:val="000000" w:themeColor="text1"/>
        </w:rPr>
        <w:t xml:space="preserve"> only in individuals with a higher BMI</w:t>
      </w:r>
      <w:r w:rsidR="00213D25" w:rsidRPr="000217C7">
        <w:rPr>
          <w:color w:val="000000" w:themeColor="text1"/>
        </w:rPr>
        <w:t xml:space="preserve">. </w:t>
      </w:r>
      <w:r w:rsidR="00380AB2" w:rsidRPr="000217C7">
        <w:rPr>
          <w:color w:val="000000" w:themeColor="text1"/>
        </w:rPr>
        <w:t>In addition</w:t>
      </w:r>
      <w:r w:rsidR="00213D25" w:rsidRPr="000217C7">
        <w:rPr>
          <w:color w:val="000000" w:themeColor="text1"/>
        </w:rPr>
        <w:t xml:space="preserve">, </w:t>
      </w:r>
      <w:r w:rsidR="00E349F9" w:rsidRPr="000217C7">
        <w:rPr>
          <w:color w:val="000000" w:themeColor="text1"/>
        </w:rPr>
        <w:t>individuals with a higher BMI</w:t>
      </w:r>
      <w:r w:rsidR="00E349F9" w:rsidRPr="000217C7" w:rsidDel="00E349F9">
        <w:rPr>
          <w:color w:val="000000" w:themeColor="text1"/>
        </w:rPr>
        <w:t xml:space="preserve"> </w:t>
      </w:r>
      <w:r w:rsidR="00213D25" w:rsidRPr="000217C7">
        <w:rPr>
          <w:color w:val="000000" w:themeColor="text1"/>
        </w:rPr>
        <w:t>ex</w:t>
      </w:r>
      <w:r w:rsidR="00964A7F" w:rsidRPr="000217C7">
        <w:rPr>
          <w:color w:val="000000" w:themeColor="text1"/>
        </w:rPr>
        <w:t>hibit</w:t>
      </w:r>
      <w:r w:rsidR="00213D25" w:rsidRPr="000217C7">
        <w:rPr>
          <w:color w:val="000000" w:themeColor="text1"/>
        </w:rPr>
        <w:t xml:space="preserve"> </w:t>
      </w:r>
      <w:r w:rsidR="00285778" w:rsidRPr="000217C7">
        <w:rPr>
          <w:color w:val="000000" w:themeColor="text1"/>
        </w:rPr>
        <w:t xml:space="preserve">a </w:t>
      </w:r>
      <w:r w:rsidR="009C5A2F" w:rsidRPr="000217C7">
        <w:rPr>
          <w:color w:val="000000" w:themeColor="text1"/>
        </w:rPr>
        <w:t>specific</w:t>
      </w:r>
      <w:r w:rsidR="00213D25" w:rsidRPr="000217C7">
        <w:rPr>
          <w:color w:val="000000" w:themeColor="text1"/>
        </w:rPr>
        <w:t xml:space="preserve"> </w:t>
      </w:r>
      <w:r w:rsidR="00084333" w:rsidRPr="000217C7">
        <w:rPr>
          <w:color w:val="000000" w:themeColor="text1"/>
        </w:rPr>
        <w:t>reduced inhibition</w:t>
      </w:r>
      <w:r w:rsidR="00213D25" w:rsidRPr="000217C7">
        <w:rPr>
          <w:color w:val="000000" w:themeColor="text1"/>
        </w:rPr>
        <w:t xml:space="preserve"> to food</w:t>
      </w:r>
      <w:r w:rsidR="00F27382" w:rsidRPr="000217C7">
        <w:rPr>
          <w:color w:val="000000" w:themeColor="text1"/>
        </w:rPr>
        <w:t xml:space="preserve"> in the Go/No-Go task</w:t>
      </w:r>
      <w:r w:rsidR="00285778" w:rsidRPr="000217C7">
        <w:rPr>
          <w:color w:val="000000" w:themeColor="text1"/>
        </w:rPr>
        <w:t>,</w:t>
      </w:r>
      <w:r w:rsidR="00213D25" w:rsidRPr="000217C7">
        <w:rPr>
          <w:color w:val="000000" w:themeColor="text1"/>
        </w:rPr>
        <w:t xml:space="preserve"> which </w:t>
      </w:r>
      <w:r w:rsidR="00285778" w:rsidRPr="000217C7">
        <w:rPr>
          <w:color w:val="000000" w:themeColor="text1"/>
        </w:rPr>
        <w:t>is</w:t>
      </w:r>
      <w:r w:rsidR="00213D25" w:rsidRPr="000217C7">
        <w:rPr>
          <w:color w:val="000000" w:themeColor="text1"/>
        </w:rPr>
        <w:t xml:space="preserve"> associated with lower </w:t>
      </w:r>
      <w:r w:rsidR="009344BA" w:rsidRPr="000217C7">
        <w:rPr>
          <w:color w:val="000000" w:themeColor="text1"/>
        </w:rPr>
        <w:t>GM</w:t>
      </w:r>
      <w:r w:rsidR="003D133F" w:rsidRPr="000217C7">
        <w:rPr>
          <w:color w:val="000000" w:themeColor="text1"/>
        </w:rPr>
        <w:t xml:space="preserve"> density</w:t>
      </w:r>
      <w:r w:rsidR="00213D25" w:rsidRPr="000217C7">
        <w:rPr>
          <w:color w:val="000000" w:themeColor="text1"/>
        </w:rPr>
        <w:t xml:space="preserve"> in reward brain regions </w:t>
      </w:r>
      <w:r w:rsidR="00B8239A" w:rsidRPr="000217C7">
        <w:rPr>
          <w:color w:val="000000" w:themeColor="text1"/>
        </w:rPr>
        <w:t xml:space="preserve">(orbital gyrus and </w:t>
      </w:r>
      <w:r w:rsidR="00B8239A" w:rsidRPr="000217C7">
        <w:rPr>
          <w:color w:val="000000" w:themeColor="text1"/>
          <w:lang w:val="en-GB"/>
        </w:rPr>
        <w:t>parietal operculum</w:t>
      </w:r>
      <w:r w:rsidR="00B8239A" w:rsidRPr="000217C7">
        <w:rPr>
          <w:color w:val="000000" w:themeColor="text1"/>
        </w:rPr>
        <w:t xml:space="preserve">) </w:t>
      </w:r>
      <w:r w:rsidR="00213D25" w:rsidRPr="000217C7">
        <w:rPr>
          <w:color w:val="000000" w:themeColor="text1"/>
        </w:rPr>
        <w:t xml:space="preserve">and </w:t>
      </w:r>
      <w:r w:rsidR="003A2533" w:rsidRPr="000217C7">
        <w:rPr>
          <w:color w:val="000000" w:themeColor="text1"/>
        </w:rPr>
        <w:t xml:space="preserve">lower </w:t>
      </w:r>
      <w:r w:rsidR="002F7C74" w:rsidRPr="000217C7">
        <w:rPr>
          <w:color w:val="000000" w:themeColor="text1"/>
          <w:lang w:val="en-GB"/>
        </w:rPr>
        <w:t>resting-state</w:t>
      </w:r>
      <w:r w:rsidR="002F7C74" w:rsidRPr="000217C7">
        <w:rPr>
          <w:color w:val="000000" w:themeColor="text1"/>
        </w:rPr>
        <w:t xml:space="preserve"> </w:t>
      </w:r>
      <w:r w:rsidR="00B8239A" w:rsidRPr="000217C7">
        <w:rPr>
          <w:color w:val="000000" w:themeColor="text1"/>
        </w:rPr>
        <w:t xml:space="preserve">connectivity </w:t>
      </w:r>
      <w:r w:rsidR="002874B5" w:rsidRPr="000217C7">
        <w:rPr>
          <w:color w:val="000000" w:themeColor="text1"/>
        </w:rPr>
        <w:t xml:space="preserve">of </w:t>
      </w:r>
      <w:r w:rsidR="003A2533" w:rsidRPr="000217C7">
        <w:rPr>
          <w:color w:val="000000" w:themeColor="text1"/>
        </w:rPr>
        <w:t xml:space="preserve">the orbital gyrus </w:t>
      </w:r>
      <w:r w:rsidR="002874B5" w:rsidRPr="000217C7">
        <w:rPr>
          <w:color w:val="000000" w:themeColor="text1"/>
        </w:rPr>
        <w:t>to</w:t>
      </w:r>
      <w:r w:rsidR="00B8239A" w:rsidRPr="000217C7">
        <w:rPr>
          <w:color w:val="000000" w:themeColor="text1"/>
          <w:lang w:val="en-GB"/>
        </w:rPr>
        <w:t xml:space="preserve"> visual areas.</w:t>
      </w:r>
      <w:r w:rsidR="002874B5" w:rsidRPr="000217C7">
        <w:rPr>
          <w:color w:val="000000" w:themeColor="text1"/>
          <w:lang w:val="en-GB"/>
        </w:rPr>
        <w:t xml:space="preserve"> </w:t>
      </w:r>
      <w:r w:rsidR="00F27382" w:rsidRPr="000217C7">
        <w:rPr>
          <w:color w:val="000000" w:themeColor="text1"/>
        </w:rPr>
        <w:t xml:space="preserve">Independently of BMI, our study </w:t>
      </w:r>
      <w:r w:rsidR="002874B5" w:rsidRPr="000217C7">
        <w:rPr>
          <w:color w:val="000000" w:themeColor="text1"/>
        </w:rPr>
        <w:t xml:space="preserve">also </w:t>
      </w:r>
      <w:r w:rsidR="00F27382" w:rsidRPr="000217C7">
        <w:rPr>
          <w:color w:val="000000" w:themeColor="text1"/>
        </w:rPr>
        <w:t>show</w:t>
      </w:r>
      <w:r w:rsidR="00661B8D" w:rsidRPr="000217C7">
        <w:rPr>
          <w:color w:val="000000" w:themeColor="text1"/>
        </w:rPr>
        <w:t>ed</w:t>
      </w:r>
      <w:r w:rsidR="00F27382" w:rsidRPr="000217C7">
        <w:rPr>
          <w:color w:val="000000" w:themeColor="text1"/>
        </w:rPr>
        <w:t xml:space="preserve"> how volumetric variations and connectivity pattern</w:t>
      </w:r>
      <w:r w:rsidR="00661B8D" w:rsidRPr="000217C7">
        <w:rPr>
          <w:color w:val="000000" w:themeColor="text1"/>
        </w:rPr>
        <w:t>s</w:t>
      </w:r>
      <w:r w:rsidR="00F27382" w:rsidRPr="000217C7">
        <w:rPr>
          <w:color w:val="000000" w:themeColor="text1"/>
        </w:rPr>
        <w:t xml:space="preserve"> in different brain regions are </w:t>
      </w:r>
      <w:r w:rsidR="00380AB2" w:rsidRPr="000217C7">
        <w:rPr>
          <w:color w:val="000000" w:themeColor="text1"/>
        </w:rPr>
        <w:t xml:space="preserve">associated with </w:t>
      </w:r>
      <w:r w:rsidR="00F27382" w:rsidRPr="000217C7">
        <w:rPr>
          <w:color w:val="000000" w:themeColor="text1"/>
        </w:rPr>
        <w:t xml:space="preserve">variability in </w:t>
      </w:r>
      <w:r w:rsidR="00E349F9" w:rsidRPr="000217C7">
        <w:rPr>
          <w:color w:val="000000" w:themeColor="text1"/>
        </w:rPr>
        <w:t>b</w:t>
      </w:r>
      <w:r w:rsidR="00F27382" w:rsidRPr="000217C7">
        <w:rPr>
          <w:color w:val="000000" w:themeColor="text1"/>
        </w:rPr>
        <w:t xml:space="preserve">CFS and </w:t>
      </w:r>
      <w:r w:rsidR="002176F1" w:rsidRPr="000217C7">
        <w:rPr>
          <w:color w:val="000000" w:themeColor="text1"/>
        </w:rPr>
        <w:t xml:space="preserve">Go/No-Go </w:t>
      </w:r>
      <w:r w:rsidR="00F27382" w:rsidRPr="000217C7">
        <w:rPr>
          <w:color w:val="000000" w:themeColor="text1"/>
        </w:rPr>
        <w:t xml:space="preserve">performances. </w:t>
      </w:r>
      <w:r w:rsidR="00B8239A" w:rsidRPr="000217C7">
        <w:rPr>
          <w:color w:val="000000" w:themeColor="text1"/>
        </w:rPr>
        <w:t xml:space="preserve">These results suggest that </w:t>
      </w:r>
      <w:r w:rsidR="00380AB2" w:rsidRPr="000217C7">
        <w:rPr>
          <w:color w:val="000000" w:themeColor="text1"/>
        </w:rPr>
        <w:t xml:space="preserve">in </w:t>
      </w:r>
      <w:r w:rsidR="00E349F9" w:rsidRPr="000217C7">
        <w:rPr>
          <w:color w:val="000000" w:themeColor="text1"/>
        </w:rPr>
        <w:t>individuals with a higher BMI</w:t>
      </w:r>
      <w:r w:rsidR="00E349F9" w:rsidRPr="000217C7" w:rsidDel="00E349F9">
        <w:rPr>
          <w:color w:val="000000" w:themeColor="text1"/>
        </w:rPr>
        <w:t xml:space="preserve"> </w:t>
      </w:r>
      <w:r w:rsidR="00B8239A" w:rsidRPr="000217C7">
        <w:rPr>
          <w:color w:val="000000" w:themeColor="text1"/>
        </w:rPr>
        <w:t xml:space="preserve">differences in brain structure </w:t>
      </w:r>
      <w:r w:rsidR="00964A7F" w:rsidRPr="000217C7">
        <w:rPr>
          <w:color w:val="000000" w:themeColor="text1"/>
        </w:rPr>
        <w:t xml:space="preserve">and connectivity </w:t>
      </w:r>
      <w:r w:rsidR="00B8239A" w:rsidRPr="000217C7">
        <w:rPr>
          <w:color w:val="000000" w:themeColor="text1"/>
        </w:rPr>
        <w:t>may be linked to</w:t>
      </w:r>
      <w:r w:rsidR="00964A7F" w:rsidRPr="000217C7">
        <w:rPr>
          <w:color w:val="000000" w:themeColor="text1"/>
        </w:rPr>
        <w:t xml:space="preserve"> attention and inhibition alterations. </w:t>
      </w:r>
    </w:p>
    <w:p w14:paraId="73C77270" w14:textId="044072F7" w:rsidR="00B61EA4" w:rsidRPr="000217C7" w:rsidRDefault="00B61EA4" w:rsidP="00661B8D">
      <w:pPr>
        <w:rPr>
          <w:rStyle w:val="TitleChar"/>
        </w:rPr>
      </w:pPr>
      <w:r w:rsidRPr="000217C7">
        <w:rPr>
          <w:rStyle w:val="TitleChar"/>
        </w:rPr>
        <w:t xml:space="preserve">Keywords </w:t>
      </w:r>
    </w:p>
    <w:p w14:paraId="457E2ADF" w14:textId="1FE2B213" w:rsidR="00997AD5" w:rsidRPr="000217C7" w:rsidRDefault="00997AD5" w:rsidP="00964CB9">
      <w:pPr>
        <w:rPr>
          <w:rStyle w:val="TitleChar"/>
          <w:b w:val="0"/>
          <w:bCs w:val="0"/>
          <w:sz w:val="24"/>
          <w:szCs w:val="24"/>
        </w:rPr>
      </w:pPr>
      <w:r w:rsidRPr="000217C7">
        <w:rPr>
          <w:rStyle w:val="TitleChar"/>
          <w:b w:val="0"/>
          <w:bCs w:val="0"/>
          <w:sz w:val="24"/>
          <w:szCs w:val="24"/>
        </w:rPr>
        <w:t>Subliminal attention, inhibition, food, obesity, voxel-based morpho</w:t>
      </w:r>
      <w:r w:rsidR="002306CC" w:rsidRPr="000217C7">
        <w:rPr>
          <w:rStyle w:val="TitleChar"/>
          <w:b w:val="0"/>
          <w:bCs w:val="0"/>
          <w:sz w:val="24"/>
          <w:szCs w:val="24"/>
        </w:rPr>
        <w:t>metry</w:t>
      </w:r>
      <w:r w:rsidRPr="000217C7">
        <w:rPr>
          <w:rStyle w:val="TitleChar"/>
          <w:b w:val="0"/>
          <w:bCs w:val="0"/>
          <w:sz w:val="24"/>
          <w:szCs w:val="24"/>
        </w:rPr>
        <w:t>, resting-state connectivity</w:t>
      </w:r>
    </w:p>
    <w:p w14:paraId="143F9457" w14:textId="77777777" w:rsidR="007200D1" w:rsidRPr="000217C7" w:rsidRDefault="007200D1" w:rsidP="007200D1">
      <w:pPr>
        <w:rPr>
          <w:color w:val="000000" w:themeColor="text1"/>
          <w:lang w:eastAsia="en-GB"/>
        </w:rPr>
      </w:pPr>
    </w:p>
    <w:p w14:paraId="662A9396" w14:textId="58C960A1" w:rsidR="00FE5DEE" w:rsidRPr="000217C7" w:rsidRDefault="00B61EA4" w:rsidP="00661B8D">
      <w:pPr>
        <w:rPr>
          <w:rStyle w:val="TitleChar"/>
        </w:rPr>
      </w:pPr>
      <w:r w:rsidRPr="000217C7">
        <w:rPr>
          <w:rStyle w:val="TitleChar"/>
        </w:rPr>
        <w:t>Highlights</w:t>
      </w:r>
    </w:p>
    <w:p w14:paraId="0A6CD45C" w14:textId="59A957C0" w:rsidR="009344BA" w:rsidRPr="000217C7" w:rsidRDefault="00E349F9" w:rsidP="009344BA">
      <w:pPr>
        <w:pStyle w:val="ListParagraph"/>
        <w:numPr>
          <w:ilvl w:val="0"/>
          <w:numId w:val="27"/>
        </w:numPr>
        <w:rPr>
          <w:color w:val="000000" w:themeColor="text1"/>
        </w:rPr>
      </w:pPr>
      <w:r w:rsidRPr="000217C7">
        <w:rPr>
          <w:color w:val="000000" w:themeColor="text1"/>
        </w:rPr>
        <w:t xml:space="preserve">Higher BMI </w:t>
      </w:r>
      <w:r w:rsidR="009344BA" w:rsidRPr="000217C7">
        <w:rPr>
          <w:color w:val="000000" w:themeColor="text1"/>
        </w:rPr>
        <w:t>is linked to slower subliminal processing of food and nonfood images</w:t>
      </w:r>
    </w:p>
    <w:p w14:paraId="0C1B925C" w14:textId="7B8A4617" w:rsidR="009344BA" w:rsidRPr="000217C7" w:rsidRDefault="00E349F9" w:rsidP="009344BA">
      <w:pPr>
        <w:pStyle w:val="ListParagraph"/>
        <w:numPr>
          <w:ilvl w:val="0"/>
          <w:numId w:val="27"/>
        </w:numPr>
        <w:rPr>
          <w:color w:val="000000" w:themeColor="text1"/>
        </w:rPr>
      </w:pPr>
      <w:r w:rsidRPr="000217C7">
        <w:rPr>
          <w:color w:val="000000" w:themeColor="text1"/>
        </w:rPr>
        <w:t>This</w:t>
      </w:r>
      <w:r w:rsidRPr="000217C7" w:rsidDel="00E349F9">
        <w:rPr>
          <w:color w:val="000000" w:themeColor="text1"/>
        </w:rPr>
        <w:t xml:space="preserve"> </w:t>
      </w:r>
      <w:r w:rsidR="00682786" w:rsidRPr="000217C7">
        <w:rPr>
          <w:color w:val="000000" w:themeColor="text1"/>
        </w:rPr>
        <w:t>co</w:t>
      </w:r>
      <w:r w:rsidR="009344BA" w:rsidRPr="000217C7">
        <w:rPr>
          <w:color w:val="000000" w:themeColor="text1"/>
        </w:rPr>
        <w:t xml:space="preserve">rrelates with </w:t>
      </w:r>
      <w:r w:rsidRPr="000217C7">
        <w:rPr>
          <w:color w:val="000000" w:themeColor="text1"/>
        </w:rPr>
        <w:t xml:space="preserve">lower </w:t>
      </w:r>
      <w:r w:rsidR="009344BA" w:rsidRPr="000217C7">
        <w:rPr>
          <w:color w:val="000000" w:themeColor="text1"/>
        </w:rPr>
        <w:t>GM</w:t>
      </w:r>
      <w:r w:rsidR="003D133F" w:rsidRPr="000217C7">
        <w:rPr>
          <w:color w:val="000000" w:themeColor="text1"/>
        </w:rPr>
        <w:t xml:space="preserve"> density</w:t>
      </w:r>
      <w:r w:rsidRPr="000217C7">
        <w:rPr>
          <w:color w:val="000000" w:themeColor="text1"/>
        </w:rPr>
        <w:t xml:space="preserve"> in the OFC, temporal areas, operculum/insula</w:t>
      </w:r>
      <w:r w:rsidR="004726A8" w:rsidRPr="000217C7">
        <w:rPr>
          <w:color w:val="000000" w:themeColor="text1"/>
        </w:rPr>
        <w:t xml:space="preserve"> </w:t>
      </w:r>
    </w:p>
    <w:p w14:paraId="18CA8B19" w14:textId="4691C3D2" w:rsidR="009344BA" w:rsidRPr="000217C7" w:rsidRDefault="00E349F9" w:rsidP="009344BA">
      <w:pPr>
        <w:pStyle w:val="ListParagraph"/>
        <w:numPr>
          <w:ilvl w:val="0"/>
          <w:numId w:val="27"/>
        </w:numPr>
        <w:rPr>
          <w:color w:val="000000" w:themeColor="text1"/>
        </w:rPr>
      </w:pPr>
      <w:r w:rsidRPr="000217C7">
        <w:rPr>
          <w:color w:val="000000" w:themeColor="text1"/>
        </w:rPr>
        <w:t xml:space="preserve">Higher BMI predicts </w:t>
      </w:r>
      <w:r w:rsidR="00084333" w:rsidRPr="000217C7">
        <w:rPr>
          <w:color w:val="000000" w:themeColor="text1"/>
        </w:rPr>
        <w:t xml:space="preserve">reduced </w:t>
      </w:r>
      <w:r w:rsidR="009344BA" w:rsidRPr="000217C7">
        <w:rPr>
          <w:color w:val="000000" w:themeColor="text1"/>
        </w:rPr>
        <w:t xml:space="preserve">inhibition </w:t>
      </w:r>
      <w:r w:rsidR="00084333" w:rsidRPr="000217C7">
        <w:rPr>
          <w:color w:val="000000" w:themeColor="text1"/>
        </w:rPr>
        <w:t>for</w:t>
      </w:r>
      <w:r w:rsidR="009344BA" w:rsidRPr="000217C7">
        <w:rPr>
          <w:color w:val="000000" w:themeColor="text1"/>
        </w:rPr>
        <w:t xml:space="preserve"> food in the Go/No-Go task</w:t>
      </w:r>
    </w:p>
    <w:p w14:paraId="6B4A3558" w14:textId="61B262F7" w:rsidR="00682786" w:rsidRPr="000217C7" w:rsidRDefault="00682786" w:rsidP="009344BA">
      <w:pPr>
        <w:pStyle w:val="ListParagraph"/>
        <w:numPr>
          <w:ilvl w:val="0"/>
          <w:numId w:val="27"/>
        </w:numPr>
        <w:rPr>
          <w:color w:val="000000" w:themeColor="text1"/>
        </w:rPr>
      </w:pPr>
      <w:r w:rsidRPr="000217C7">
        <w:rPr>
          <w:color w:val="000000" w:themeColor="text1"/>
        </w:rPr>
        <w:t xml:space="preserve">Reduced inhibition for food </w:t>
      </w:r>
      <w:r w:rsidR="00CF739D" w:rsidRPr="000217C7">
        <w:rPr>
          <w:color w:val="000000" w:themeColor="text1"/>
        </w:rPr>
        <w:t>correlates</w:t>
      </w:r>
      <w:r w:rsidR="009344BA" w:rsidRPr="000217C7">
        <w:rPr>
          <w:color w:val="000000" w:themeColor="text1"/>
        </w:rPr>
        <w:t xml:space="preserve"> with lower GM</w:t>
      </w:r>
      <w:r w:rsidR="003D133F" w:rsidRPr="000217C7">
        <w:rPr>
          <w:color w:val="000000" w:themeColor="text1"/>
        </w:rPr>
        <w:t xml:space="preserve"> density</w:t>
      </w:r>
      <w:r w:rsidR="009344BA" w:rsidRPr="000217C7">
        <w:rPr>
          <w:color w:val="000000" w:themeColor="text1"/>
        </w:rPr>
        <w:t xml:space="preserve"> in reward </w:t>
      </w:r>
      <w:r w:rsidR="00CF739D" w:rsidRPr="000217C7">
        <w:rPr>
          <w:color w:val="000000" w:themeColor="text1"/>
        </w:rPr>
        <w:t>areas</w:t>
      </w:r>
      <w:r w:rsidR="00E349F9" w:rsidRPr="000217C7">
        <w:rPr>
          <w:color w:val="000000" w:themeColor="text1"/>
        </w:rPr>
        <w:t xml:space="preserve"> </w:t>
      </w:r>
    </w:p>
    <w:p w14:paraId="088C499B" w14:textId="51374D19" w:rsidR="00F12141" w:rsidRPr="000217C7" w:rsidRDefault="00682786" w:rsidP="00682786">
      <w:pPr>
        <w:pStyle w:val="ListParagraph"/>
        <w:numPr>
          <w:ilvl w:val="0"/>
          <w:numId w:val="27"/>
        </w:numPr>
        <w:rPr>
          <w:color w:val="000000" w:themeColor="text1"/>
        </w:rPr>
      </w:pPr>
      <w:r w:rsidRPr="000217C7">
        <w:rPr>
          <w:color w:val="000000" w:themeColor="text1"/>
        </w:rPr>
        <w:t>It also correlates with lower connectivity of the orbital gyrus to</w:t>
      </w:r>
      <w:r w:rsidRPr="000217C7">
        <w:rPr>
          <w:color w:val="000000" w:themeColor="text1"/>
          <w:lang w:val="en-GB"/>
        </w:rPr>
        <w:t xml:space="preserve"> visual areas</w:t>
      </w:r>
      <w:r w:rsidRPr="000217C7" w:rsidDel="00682786">
        <w:rPr>
          <w:color w:val="000000" w:themeColor="text1"/>
        </w:rPr>
        <w:t xml:space="preserve"> </w:t>
      </w:r>
    </w:p>
    <w:p w14:paraId="3BC91973" w14:textId="4C230449" w:rsidR="00E95B9B" w:rsidRPr="000217C7" w:rsidRDefault="00696A38" w:rsidP="000217C7">
      <w:pPr>
        <w:rPr>
          <w:b/>
          <w:bCs/>
          <w:color w:val="000000" w:themeColor="text1"/>
          <w:lang w:val="en-GB"/>
        </w:rPr>
      </w:pPr>
      <w:r w:rsidRPr="000217C7">
        <w:rPr>
          <w:color w:val="000000" w:themeColor="text1"/>
          <w:lang w:val="en-GB"/>
        </w:rPr>
        <w:br w:type="page"/>
      </w:r>
      <w:bookmarkStart w:id="7" w:name="_Toc528590096"/>
      <w:r w:rsidR="006235A1" w:rsidRPr="000217C7">
        <w:rPr>
          <w:b/>
          <w:bCs/>
          <w:color w:val="000000" w:themeColor="text1"/>
          <w:lang w:val="en-GB"/>
        </w:rPr>
        <w:lastRenderedPageBreak/>
        <w:t xml:space="preserve">1 - </w:t>
      </w:r>
      <w:r w:rsidR="006F0A2E" w:rsidRPr="000217C7">
        <w:rPr>
          <w:b/>
          <w:bCs/>
          <w:color w:val="000000" w:themeColor="text1"/>
          <w:lang w:val="en-GB"/>
        </w:rPr>
        <w:t>Introduction</w:t>
      </w:r>
      <w:bookmarkEnd w:id="7"/>
    </w:p>
    <w:p w14:paraId="2CE21723" w14:textId="38CB32E7" w:rsidR="00504B94" w:rsidRPr="000217C7" w:rsidRDefault="00624112" w:rsidP="00240946">
      <w:pPr>
        <w:rPr>
          <w:color w:val="000000" w:themeColor="text1"/>
          <w:shd w:val="clear" w:color="auto" w:fill="FFFFFF"/>
        </w:rPr>
      </w:pPr>
      <w:r w:rsidRPr="000217C7">
        <w:rPr>
          <w:color w:val="000000" w:themeColor="text1"/>
        </w:rPr>
        <w:t>An a</w:t>
      </w:r>
      <w:r w:rsidR="00EE62A9" w:rsidRPr="000217C7">
        <w:rPr>
          <w:color w:val="000000" w:themeColor="text1"/>
        </w:rPr>
        <w:t xml:space="preserve">ttentional bias </w:t>
      </w:r>
      <w:r w:rsidRPr="000217C7">
        <w:rPr>
          <w:color w:val="000000" w:themeColor="text1"/>
        </w:rPr>
        <w:t xml:space="preserve">consists </w:t>
      </w:r>
      <w:r w:rsidR="002306CC" w:rsidRPr="000217C7">
        <w:rPr>
          <w:color w:val="000000" w:themeColor="text1"/>
        </w:rPr>
        <w:t xml:space="preserve">of </w:t>
      </w:r>
      <w:r w:rsidR="00AE77C0" w:rsidRPr="000217C7">
        <w:rPr>
          <w:color w:val="000000" w:themeColor="text1"/>
        </w:rPr>
        <w:t xml:space="preserve">the </w:t>
      </w:r>
      <w:r w:rsidR="00EE62A9" w:rsidRPr="000217C7">
        <w:rPr>
          <w:color w:val="000000" w:themeColor="text1"/>
        </w:rPr>
        <w:t xml:space="preserve">preferential </w:t>
      </w:r>
      <w:r w:rsidR="00AE77C0" w:rsidRPr="000217C7">
        <w:rPr>
          <w:color w:val="000000" w:themeColor="text1"/>
        </w:rPr>
        <w:t>allocation of attention to</w:t>
      </w:r>
      <w:r w:rsidR="00EE62A9" w:rsidRPr="000217C7">
        <w:rPr>
          <w:color w:val="000000" w:themeColor="text1"/>
        </w:rPr>
        <w:t xml:space="preserve"> </w:t>
      </w:r>
      <w:r w:rsidRPr="000217C7">
        <w:rPr>
          <w:color w:val="000000" w:themeColor="text1"/>
        </w:rPr>
        <w:t xml:space="preserve">specific </w:t>
      </w:r>
      <w:r w:rsidR="00EE62A9" w:rsidRPr="000217C7">
        <w:rPr>
          <w:color w:val="000000" w:themeColor="text1"/>
        </w:rPr>
        <w:t>salient stimuli</w:t>
      </w:r>
      <w:r w:rsidR="00AE77C0" w:rsidRPr="000217C7">
        <w:rPr>
          <w:color w:val="000000" w:themeColor="text1"/>
        </w:rPr>
        <w:t xml:space="preserve"> in the environment</w:t>
      </w:r>
      <w:r w:rsidR="00EE62A9" w:rsidRPr="000217C7">
        <w:rPr>
          <w:color w:val="000000" w:themeColor="text1"/>
        </w:rPr>
        <w:t>.</w:t>
      </w:r>
      <w:r w:rsidR="00AE77C0" w:rsidRPr="000217C7">
        <w:rPr>
          <w:color w:val="000000" w:themeColor="text1"/>
        </w:rPr>
        <w:t xml:space="preserve"> </w:t>
      </w:r>
      <w:r w:rsidRPr="000217C7">
        <w:rPr>
          <w:color w:val="000000" w:themeColor="text1"/>
        </w:rPr>
        <w:t>S</w:t>
      </w:r>
      <w:r w:rsidR="00AE77C0" w:rsidRPr="000217C7">
        <w:rPr>
          <w:color w:val="000000" w:themeColor="text1"/>
        </w:rPr>
        <w:t xml:space="preserve">everal </w:t>
      </w:r>
      <w:r w:rsidR="00D24B5D" w:rsidRPr="000217C7">
        <w:rPr>
          <w:color w:val="000000" w:themeColor="text1"/>
        </w:rPr>
        <w:t>conditions</w:t>
      </w:r>
      <w:r w:rsidRPr="000217C7">
        <w:rPr>
          <w:color w:val="000000" w:themeColor="text1"/>
        </w:rPr>
        <w:t xml:space="preserve">, such as addiction and anxiety, have been associated with a </w:t>
      </w:r>
      <w:r w:rsidR="00AE77C0" w:rsidRPr="000217C7">
        <w:rPr>
          <w:color w:val="000000" w:themeColor="text1"/>
        </w:rPr>
        <w:t>bias in the proce</w:t>
      </w:r>
      <w:r w:rsidR="008858B8" w:rsidRPr="000217C7">
        <w:rPr>
          <w:color w:val="000000" w:themeColor="text1"/>
        </w:rPr>
        <w:t>ssing of symptom-related cues</w:t>
      </w:r>
      <w:r w:rsidR="00AE77C0" w:rsidRPr="000217C7">
        <w:rPr>
          <w:color w:val="000000" w:themeColor="text1"/>
        </w:rPr>
        <w:t xml:space="preserve"> </w:t>
      </w:r>
      <w:r w:rsidR="00BC2CCF" w:rsidRPr="000217C7">
        <w:rPr>
          <w:color w:val="000000" w:themeColor="text1"/>
        </w:rPr>
        <w:fldChar w:fldCharType="begin"/>
      </w:r>
      <w:r w:rsidR="009456C2" w:rsidRPr="000217C7">
        <w:rPr>
          <w:color w:val="000000" w:themeColor="text1"/>
        </w:rPr>
        <w:instrText xml:space="preserve"> ADDIN ZOTERO_ITEM CSL_CITATION {"citationID":"a1j1p6t2mh","properties":{"unsorted":true,"formattedCitation":"(Field and Cox, 2008; Bar-Haim et al., 2007)","plainCitation":"(Field and Cox, 2008; Bar-Haim et al., 2007)","noteIndex":0},"citationItems":[{"id":2385,"uris":["http://zotero.org/users/local/ukz7dhIj/items/PMG9R7NV"],"uri":["http://zotero.org/users/local/ukz7dhIj/items/PMG9R7NV"],"itemData":{"id":2385,"type":"article-journal","abstract":"A wealth of research from the past two decades shows that addictive behaviors are characterized by attentional biases for substance-related stimuli. We review the relevant evidence and present an integration of existing theoretical models to explain the development, causes, and consequences of addiction-related attentional biases. We suggest that through classical conditioning, substance-related stimuli elicit the expectancy of substance availability, and this expectancy causes both attentional bias for substance-related stimuli and subjective craving. Furthermore, attentional bias and craving have a mutual excitatory relationship such that increases in one lead to increases in the other, a process that is likely to result in substance self-administration. Cognitive avoidance strategies, impulsivity, and impaired inhibitory control appear to influence the strength of attentional biases and subjective craving. However, some measures of attentional bias, particularly the addiction Stroop, might reflect multiple underlying processes, so results need to be interpreted cautiously. We make several predictions that require testing in future research, and we discuss implications for the treatment of addictive behaviors.","container-title":"Drug and Alcohol Dependence","DOI":"10.1016/j.drugalcdep.2008.03.030","ISSN":"0376-8716","issue":"1","journalAbbreviation":"Drug and Alcohol Dependence","language":"en","page":"1-20","source":"ScienceDirect","title":"Attentional bias in addictive behaviors: A review of its development, causes, and consequences","title-short":"Attentional bias in addictive behaviors","volume":"97","author":[{"family":"Field","given":"Matt"},{"family":"Cox","given":"W. Miles"}],"issued":{"date-parts":[["2008",9,1]]}}},{"id":2389,"uris":["http://zotero.org/users/local/ukz7dhIj/items/I2JKG7PT"],"uri":["http://zotero.org/users/local/ukz7dhIj/items/I2JKG7PT"],"itemData":{"id":2389,"type":"article-journal","abstract":"This meta-analysis of 172 studies (N = 2,263 anxious,N = 1,768 nonanxious) examined the boundary conditions of threat-related attentional biases in anxiety. Overall, the results show that the bias is reliably demonstrated with different experimental paradigms and under a variety of experimental conditions, but that it is only an effect size of d = 0.45. Although processes requiring conscious perception of threat contribute to the bias, a significant bias is also observed with stimuli outside awareness. The bias is of comparable magnitude across different types of anxious populations (individuals with different clinical disorders, high-anxious nonclinical individuals, anxious children and adults) and is not observed in nonanxious individuals. Empirical and clinical implications as well as future directions for research are discussed. (PsycINFO Database Record (c) 2016 APA, all rights reserved)","container-title":"Psychological Bulletin","DOI":"10.1037/0033-2909.133.1.1","ISSN":"1939-1455(Electronic),0033-2909(Print)","issue":"1","note":"publisher-place: US\npublisher: American Psychological Association","page":"1-24","source":"APA PsycNET","title":"Threat-related attentional bias in anxious and nonanxious individuals: A meta-analytic study","title-short":"Threat-related attentional bias in anxious and nonanxious individuals","volume":"133","author":[{"family":"Bar-Haim","given":"Yair"},{"family":"Lamy","given":"Dominique"},{"family":"Pergamin","given":"Lee"},{"family":"Bakermans-Kranenburg","given":"Marian J."},{"family":"IJzendoorn","given":"Marinus H.","non-dropping-particle":"van"}],"issued":{"date-parts":[["2007"]]}}}],"schema":"https://github.com/citation-style-language/schema/raw/master/csl-citation.json"} </w:instrText>
      </w:r>
      <w:r w:rsidR="00BC2CCF" w:rsidRPr="000217C7">
        <w:rPr>
          <w:color w:val="000000" w:themeColor="text1"/>
        </w:rPr>
        <w:fldChar w:fldCharType="separate"/>
      </w:r>
      <w:r w:rsidR="009456C2" w:rsidRPr="000217C7">
        <w:rPr>
          <w:rFonts w:cs="Times New Roman"/>
          <w:color w:val="000000" w:themeColor="text1"/>
          <w:lang w:val="en-GB"/>
        </w:rPr>
        <w:t>(Field and Cox, 2008; Bar-Haim et al., 2007)</w:t>
      </w:r>
      <w:r w:rsidR="00BC2CCF" w:rsidRPr="000217C7">
        <w:rPr>
          <w:color w:val="000000" w:themeColor="text1"/>
        </w:rPr>
        <w:fldChar w:fldCharType="end"/>
      </w:r>
      <w:r w:rsidR="00AE77C0" w:rsidRPr="000217C7">
        <w:rPr>
          <w:color w:val="000000" w:themeColor="text1"/>
        </w:rPr>
        <w:t xml:space="preserve">. </w:t>
      </w:r>
      <w:r w:rsidR="000C742F" w:rsidRPr="000217C7">
        <w:rPr>
          <w:color w:val="000000" w:themeColor="text1"/>
        </w:rPr>
        <w:t>In particular</w:t>
      </w:r>
      <w:r w:rsidR="008858B8" w:rsidRPr="000217C7">
        <w:rPr>
          <w:color w:val="000000" w:themeColor="text1"/>
        </w:rPr>
        <w:t xml:space="preserve">, </w:t>
      </w:r>
      <w:r w:rsidR="000C742F" w:rsidRPr="000217C7">
        <w:rPr>
          <w:rFonts w:cs="Times New Roman"/>
          <w:color w:val="000000" w:themeColor="text1"/>
          <w:lang w:val="en-GB"/>
        </w:rPr>
        <w:t>attentional biases towards food</w:t>
      </w:r>
      <w:r w:rsidR="000C742F" w:rsidRPr="000217C7">
        <w:rPr>
          <w:color w:val="000000" w:themeColor="text1"/>
          <w:lang w:val="en-GB"/>
        </w:rPr>
        <w:t xml:space="preserve"> </w:t>
      </w:r>
      <w:r w:rsidR="004F3B66" w:rsidRPr="000217C7">
        <w:rPr>
          <w:rFonts w:eastAsiaTheme="majorEastAsia" w:cstheme="majorBidi"/>
          <w:color w:val="000000" w:themeColor="text1"/>
          <w:lang w:val="en-GB"/>
        </w:rPr>
        <w:t xml:space="preserve">have been repeatedly </w:t>
      </w:r>
      <w:r w:rsidR="000C742F" w:rsidRPr="000217C7">
        <w:rPr>
          <w:rFonts w:eastAsiaTheme="majorEastAsia" w:cstheme="majorBidi"/>
          <w:color w:val="000000" w:themeColor="text1"/>
          <w:lang w:val="en-GB"/>
        </w:rPr>
        <w:t xml:space="preserve">observed in </w:t>
      </w:r>
      <w:r w:rsidR="00FA2401" w:rsidRPr="000217C7">
        <w:rPr>
          <w:rFonts w:eastAsiaTheme="majorEastAsia" w:cstheme="majorBidi"/>
          <w:color w:val="000000" w:themeColor="text1"/>
          <w:lang w:val="en-GB"/>
        </w:rPr>
        <w:t xml:space="preserve">individuals with </w:t>
      </w:r>
      <w:r w:rsidR="000C742F" w:rsidRPr="000217C7">
        <w:rPr>
          <w:rFonts w:eastAsiaTheme="majorEastAsia" w:cstheme="majorBidi"/>
          <w:color w:val="000000" w:themeColor="text1"/>
          <w:lang w:val="en-GB"/>
        </w:rPr>
        <w:t>obesity and overweight</w:t>
      </w:r>
      <w:r w:rsidR="000C742F" w:rsidRPr="000217C7" w:rsidDel="000C742F">
        <w:rPr>
          <w:rFonts w:cs="Times New Roman"/>
          <w:color w:val="000000" w:themeColor="text1"/>
          <w:lang w:val="en-GB"/>
        </w:rPr>
        <w:t xml:space="preserve"> </w:t>
      </w:r>
      <w:r w:rsidR="00BC2CCF" w:rsidRPr="000217C7">
        <w:rPr>
          <w:rFonts w:eastAsia="Times New Roman"/>
          <w:color w:val="000000" w:themeColor="text1"/>
          <w:shd w:val="clear" w:color="auto" w:fill="FFFFFF"/>
        </w:rPr>
        <w:fldChar w:fldCharType="begin"/>
      </w:r>
      <w:r w:rsidR="000239D6" w:rsidRPr="000217C7">
        <w:rPr>
          <w:rFonts w:eastAsia="Times New Roman"/>
          <w:color w:val="000000" w:themeColor="text1"/>
          <w:shd w:val="clear" w:color="auto" w:fill="FFFFFF"/>
        </w:rPr>
        <w:instrText xml:space="preserve"> ADDIN ZOTERO_ITEM CSL_CITATION {"citationID":"a1j6ha7qfc4","properties":{"formattedCitation":"(Brooks et al., 2011; Castellanos et al., 2009; Hendrikse et al., 2015)","plainCitation":"(Brooks et al., 2011; Castellanos et al., 2009; Hendrikse et al., 2015)","noteIndex":0},"citationItems":[{"id":276,"uris":["http://zotero.org/users/local/ukz7dhIj/items/TNWGNMGD"],"uri":["http://zotero.org/users/local/ukz7dhIj/items/TNWGNMGD"],"itemData":{"id":276,"type":"article-journal","abstract":"Aim\nMaladaptive cognitions about food, weight and shape bias attention, memory and judgment and may be linked to disordered eating behaviour. This paper reviews information processing of food stimuli (words, pictures) in people with eating disorders (ED).\nMethod\nPubMed, Ovid, ScienceDirect, PsychInfo, Web of Science, Cochrane Library and Google Scholar were searched to December 2009. 63 studies measured attention, memory and judgment bias towards food stimuli in women with ED.\nResults\nStroop tasks had sufficient sample size for a meta-analyses and effects ranged from small to medium. Other studies of attention bias had variable effects (e.g. the Dot-Probe task, distracter tasks and Startle Eyeblink Modulation). A meta-analysis of memory bias studies in ED and RE yielded insignificant effect. Effect sizes for judgment bias ranged from negligible to large.\nConclusions\nPeople with ED have greater attentional bias to food stimuli than healthy controls (HC). Evidence for a memory and judgment bias in ED is limited.","container-title":"Clinical Psychology Review","DOI":"10.1016/j.cpr.2010.09.006","ISSN":"0272-7358","issue":"1","journalAbbreviation":"Clinical Psychology Review","page":"37-51","source":"ScienceDirect","title":"A systematic review and meta-analysis of cognitive bias to food stimuli in people with disordered eating behaviour","volume":"31","author":[{"family":"Brooks","given":"Samantha J."},{"family":"Prince","given":"Alexis"},{"family":"Stahl","given":"Daniel"},{"family":"Campbell","given":"Iain C."},{"family":"Treasure","given":"Janet"}],"issued":{"date-parts":[["2011",2,1]]}}},{"id":469,"uris":["http://zotero.org/users/local/ukz7dhIj/items/IZSRTRBU"],"uri":["http://zotero.org/users/local/ukz7dhIj/items/IZSRTRBU"],"itemData":{"id":469,"type":"article-journal","abstract":"BACKGROUND: The major aim of this study was to investigate whether the motivational salience of food cues (as reflected by their attention-grabbing properties) differs between obese and normal-weight subjects in a manner consistent with altered reward system function in obesity.\nMETHODOLOGY/PRINCIPAL FINDINGS: A total of 18 obese and 18 normal-weight, otherwise healthy, adult women between the ages of 18 and 35 participated in an eye-tracking paradigm in combination with a visual probe task. Eye movements and reaction time to food and non-food images were recorded during both fasted and fed conditions in a counterbalanced design. Eating behavior and hunger level were assessed by self-report measures. Obese individuals had higher scores than normal-weight individuals on self-report measures of responsiveness to external food cues and vulnerability to disruptions in control of eating behavior. Both obese and normal-weight individuals demonstrated increased gaze duration for food compared to non-food images in the fasted condition. In the fed condition, however, despite reduced hunger in both groups, obese individuals maintained the increased attention to food images, whereas normal-weight individuals had similar gaze duration for food and non-food images. Additionally, obese individuals had preferential orienting toward food images at the onset of each image. Obese and normal-weight individuals did not differ in reaction time measures in the fasted or fed condition.\nCONCLUSIONS/SIGNIFICANCE: Food cue incentive salience is elevated equally in normal-weight and obese individuals during fasting. Obese individuals retain incentive salience for food cues despite feeding and decreased self-report of hunger. Sensitization to food cues in the environment and their dysregulation in obese individuals may play a role in the development and/or maintenance of obesity.","container-title":"International Journal of Obesity (2005)","DOI":"10.1038/ijo.2009.138","ISSN":"1476-5497","issue":"9","journalAbbreviation":"Int J Obes (Lond)","language":"eng","note":"PMID: 19621020","page":"1063-1073","source":"PubMed","title":"Obese adults have visual attention bias for food cue images: evidence for altered reward system function","title-short":"Obese adults have visual attention bias for food cue images","volume":"33","author":[{"family":"Castellanos","given":"E. H."},{"family":"Charboneau","given":"E."},{"family":"Dietrich","given":"M. S."},{"family":"Park","given":"S."},{"family":"Bradley","given":"B. P."},{"family":"Mogg","given":"K."},{"family":"Cowan","given":"R. L."}],"issued":{"date-parts":[["2009",9]]}}},{"id":725,"uris":["http://zotero.org/users/local/ukz7dhIj/items/BVB38BFS"],"uri":["http://zotero.org/users/local/ukz7dhIj/items/BVB38BFS"],"itemData":{"id":725,"type":"article-journal","abstract":"Obesity rates have increased dramatically in recent decades, and it has proven difficult to treat. An attentional bias towards food cues may be implicated in the aetiology of obesity and influence cravings and food consumption. This review systematically investigated whether attentional biases to food cues exist in overweight/obese compared with healthy weight individuals. Electronic database were searched for relevant papers from inception to October 2014. Only studies reporting food-related attentional bias between either overweight (body mass index [BMI] 25.0-29.9 kg m(-2)) or obese (BMI ≥ 30) participants and healthy weight participants (BMI 18.5-24.9) were included. The findings of 19 studies were reported in this review. Results of the literature are suggestive of differences in attentional bias, with all but four studies supporting the notion of enhanced reactivity to food stimuli in overweight individuals and individuals with obesity. This support for attentional bias was observed primarily in studies that employed psychophysiological techniques (i.e. electroencephalogram, eye-tracking and functional magnetic resonance imaging). Despite the heterogeneous methodology within the featured studies, all measures of attentional bias demonstrated altered cue-reactivity in individuals with obesity. Considering the theorized implications of attentional biases on obesity pathology, researchers are encouraged to replicate flagship studies to strengthen these inferences.","container-title":"Obesity Reviews: An Official Journal of the International Association for the Study of Obesity","DOI":"10.1111/obr.12265","ISSN":"1467-789X","issue":"5","journalAbbreviation":"Obes Rev","language":"eng","note":"PMID: 25752592","page":"424-432","source":"PubMed","title":"Attentional biases for food cues in overweight and individuals with obesity: a systematic review of the literature","title-short":"Attentional biases for food cues in overweight and individuals with obesity","volume":"16","author":[{"family":"Hendrikse","given":"J. J."},{"family":"Cachia","given":"R. L."},{"family":"Kothe","given":"E. J."},{"family":"McPhie","given":"S."},{"family":"Skouteris","given":"H."},{"family":"Hayden","given":"M. J."}],"issued":{"date-parts":[["2015",5]]}}}],"schema":"https://github.com/citation-style-language/schema/raw/master/csl-citation.json"} </w:instrText>
      </w:r>
      <w:r w:rsidR="00BC2CCF" w:rsidRPr="000217C7">
        <w:rPr>
          <w:rFonts w:eastAsia="Times New Roman"/>
          <w:color w:val="000000" w:themeColor="text1"/>
          <w:shd w:val="clear" w:color="auto" w:fill="FFFFFF"/>
        </w:rPr>
        <w:fldChar w:fldCharType="separate"/>
      </w:r>
      <w:r w:rsidR="000239D6" w:rsidRPr="000217C7">
        <w:rPr>
          <w:rFonts w:cs="Times New Roman"/>
          <w:color w:val="000000" w:themeColor="text1"/>
          <w:lang w:val="en-GB"/>
        </w:rPr>
        <w:t>(Brooks et al., 2011; Castellanos et al., 2009; Hendrikse et al., 2015)</w:t>
      </w:r>
      <w:r w:rsidR="00BC2CCF" w:rsidRPr="000217C7">
        <w:rPr>
          <w:rFonts w:eastAsia="Times New Roman"/>
          <w:color w:val="000000" w:themeColor="text1"/>
          <w:shd w:val="clear" w:color="auto" w:fill="FFFFFF"/>
        </w:rPr>
        <w:fldChar w:fldCharType="end"/>
      </w:r>
      <w:r w:rsidR="00484100" w:rsidRPr="000217C7">
        <w:rPr>
          <w:rFonts w:eastAsia="Times New Roman"/>
          <w:color w:val="000000" w:themeColor="text1"/>
          <w:shd w:val="clear" w:color="auto" w:fill="FFFFFF"/>
        </w:rPr>
        <w:t xml:space="preserve">. </w:t>
      </w:r>
      <w:r w:rsidR="00CF6A80" w:rsidRPr="000217C7">
        <w:rPr>
          <w:color w:val="000000" w:themeColor="text1"/>
        </w:rPr>
        <w:t>W</w:t>
      </w:r>
      <w:r w:rsidR="004A6B87" w:rsidRPr="000217C7">
        <w:rPr>
          <w:color w:val="000000" w:themeColor="text1"/>
        </w:rPr>
        <w:t xml:space="preserve">hen shown food pictures, </w:t>
      </w:r>
      <w:r w:rsidR="00FA2401" w:rsidRPr="000217C7">
        <w:rPr>
          <w:color w:val="000000" w:themeColor="text1"/>
        </w:rPr>
        <w:t xml:space="preserve">individuals with </w:t>
      </w:r>
      <w:r w:rsidR="004A6B87" w:rsidRPr="000217C7">
        <w:rPr>
          <w:color w:val="000000" w:themeColor="text1"/>
        </w:rPr>
        <w:t>overweight</w:t>
      </w:r>
      <w:r w:rsidR="0065287D" w:rsidRPr="000217C7">
        <w:rPr>
          <w:color w:val="000000" w:themeColor="text1"/>
        </w:rPr>
        <w:t>/obes</w:t>
      </w:r>
      <w:r w:rsidR="003D6494" w:rsidRPr="000217C7">
        <w:rPr>
          <w:color w:val="000000" w:themeColor="text1"/>
        </w:rPr>
        <w:t>ity</w:t>
      </w:r>
      <w:r w:rsidR="004A6B87" w:rsidRPr="000217C7">
        <w:rPr>
          <w:color w:val="000000" w:themeColor="text1"/>
        </w:rPr>
        <w:t xml:space="preserve"> </w:t>
      </w:r>
      <w:r w:rsidR="0065287D" w:rsidRPr="000217C7">
        <w:rPr>
          <w:color w:val="000000" w:themeColor="text1"/>
        </w:rPr>
        <w:t xml:space="preserve">have been reported to </w:t>
      </w:r>
      <w:r w:rsidR="004A6B87" w:rsidRPr="000217C7">
        <w:rPr>
          <w:rFonts w:eastAsia="Times New Roman"/>
          <w:color w:val="000000" w:themeColor="text1"/>
          <w:shd w:val="clear" w:color="auto" w:fill="FFFFFF"/>
        </w:rPr>
        <w:t xml:space="preserve">direct their first gaze more often towards them than </w:t>
      </w:r>
      <w:r w:rsidR="00FA2401" w:rsidRPr="000217C7">
        <w:rPr>
          <w:rFonts w:eastAsia="Times New Roman"/>
          <w:color w:val="000000" w:themeColor="text1"/>
          <w:shd w:val="clear" w:color="auto" w:fill="FFFFFF"/>
        </w:rPr>
        <w:t xml:space="preserve">individuals with a </w:t>
      </w:r>
      <w:r w:rsidR="004A6B87" w:rsidRPr="000217C7">
        <w:rPr>
          <w:rFonts w:eastAsia="Times New Roman"/>
          <w:color w:val="000000" w:themeColor="text1"/>
          <w:shd w:val="clear" w:color="auto" w:fill="FFFFFF"/>
        </w:rPr>
        <w:t>healthy</w:t>
      </w:r>
      <w:r w:rsidR="00FA2401" w:rsidRPr="000217C7">
        <w:rPr>
          <w:rFonts w:eastAsia="Times New Roman"/>
          <w:color w:val="000000" w:themeColor="text1"/>
          <w:shd w:val="clear" w:color="auto" w:fill="FFFFFF"/>
        </w:rPr>
        <w:t xml:space="preserve"> </w:t>
      </w:r>
      <w:r w:rsidR="004A6B87" w:rsidRPr="000217C7">
        <w:rPr>
          <w:rFonts w:eastAsia="Times New Roman"/>
          <w:color w:val="000000" w:themeColor="text1"/>
          <w:shd w:val="clear" w:color="auto" w:fill="FFFFFF"/>
        </w:rPr>
        <w:t xml:space="preserve">weight, even though </w:t>
      </w:r>
      <w:r w:rsidR="00AC36AE" w:rsidRPr="000217C7">
        <w:rPr>
          <w:rFonts w:eastAsia="Times New Roman"/>
          <w:color w:val="000000" w:themeColor="text1"/>
          <w:shd w:val="clear" w:color="auto" w:fill="FFFFFF"/>
        </w:rPr>
        <w:t>they later show a tendency to avoid looking at them</w:t>
      </w:r>
      <w:r w:rsidR="009F4722" w:rsidRPr="000217C7">
        <w:rPr>
          <w:rFonts w:eastAsia="Times New Roman"/>
          <w:color w:val="000000" w:themeColor="text1"/>
          <w:shd w:val="clear" w:color="auto" w:fill="FFFFFF"/>
        </w:rPr>
        <w:t xml:space="preserve"> </w:t>
      </w:r>
      <w:r w:rsidR="00BC2CCF" w:rsidRPr="000217C7">
        <w:rPr>
          <w:color w:val="000000" w:themeColor="text1"/>
        </w:rPr>
        <w:fldChar w:fldCharType="begin"/>
      </w:r>
      <w:r w:rsidR="003F3C87" w:rsidRPr="000217C7">
        <w:rPr>
          <w:color w:val="000000" w:themeColor="text1"/>
        </w:rPr>
        <w:instrText xml:space="preserve"> ADDIN ZOTERO_ITEM CSL_CITATION {"citationID":"Mlda0TDB","properties":{"formattedCitation":"(Werthmann et al., 2015)","plainCitation":"(Werthmann et al., 2015)","noteIndex":0},"citationItems":[{"id":328,"uris":["http://zotero.org/users/local/ukz7dhIj/items/8INVCHME"],"uri":["http://zotero.org/users/local/ukz7dhIj/items/8INVCHME"],"itemData":{"id":328,"type":"article-journal","abstract":"Living in an 'obesogenic' environment poses a serious challenge for weight maintenance. However, many people are able to maintain a healthy weight indicating that not everybody is equally susceptible to the temptations of this food environment. The way in which someone perceives and reacts to food cues, that is, cognitive processes, could underlie differences in susceptibility. An attention bias for food could be such a cognitive factor that contributes to overeating. However, an attention bias for food has also been implicated with restrained eating and eating-disorder symptomatology. The primary aim of the present review was to determine whether an attention bias for food is specifically related to obesity while also reviewing evidence for attention biases in eating-disorder patients, restrained eaters and healthy-weight individuals. Another aim was to systematically examine how selective attention for food relates (causally) to eating behaviour. Current empirical evidence on attention bias for food within obese samples, eating-disorder patients, and, even though to a lesser extent, in restrained eaters is contradictory. However, present experimental studies provide relatively consistent evidence that an attention bias for food contributes to subsequent food intake. This review highlights the need to distinguish not only between different (temporal) attention bias components, but also to take different motivations (craving v. worry) and their impact on attentional processing into account. Overall, the current state of research suggests that biased attention could be one important cognitive mechanism by which the food environment tempts us into overeating.","container-title":"The Proceedings of the Nutrition Society","DOI":"10.1017/S0029665114001451","ISSN":"1475-2719","issue":"2","journalAbbreviation":"Proc Nutr Soc","language":"eng","note":"PMID: 25311212","page":"99-114","source":"PubMed","title":"Worry or craving? A selective review of evidence for food-related attention biases in obese individuals, eating-disorder patients, restrained eaters and healthy samples","title-short":"Worry or craving?","volume":"74","author":[{"family":"Werthmann","given":"Jessica"},{"family":"Jansen","given":"Anita"},{"family":"Roefs","given":"Anne"}],"issued":{"date-parts":[["2015",5]]}}}],"schema":"https://github.com/citation-style-language/schema/raw/master/csl-citation.json"} </w:instrText>
      </w:r>
      <w:r w:rsidR="00BC2CCF" w:rsidRPr="000217C7">
        <w:rPr>
          <w:color w:val="000000" w:themeColor="text1"/>
        </w:rPr>
        <w:fldChar w:fldCharType="separate"/>
      </w:r>
      <w:r w:rsidR="009F4722" w:rsidRPr="000217C7">
        <w:rPr>
          <w:noProof/>
          <w:color w:val="000000" w:themeColor="text1"/>
        </w:rPr>
        <w:t>(Werthmann et al., 2015)</w:t>
      </w:r>
      <w:r w:rsidR="00BC2CCF" w:rsidRPr="000217C7">
        <w:rPr>
          <w:color w:val="000000" w:themeColor="text1"/>
        </w:rPr>
        <w:fldChar w:fldCharType="end"/>
      </w:r>
      <w:r w:rsidR="00AC36AE" w:rsidRPr="000217C7">
        <w:rPr>
          <w:rFonts w:eastAsia="Times New Roman"/>
          <w:color w:val="000000" w:themeColor="text1"/>
          <w:shd w:val="clear" w:color="auto" w:fill="FFFFFF"/>
        </w:rPr>
        <w:t>. This approach</w:t>
      </w:r>
      <w:r w:rsidR="009F4722" w:rsidRPr="000217C7">
        <w:rPr>
          <w:rFonts w:eastAsia="Times New Roman"/>
          <w:color w:val="000000" w:themeColor="text1"/>
          <w:shd w:val="clear" w:color="auto" w:fill="FFFFFF"/>
        </w:rPr>
        <w:t>/</w:t>
      </w:r>
      <w:r w:rsidR="00AC36AE" w:rsidRPr="000217C7">
        <w:rPr>
          <w:rFonts w:eastAsia="Times New Roman"/>
          <w:color w:val="000000" w:themeColor="text1"/>
          <w:shd w:val="clear" w:color="auto" w:fill="FFFFFF"/>
        </w:rPr>
        <w:t xml:space="preserve">avoidance </w:t>
      </w:r>
      <w:r w:rsidR="009F4722" w:rsidRPr="000217C7">
        <w:rPr>
          <w:rFonts w:eastAsia="Times New Roman"/>
          <w:color w:val="000000" w:themeColor="text1"/>
          <w:shd w:val="clear" w:color="auto" w:fill="FFFFFF"/>
        </w:rPr>
        <w:t>behavior</w:t>
      </w:r>
      <w:r w:rsidR="00AC36AE" w:rsidRPr="000217C7">
        <w:rPr>
          <w:rFonts w:eastAsia="Times New Roman"/>
          <w:color w:val="000000" w:themeColor="text1"/>
          <w:shd w:val="clear" w:color="auto" w:fill="FFFFFF"/>
        </w:rPr>
        <w:t xml:space="preserve"> </w:t>
      </w:r>
      <w:r w:rsidR="006F7E25" w:rsidRPr="000217C7">
        <w:rPr>
          <w:rFonts w:eastAsia="Times New Roman"/>
          <w:color w:val="000000" w:themeColor="text1"/>
          <w:shd w:val="clear" w:color="auto" w:fill="FFFFFF"/>
        </w:rPr>
        <w:t>suggest</w:t>
      </w:r>
      <w:r w:rsidR="000C742F" w:rsidRPr="000217C7">
        <w:rPr>
          <w:rFonts w:eastAsia="Times New Roman"/>
          <w:color w:val="000000" w:themeColor="text1"/>
          <w:shd w:val="clear" w:color="auto" w:fill="FFFFFF"/>
        </w:rPr>
        <w:t>s</w:t>
      </w:r>
      <w:r w:rsidR="006F7E25" w:rsidRPr="000217C7">
        <w:rPr>
          <w:rFonts w:eastAsia="Times New Roman"/>
          <w:color w:val="000000" w:themeColor="text1"/>
          <w:shd w:val="clear" w:color="auto" w:fill="FFFFFF"/>
        </w:rPr>
        <w:t xml:space="preserve"> that</w:t>
      </w:r>
      <w:r w:rsidR="00AC36AE" w:rsidRPr="000217C7">
        <w:rPr>
          <w:rFonts w:eastAsia="Times New Roman"/>
          <w:color w:val="000000" w:themeColor="text1"/>
          <w:shd w:val="clear" w:color="auto" w:fill="FFFFFF"/>
        </w:rPr>
        <w:t xml:space="preserve"> an </w:t>
      </w:r>
      <w:r w:rsidR="009F4722" w:rsidRPr="000217C7">
        <w:rPr>
          <w:rFonts w:eastAsia="Times New Roman"/>
          <w:color w:val="000000" w:themeColor="text1"/>
          <w:shd w:val="clear" w:color="auto" w:fill="FFFFFF"/>
        </w:rPr>
        <w:t xml:space="preserve">initial </w:t>
      </w:r>
      <w:r w:rsidR="00AC36AE" w:rsidRPr="000217C7">
        <w:rPr>
          <w:rFonts w:eastAsia="Times New Roman"/>
          <w:color w:val="000000" w:themeColor="text1"/>
          <w:shd w:val="clear" w:color="auto" w:fill="FFFFFF"/>
        </w:rPr>
        <w:t xml:space="preserve">automatic attentional </w:t>
      </w:r>
      <w:r w:rsidR="009F4722" w:rsidRPr="000217C7">
        <w:rPr>
          <w:rFonts w:eastAsia="Times New Roman"/>
          <w:color w:val="000000" w:themeColor="text1"/>
          <w:shd w:val="clear" w:color="auto" w:fill="FFFFFF"/>
        </w:rPr>
        <w:t xml:space="preserve">engagement of attention in </w:t>
      </w:r>
      <w:r w:rsidR="00AC36AE" w:rsidRPr="000217C7">
        <w:rPr>
          <w:rFonts w:eastAsia="Times New Roman"/>
          <w:color w:val="000000" w:themeColor="text1"/>
          <w:shd w:val="clear" w:color="auto" w:fill="FFFFFF"/>
        </w:rPr>
        <w:t xml:space="preserve">food </w:t>
      </w:r>
      <w:r w:rsidR="009F4722" w:rsidRPr="000217C7">
        <w:rPr>
          <w:rFonts w:eastAsia="Times New Roman"/>
          <w:color w:val="000000" w:themeColor="text1"/>
          <w:shd w:val="clear" w:color="auto" w:fill="FFFFFF"/>
        </w:rPr>
        <w:t>observation</w:t>
      </w:r>
      <w:r w:rsidR="006F7E25" w:rsidRPr="000217C7">
        <w:rPr>
          <w:rFonts w:eastAsia="Times New Roman"/>
          <w:color w:val="000000" w:themeColor="text1"/>
          <w:shd w:val="clear" w:color="auto" w:fill="FFFFFF"/>
        </w:rPr>
        <w:t xml:space="preserve"> is then </w:t>
      </w:r>
      <w:r w:rsidR="009F4722" w:rsidRPr="000217C7">
        <w:rPr>
          <w:rFonts w:eastAsia="Times New Roman"/>
          <w:color w:val="000000" w:themeColor="text1"/>
          <w:shd w:val="clear" w:color="auto" w:fill="FFFFFF"/>
        </w:rPr>
        <w:t>followed by a</w:t>
      </w:r>
      <w:r w:rsidR="00AC36AE" w:rsidRPr="000217C7">
        <w:rPr>
          <w:rFonts w:eastAsia="Times New Roman"/>
          <w:color w:val="000000" w:themeColor="text1"/>
          <w:shd w:val="clear" w:color="auto" w:fill="FFFFFF"/>
        </w:rPr>
        <w:t xml:space="preserve"> later top-down driven food avoidance, </w:t>
      </w:r>
      <w:r w:rsidR="000C742F" w:rsidRPr="000217C7">
        <w:rPr>
          <w:rFonts w:eastAsia="Times New Roman"/>
          <w:color w:val="000000" w:themeColor="text1"/>
          <w:shd w:val="clear" w:color="auto" w:fill="FFFFFF"/>
        </w:rPr>
        <w:t>reflecting</w:t>
      </w:r>
      <w:r w:rsidR="00AC36AE" w:rsidRPr="000217C7">
        <w:rPr>
          <w:rFonts w:eastAsia="Times New Roman"/>
          <w:color w:val="000000" w:themeColor="text1"/>
          <w:shd w:val="clear" w:color="auto" w:fill="FFFFFF"/>
        </w:rPr>
        <w:t xml:space="preserve"> </w:t>
      </w:r>
      <w:r w:rsidR="00970629" w:rsidRPr="000217C7">
        <w:rPr>
          <w:rFonts w:eastAsia="Times New Roman"/>
          <w:color w:val="000000" w:themeColor="text1"/>
          <w:shd w:val="clear" w:color="auto" w:fill="FFFFFF"/>
        </w:rPr>
        <w:t xml:space="preserve">different alterations </w:t>
      </w:r>
      <w:r w:rsidR="000C742F" w:rsidRPr="000217C7">
        <w:rPr>
          <w:rFonts w:eastAsia="Times New Roman"/>
          <w:color w:val="000000" w:themeColor="text1"/>
          <w:shd w:val="clear" w:color="auto" w:fill="FFFFFF"/>
        </w:rPr>
        <w:t xml:space="preserve">involving </w:t>
      </w:r>
      <w:r w:rsidR="00AC36AE" w:rsidRPr="000217C7">
        <w:rPr>
          <w:rFonts w:eastAsia="Times New Roman"/>
          <w:color w:val="000000" w:themeColor="text1"/>
          <w:shd w:val="clear" w:color="auto" w:fill="FFFFFF"/>
        </w:rPr>
        <w:t xml:space="preserve">early and late attentional components </w:t>
      </w:r>
      <w:r w:rsidR="00BC2CCF" w:rsidRPr="000217C7">
        <w:rPr>
          <w:rFonts w:eastAsia="Times New Roman"/>
          <w:color w:val="000000" w:themeColor="text1"/>
          <w:shd w:val="clear" w:color="auto" w:fill="FFFFFF"/>
        </w:rPr>
        <w:fldChar w:fldCharType="begin"/>
      </w:r>
      <w:r w:rsidR="009456C2" w:rsidRPr="000217C7">
        <w:rPr>
          <w:rFonts w:eastAsia="Times New Roman"/>
          <w:color w:val="000000" w:themeColor="text1"/>
          <w:shd w:val="clear" w:color="auto" w:fill="FFFFFF"/>
        </w:rPr>
        <w:instrText xml:space="preserve"> ADDIN ZOTERO_ITEM CSL_CITATION {"citationID":"CTBctmm7","properties":{"formattedCitation":"(Kemps and Tiggemann, 2015; Veenstra et al., 2010; Werthmann et al., 2015)","plainCitation":"(Kemps and Tiggemann, 2015; Veenstra et al., 2010; Werthmann et al., 2015)","noteIndex":0},"citationItems":[{"id":1890,"uris":["http://zotero.org/users/local/ukz7dhIj/items/ASE2JUXW"],"uri":["http://zotero.org/users/local/ukz7dhIj/items/ASE2JUXW"],"itemData":{"id":1890,"type":"article-journal","abstract":"This study aimed to investigate the existence of an approach bias for food cues in obese individuals. A community sample of 56 obese women and 56 normal weight controls completed an approach–avoidance variant of the implicit association task. The obese participants were faster to respond to trials that paired food words with approach words, and trials that paired non-food words with avoid words, than the converse pairings, thus, demonstrating an approach bias for food. This bias was evident for both high caloric and low caloric food words, and was not attributable to a state of deprivation or feelings of hunger. By contrast, the normal weight controls did not show any such bias. The results are consistent with recent neurocognitive perspectives of obesity. At a practical level, approach biases for food may present a potential target for modifying (excessive) food intake.","container-title":"Psychology &amp; Health","DOI":"10.1080/08870446.2014.974605","ISSN":"0887-0446","issue":"3","note":"PMID: 25307785","page":"370-380","source":"Taylor and Francis+NEJM","title":"Approach bias for food cues in obese individuals","volume":"30","author":[{"family":"Kemps","given":"Eva"},{"family":"Tiggemann","given":"Marika"}],"issued":{"date-parts":[["2015",3,4]]}}},{"id":575,"uris":["http://zotero.org/users/local/ukz7dhIj/items/DE4ISMDZ"],"uri":["http://zotero.org/users/local/ukz7dhIj/items/DE4ISMDZ"],"itemData":{"id":575,"type":"article-journal","abstract":"Using the exogenous cueing task, this study examined whether restrained and disinhibited eaters differ in their orientation of attention towards and their difficulty to disengage from high versus low-fat food pictures in a relatively short (500 ms) and a long presentation format (1500 ms). Overall, participants in the 500 ms condition showed a tendency to direct attention away from high-fat food pictures compared to neutral pictures. No differential pattern was evident for the 1500 ms condition. Correlational analysis revealed that reduced engagement with high-fat food was particularly pronounced for disinhibited eaters. Although in the short term this seems an adaptive strategy, it may eventually become counterproductive, as it could hinder habituation and learning to cope with seductive characteristics of high-fat food.","container-title":"Journal of Behavior Therapy and Experimental Psychiatry","DOI":"10.1016/j.jbtep.2010.02.006","ISSN":"1873-7943","issue":"3","journalAbbreviation":"J Behav Ther Exp Psychiatry","language":"eng","note":"PMID: 20223451","page":"282-288","source":"PubMed","title":"Attentional avoidance of high-fat food in unsuccessful dieters","volume":"41","author":[{"family":"Veenstra","given":"Esther M."},{"family":"Jong","given":"Peter J.","non-dropping-particle":"de"},{"family":"Koster","given":"Ernst H. W."},{"family":"Roefs","given":"Anne"}],"issued":{"date-parts":[["2010",9]]}}},{"id":328,"uris":["http://zotero.org/users/local/ukz7dhIj/items/8INVCHME"],"uri":["http://zotero.org/users/local/ukz7dhIj/items/8INVCHME"],"itemData":{"id":328,"type":"article-journal","abstract":"Living in an 'obesogenic' environment poses a serious challenge for weight maintenance. However, many people are able to maintain a healthy weight indicating that not everybody is equally susceptible to the temptations of this food environment. The way in which someone perceives and reacts to food cues, that is, cognitive processes, could underlie differences in susceptibility. An attention bias for food could be such a cognitive factor that contributes to overeating. However, an attention bias for food has also been implicated with restrained eating and eating-disorder symptomatology. The primary aim of the present review was to determine whether an attention bias for food is specifically related to obesity while also reviewing evidence for attention biases in eating-disorder patients, restrained eaters and healthy-weight individuals. Another aim was to systematically examine how selective attention for food relates (causally) to eating behaviour. Current empirical evidence on attention bias for food within obese samples, eating-disorder patients, and, even though to a lesser extent, in restrained eaters is contradictory. However, present experimental studies provide relatively consistent evidence that an attention bias for food contributes to subsequent food intake. This review highlights the need to distinguish not only between different (temporal) attention bias components, but also to take different motivations (craving v. worry) and their impact on attentional processing into account. Overall, the current state of research suggests that biased attention could be one important cognitive mechanism by which the food environment tempts us into overeating.","container-title":"The Proceedings of the Nutrition Society","DOI":"10.1017/S0029665114001451","ISSN":"1475-2719","issue":"2","journalAbbreviation":"Proc Nutr Soc","language":"eng","note":"PMID: 25311212","page":"99-114","source":"PubMed","title":"Worry or craving? A selective review of evidence for food-related attention biases in obese individuals, eating-disorder patients, restrained eaters and healthy samples","title-short":"Worry or craving?","volume":"74","author":[{"family":"Werthmann","given":"Jessica"},{"family":"Jansen","given":"Anita"},{"family":"Roefs","given":"Anne"}],"issued":{"date-parts":[["2015",5]]}}}],"schema":"https://github.com/citation-style-language/schema/raw/master/csl-citation.json"} </w:instrText>
      </w:r>
      <w:r w:rsidR="00BC2CCF" w:rsidRPr="000217C7">
        <w:rPr>
          <w:rFonts w:eastAsia="Times New Roman"/>
          <w:color w:val="000000" w:themeColor="text1"/>
          <w:shd w:val="clear" w:color="auto" w:fill="FFFFFF"/>
        </w:rPr>
        <w:fldChar w:fldCharType="separate"/>
      </w:r>
      <w:r w:rsidR="009456C2" w:rsidRPr="000217C7">
        <w:rPr>
          <w:rFonts w:eastAsia="Times New Roman"/>
          <w:noProof/>
          <w:color w:val="000000" w:themeColor="text1"/>
          <w:shd w:val="clear" w:color="auto" w:fill="FFFFFF"/>
        </w:rPr>
        <w:t>(Kemps and Tiggemann, 2015; Veenstra et al., 2010; Werthmann et al., 2015)</w:t>
      </w:r>
      <w:r w:rsidR="00BC2CCF" w:rsidRPr="000217C7">
        <w:rPr>
          <w:rFonts w:eastAsia="Times New Roman"/>
          <w:color w:val="000000" w:themeColor="text1"/>
          <w:shd w:val="clear" w:color="auto" w:fill="FFFFFF"/>
        </w:rPr>
        <w:fldChar w:fldCharType="end"/>
      </w:r>
      <w:r w:rsidR="004A6B87" w:rsidRPr="000217C7">
        <w:rPr>
          <w:rFonts w:eastAsia="Times New Roman"/>
          <w:color w:val="000000" w:themeColor="text1"/>
          <w:shd w:val="clear" w:color="auto" w:fill="FFFFFF"/>
        </w:rPr>
        <w:t>.</w:t>
      </w:r>
      <w:r w:rsidR="00240946" w:rsidRPr="000217C7">
        <w:rPr>
          <w:color w:val="000000" w:themeColor="text1"/>
          <w:lang w:val="en-GB"/>
        </w:rPr>
        <w:t xml:space="preserve"> Th</w:t>
      </w:r>
      <w:r w:rsidR="000C742F" w:rsidRPr="000217C7">
        <w:rPr>
          <w:color w:val="000000" w:themeColor="text1"/>
          <w:lang w:val="en-GB"/>
        </w:rPr>
        <w:t>e</w:t>
      </w:r>
      <w:r w:rsidR="00240946" w:rsidRPr="000217C7">
        <w:rPr>
          <w:color w:val="000000" w:themeColor="text1"/>
          <w:lang w:val="en-GB"/>
        </w:rPr>
        <w:t xml:space="preserve"> early attentional capture could be one of the causes leading to obesity, as </w:t>
      </w:r>
      <w:r w:rsidR="002306CC" w:rsidRPr="000217C7">
        <w:rPr>
          <w:color w:val="000000" w:themeColor="text1"/>
          <w:lang w:val="en-GB"/>
        </w:rPr>
        <w:t xml:space="preserve">an </w:t>
      </w:r>
      <w:r w:rsidR="00240946" w:rsidRPr="000217C7">
        <w:rPr>
          <w:color w:val="000000" w:themeColor="text1"/>
          <w:lang w:val="en-GB"/>
        </w:rPr>
        <w:t xml:space="preserve">early attentional </w:t>
      </w:r>
      <w:r w:rsidR="00240946" w:rsidRPr="000217C7">
        <w:rPr>
          <w:rFonts w:eastAsia="Times New Roman" w:cs="Times New Roman"/>
          <w:color w:val="000000" w:themeColor="text1"/>
          <w:lang w:eastAsia="en-GB"/>
        </w:rPr>
        <w:t xml:space="preserve">bias toward unhealthy foods is predictive of an increase in BMI </w:t>
      </w:r>
      <w:r w:rsidR="00BC2CCF" w:rsidRPr="000217C7">
        <w:rPr>
          <w:rFonts w:eastAsia="Times New Roman" w:cs="Times New Roman"/>
          <w:color w:val="000000" w:themeColor="text1"/>
          <w:lang w:eastAsia="en-GB"/>
        </w:rPr>
        <w:fldChar w:fldCharType="begin"/>
      </w:r>
      <w:r w:rsidR="00240946" w:rsidRPr="000217C7">
        <w:rPr>
          <w:rFonts w:eastAsia="Times New Roman" w:cs="Times New Roman"/>
          <w:color w:val="000000" w:themeColor="text1"/>
          <w:lang w:eastAsia="en-GB"/>
        </w:rPr>
        <w:instrText xml:space="preserve"> ADDIN ZOTERO_ITEM CSL_CITATION {"citationID":"kdknOETS","properties":{"formattedCitation":"(Calitri et al., 2010)","plainCitation":"(Calitri et al., 2010)","noteIndex":0},"citationItems":[{"id":1881,"uris":["http://zotero.org/users/local/ukz7dhIj/items/G6QWBZUQ"],"uri":["http://zotero.org/users/local/ukz7dhIj/items/G6QWBZUQ"],"itemData":{"id":1881,"type":"article-journal","abstract":"The current study explored the predictive value of cognitive biases to food cues (assessed by emotional Stroop and dot probe tasks) on weight change over a 1-year period. This was a longitudinal study with undergraduate students (N = 102) living in shared student accommodation. After controlling for the effects of variables associated with weight (e.g., physical activity, stress, restrained eating, external eating, and emotional eating), no effects of cognitive bias were found with the dot probe. However, for the emotional Stroop, cognitive bias to unhealthy foods predicted an increase in BMI whereas cognitive bias to healthy foods was associated with a decrease in BMI. Results parallel findings in substance abuse research; cognitive biases appear to predict behavior change. Accordingly, future research should consider strategies for attentional retraining, encouraging individuals to reorient attention away from unhealthy eating cues.","container-title":"Obesity (Silver Spring, Md.)","DOI":"10.1038/oby.2010.78","ISSN":"1930-739X","issue":"12","journalAbbreviation":"Obesity (Silver Spring)","language":"eng","note":"PMID: 20379149","page":"2282-2287","source":"PubMed","title":"Cognitive biases to healthy and unhealthy food words predict change in BMI","volume":"18","author":[{"family":"Calitri","given":"Raff"},{"family":"Pothos","given":"Emmanuel M."},{"family":"Tapper","given":"Katy"},{"family":"Brunstrom","given":"Jeffrey M."},{"family":"Rogers","given":"Peter J."}],"issued":{"date-parts":[["2010",12]]}}}],"schema":"https://github.com/citation-style-language/schema/raw/master/csl-citation.json"} </w:instrText>
      </w:r>
      <w:r w:rsidR="00BC2CCF" w:rsidRPr="000217C7">
        <w:rPr>
          <w:rFonts w:eastAsia="Times New Roman" w:cs="Times New Roman"/>
          <w:color w:val="000000" w:themeColor="text1"/>
          <w:lang w:eastAsia="en-GB"/>
        </w:rPr>
        <w:fldChar w:fldCharType="separate"/>
      </w:r>
      <w:r w:rsidR="00240946" w:rsidRPr="000217C7">
        <w:rPr>
          <w:rFonts w:eastAsia="Times New Roman" w:cs="Times New Roman"/>
          <w:noProof/>
          <w:color w:val="000000" w:themeColor="text1"/>
          <w:lang w:eastAsia="en-GB"/>
        </w:rPr>
        <w:t>(Calitri et al., 2010)</w:t>
      </w:r>
      <w:r w:rsidR="00BC2CCF" w:rsidRPr="000217C7">
        <w:rPr>
          <w:rFonts w:eastAsia="Times New Roman" w:cs="Times New Roman"/>
          <w:color w:val="000000" w:themeColor="text1"/>
          <w:lang w:eastAsia="en-GB"/>
        </w:rPr>
        <w:fldChar w:fldCharType="end"/>
      </w:r>
      <w:r w:rsidR="00240946" w:rsidRPr="000217C7">
        <w:rPr>
          <w:rFonts w:eastAsia="Times New Roman" w:cs="Times New Roman"/>
          <w:color w:val="000000" w:themeColor="text1"/>
          <w:lang w:eastAsia="en-GB"/>
        </w:rPr>
        <w:t>, while</w:t>
      </w:r>
      <w:r w:rsidR="00240946" w:rsidRPr="000217C7">
        <w:rPr>
          <w:color w:val="000000" w:themeColor="text1"/>
          <w:lang w:val="en-GB"/>
        </w:rPr>
        <w:t xml:space="preserve"> attentional re-training has been shown to reduce attentional bias and consumption of high-calorie food </w:t>
      </w:r>
      <w:r w:rsidR="00BC2CCF" w:rsidRPr="000217C7">
        <w:rPr>
          <w:color w:val="000000" w:themeColor="text1"/>
          <w:lang w:val="en-GB"/>
        </w:rPr>
        <w:fldChar w:fldCharType="begin"/>
      </w:r>
      <w:r w:rsidR="009456C2" w:rsidRPr="000217C7">
        <w:rPr>
          <w:color w:val="000000" w:themeColor="text1"/>
          <w:lang w:val="en-GB"/>
        </w:rPr>
        <w:instrText xml:space="preserve"> ADDIN ZOTERO_ITEM CSL_CITATION {"citationID":"AY1O7RHy","properties":{"formattedCitation":"(Zhang et al., 2018)","plainCitation":"(Zhang et al., 2018)","noteIndex":0},"citationItems":[{"id":2262,"uris":["http://zotero.org/users/local/ukz7dhIj/items/ZGQ8KCTS"],"uri":["http://zotero.org/users/local/ukz7dhIj/items/ZGQ8KCTS"],"itemData":{"id":2262,"type":"article-journal","abstract":"In individuals with healthy weight and overweight, the level of food cravings experienced is closely related to the individual's attentional bias to food cues. Furthermore, an attentional bias toward food cues, especially high-calorie food cues, is often accompanied by poor eating habits, overweight or obesity, eating disorders, and other problems. Therefore, this study aimed to explore the effect of attentional bias modification on the eating behavior of women craving high-calorie food. Sixty-five female college students with a high level of craving for high-calorie foods were randomly assigned to a training group (attended to images of low-calorie food) and a control group (attended equally to images of high- and low-calorie food). An attentional re-training paradigm was used in the training session to modify the participants' attentional bias to these food cues. Compared to the control group, attentional bias to high-calorie food cues in the training group was significantly reduced after training (p &lt; 0.05). The training group consumed less high-calorie food and more low-calorie food than the control group (p &lt; 0.05) in a post-training taste test. However, there was no significant difference between the groups in their level of food cravings (p &gt; 0.05). These findings suggest that attentional bias modification training is a promising brief intervention to improve eating behavior and develop healthy eating habits.","container-title":"Appetite","DOI":"10.1016/j.appet.2018.07.004","ISSN":"1095-8304","journalAbbreviation":"Appetite","language":"eng","note":"PMID: 29981804","page":"135-142","source":"PubMed","title":"The effect of attentional bias modification on eating behavior among women craving high-calorie food","volume":"129","author":[{"family":"Zhang","given":"Shuang"},{"family":"Cui","given":"Lixia"},{"family":"Sun","given":"Xiaoxi"},{"family":"Zhang","given":"Qin"}],"issued":{"date-parts":[["2018"]],"season":"01"}}}],"schema":"https://github.com/citation-style-language/schema/raw/master/csl-citation.json"} </w:instrText>
      </w:r>
      <w:r w:rsidR="00BC2CCF" w:rsidRPr="000217C7">
        <w:rPr>
          <w:color w:val="000000" w:themeColor="text1"/>
          <w:lang w:val="en-GB"/>
        </w:rPr>
        <w:fldChar w:fldCharType="separate"/>
      </w:r>
      <w:r w:rsidR="009456C2" w:rsidRPr="000217C7">
        <w:rPr>
          <w:noProof/>
          <w:color w:val="000000" w:themeColor="text1"/>
          <w:lang w:val="en-GB"/>
        </w:rPr>
        <w:t>(Zhang et al., 2018)</w:t>
      </w:r>
      <w:r w:rsidR="00BC2CCF" w:rsidRPr="000217C7">
        <w:rPr>
          <w:color w:val="000000" w:themeColor="text1"/>
          <w:lang w:val="en-GB"/>
        </w:rPr>
        <w:fldChar w:fldCharType="end"/>
      </w:r>
      <w:r w:rsidR="00240946" w:rsidRPr="000217C7">
        <w:rPr>
          <w:color w:val="000000" w:themeColor="text1"/>
          <w:lang w:val="en-GB"/>
        </w:rPr>
        <w:t>.</w:t>
      </w:r>
    </w:p>
    <w:p w14:paraId="789E62B1" w14:textId="7CA1515B" w:rsidR="007B4A16" w:rsidRPr="000217C7" w:rsidRDefault="00504B94" w:rsidP="00E941C9">
      <w:pPr>
        <w:rPr>
          <w:color w:val="000000" w:themeColor="text1"/>
        </w:rPr>
      </w:pPr>
      <w:r w:rsidRPr="000217C7">
        <w:rPr>
          <w:rFonts w:eastAsia="Times New Roman"/>
          <w:color w:val="000000" w:themeColor="text1"/>
          <w:shd w:val="clear" w:color="auto" w:fill="FFFFFF"/>
        </w:rPr>
        <w:t xml:space="preserve"> </w:t>
      </w:r>
      <w:r w:rsidR="008858B8" w:rsidRPr="000217C7">
        <w:rPr>
          <w:color w:val="000000" w:themeColor="text1"/>
          <w:lang w:val="en-GB"/>
        </w:rPr>
        <w:t>Crucially, s</w:t>
      </w:r>
      <w:r w:rsidR="00E95B9B" w:rsidRPr="000217C7">
        <w:rPr>
          <w:color w:val="000000" w:themeColor="text1"/>
          <w:lang w:val="en-GB"/>
        </w:rPr>
        <w:t>alient stimuli in the environment are detected and processed even when they are presented subliminally</w:t>
      </w:r>
      <w:r w:rsidR="008858B8" w:rsidRPr="000217C7">
        <w:rPr>
          <w:color w:val="000000" w:themeColor="text1"/>
          <w:lang w:val="en-GB"/>
        </w:rPr>
        <w:t xml:space="preserve"> </w:t>
      </w:r>
      <w:r w:rsidR="00BC2CCF" w:rsidRPr="000217C7">
        <w:rPr>
          <w:color w:val="000000" w:themeColor="text1"/>
          <w:lang w:val="en-GB"/>
        </w:rPr>
        <w:fldChar w:fldCharType="begin"/>
      </w:r>
      <w:r w:rsidR="00E95B9B" w:rsidRPr="000217C7">
        <w:rPr>
          <w:color w:val="000000" w:themeColor="text1"/>
          <w:lang w:val="en-GB"/>
        </w:rPr>
        <w:instrText xml:space="preserve"> ADDIN ZOTERO_ITEM CSL_CITATION {"citationID":"U0vwY6VZ","properties":{"formattedCitation":"(Bogler et al., 2011; Schmack et al., 2016; Straube et al., 2006)","plainCitation":"(Bogler et al., 2011; Schmack et al., 2016; Straube et al., 2006)","noteIndex":0},"citationItems":[{"id":2159,"uris":["http://zotero.org/users/local/ukz7dhIj/items/PYXH5GM3"],"uri":["http://zotero.org/users/local/ukz7dhIj/items/PYXH5GM3"],"itemData":{"id":2159,"type":"article-journal","abstract":"An important requirement for vision is to identify interesting and relevant regions of the environment for further processing. Some models assume that salient locations from a visual scene are encoded in a dedicated spatial saliency map [1, 2]. Then, a winner-take-all (WTA) mechanism [1, 2] is often believed to threshold the graded saliency representation and identify the most salient position in the visual field. Here we aimed to assess whether neural representations of graded saliency and the subsequent WTA mechanism can be dissociated. We presented images of natural scenes while subjects were in a scanner performing a demanding fixation task, and thus their attention was directed away. Signals in early visual cortex and posterior intraparietal sulcus (IPS) correlated with graded saliency as defined by a computational saliency model. Multivariate pattern classification [3, 4] revealed that the most salient position in the visual field was encoded in anterior IPS and frontal eye fields (FEF), thus reflecting a potential WTA stage. Our results thus confirm that graded saliency and WTA-thresholded saliency are encoded in distinct neural structures. This could provide the neural representation required for rapid and automatic orientation toward salient events in natural environments.","container-title":"Current Biology","DOI":"10.1016/j.cub.2011.08.039","ISSN":"0960-9822","issue":"19","journalAbbreviation":"Current Biology","language":"en","page":"1667-1671","source":"ScienceDirect","title":"Decoding Successive Computational Stages of Saliency Processing","volume":"21","author":[{"family":"Bogler","given":"Carsten"},{"family":"Bode","given":"Stefan"},{"family":"Haynes","given":"John-Dylan"}],"issued":{"date-parts":[["2011",10,11]]}}},{"id":112,"uris":["http://zotero.org/users/local/ukz7dhIj/items/QKSI2XUV"],"uri":["http://zotero.org/users/local/ukz7dhIj/items/QKSI2XUV"],"itemData":{"id":112,"type":"article-journal","abstract":"The affective value of a stimulus substantially influences its potency to gain\n                    access to awareness. Here, we sought to elucidate the neural mechanisms\n                    underlying such affective salience in a combined behavioral and fMRI experiment.\n                    Healthy individuals with varying degrees of spider phobia were presented with\n                    pictures of spiders and flowers suppressed from view by continuous flash\n                    suppression. Applying multivoxel pattern analysis, we found that the average\n                    time that spider stimuli took relative to flowers to gain access to awareness in\n                    each participant could be decoded from fMRI signals evoked by suppressed spider\n                    versus flower stimuli in occipitotemporal and orbitofrontal cortex. Our results\n                    indicate neural signals during unconscious processing of complex visual\n                    information in orbitofrontal and ventral visual areas predict access to\n                    awareness of this information, suggesting a crucial role for these higher-level\n                    cortical regions in mediating affective salience.","container-title":"Cerebral Cortex","DOI":"10.1093/cercor/bhv174","ISSN":"1047-3211","issue":"8","journalAbbreviation":"Cereb Cortex","page":"3453-3460","source":"academic.oup.com","title":"Predicting Subjective Affective Salience from Cortical Responses to Invisible Object Stimuli","volume":"26","author":[{"family":"Schmack","given":"Katharina"},{"family":"Burk","given":"Julia"},{"family":"Haynes","given":"John-Dylan"},{"family":"Sterzer","given":"Philipp"}],"issued":{"date-parts":[["2016",8,1]]}}},{"id":2157,"uris":["http://zotero.org/users/local/ukz7dhIj/items/F8V595AB"],"uri":["http://zotero.org/users/local/ukz7dhIj/items/F8V595AB"],"itemData":{"id":2157,"type":"article-journal","abstract":"Background\nThe study aimed to identify brain activation during direct and automatic processing of phobogenic stimuli in specific phobia.\nMethods\nResponses to phobia-related and neutral pictures (spiders and mushrooms) were measured by means of event-related functional magnetic resonance imaging during two different tasks. In the identification task, subjects were asked to identify the object (spider or mushroom). In a demanding distraction task, subjects had to match geometric figures displayed in the foreground of the pictures.\nResults\nPhobics showed greater responses to spiders versus mushrooms in the left amygdala, left insula, left anterior cingulate gyrus (ACC), and left dorsomedial prefrontal cortex (DMPFC) during the identification task and in the left and right amygdala during the distraction task. All of these activations were also significantly increased compared to control subjects who did not show stronger brain activation to spiders versus mushrooms under any task condition.\nConclusions\nOur findings propose specific neural correlates of automatic versus direct evaluation of phobia-relevant threat. While the amygdala, especially the right amygdala, seems to be crucially involved in automatic stimuli processing, activation of areas such as the insula, ACC and DMPFC is rather associated with direct threat evaluation and requires sufficient attentional resources.","container-title":"Biological Psychiatry","DOI":"10.1016/j.biopsych.2005.06.013","ISSN":"0006-3223","issue":"2","journalAbbreviation":"Biological Psychiatry","language":"en","page":"162-170","source":"ScienceDirect","title":"Neural Mechanisms of Automatic and Direct Processing of Phobogenic Stimuli in Specific Phobia","volume":"59","author":[{"family":"Straube","given":"Thomas"},{"family":"Mentzel","given":"Hans-Joachim"},{"family":"Miltner","given":"Wolfgang H. R."}],"issued":{"date-parts":[["2006",1,15]]}}}],"schema":"https://github.com/citation-style-language/schema/raw/master/csl-citation.json"} </w:instrText>
      </w:r>
      <w:r w:rsidR="00BC2CCF" w:rsidRPr="000217C7">
        <w:rPr>
          <w:color w:val="000000" w:themeColor="text1"/>
          <w:lang w:val="en-GB"/>
        </w:rPr>
        <w:fldChar w:fldCharType="separate"/>
      </w:r>
      <w:r w:rsidR="00E95B9B" w:rsidRPr="000217C7">
        <w:rPr>
          <w:noProof/>
          <w:color w:val="000000" w:themeColor="text1"/>
          <w:lang w:val="en-GB"/>
        </w:rPr>
        <w:t>(Bogler et al., 2011; Schmack et al., 2016; Straube et al., 2006)</w:t>
      </w:r>
      <w:r w:rsidR="00BC2CCF" w:rsidRPr="000217C7">
        <w:rPr>
          <w:color w:val="000000" w:themeColor="text1"/>
          <w:lang w:val="en-GB"/>
        </w:rPr>
        <w:fldChar w:fldCharType="end"/>
      </w:r>
      <w:r w:rsidR="00E95B9B" w:rsidRPr="000217C7">
        <w:rPr>
          <w:color w:val="000000" w:themeColor="text1"/>
          <w:lang w:val="en-GB"/>
        </w:rPr>
        <w:t>.</w:t>
      </w:r>
      <w:r w:rsidR="008858B8" w:rsidRPr="000217C7">
        <w:rPr>
          <w:color w:val="000000" w:themeColor="text1"/>
          <w:lang w:val="en-GB"/>
        </w:rPr>
        <w:t xml:space="preserve"> </w:t>
      </w:r>
      <w:r w:rsidR="00334191" w:rsidRPr="000217C7">
        <w:rPr>
          <w:color w:val="000000" w:themeColor="text1"/>
        </w:rPr>
        <w:t xml:space="preserve">Exposure to subliminal arousing stimuli has been shown to elicit activation of a network incorporating primary visual areas, somatosensory, implicit memory, and conflict monitoring regions, that has been proposed as a core neuronal arousal in the brain which may be at first independent of conscious processing </w:t>
      </w:r>
      <w:r w:rsidR="00E941C9" w:rsidRPr="000217C7">
        <w:rPr>
          <w:color w:val="000000" w:themeColor="text1"/>
          <w:lang w:val="en-GB"/>
        </w:rPr>
        <w:fldChar w:fldCharType="begin"/>
      </w:r>
      <w:r w:rsidR="000E1A07" w:rsidRPr="000217C7">
        <w:rPr>
          <w:color w:val="000000" w:themeColor="text1"/>
          <w:lang w:val="en-GB"/>
        </w:rPr>
        <w:instrText xml:space="preserve"> ADDIN ZOTERO_ITEM CSL_CITATION {"citationID":"a1firbrame","properties":{"formattedCitation":"(Brooks et al., 2012)","plainCitation":"(Brooks et al., 2012)","noteIndex":0},"citationItems":[{"id":2876,"uris":["http://zotero.org/users/local/ukz7dhIj/items/3GL4QFU3"],"uri":["http://zotero.org/users/local/ukz7dhIj/items/3GL4QFU3"],"itemData":{"id":2876,"type":"article-journal","abstract":"Functional Magnetic Resonance Imaging (fMRI) demonstrates that the subliminal presentation of arousing stimuli can activate subcortical brain regions independently of consciousness-generating top-down cortical modulation loops. Delineating these processes may elucidate mechanisms for arousal, aberration in which may underlie some psychiatric conditions. Here we are the first to review and discuss four Activation Likelihood Estimation (ALE) meta-analyses of fMRI studies using subliminal paradigms. We find a maximum of 9 out of 12 studies using subliminal presentation of faces contributing to activation of the amygdala, and also a significantly high number of studies reporting activation in the bilateral anterior cingulate, bilateral insular cortex, hippocampus and primary visual cortex. Subliminal faces are the strongest modality, whereas lexical stimuli are the weakest. Meta-analyses independent of studies using Regions of Interest (ROI) revealed no biasing effect. Core neuronal arousal in the brain, which may be at first independent of conscious processing, potentially involves a network incorporating primary visual areas, somatosensory, implicit memory and conflict monitoring regions. These data could provide candidate brain regions for the study of psychiatric disorders associated with aberrant automatic emotional processing.","container-title":"NeuroImage","DOI":"10.1016/j.neuroimage.2011.09.077","ISSN":"1095-9572","issue":"3","journalAbbreviation":"Neuroimage","language":"eng","note":"PMID: 22001789","page":"2962-2973","source":"PubMed","title":"Exposure to subliminal arousing stimuli induces robust activation in the amygdala, hippocampus, anterior cingulate, insular cortex and primary visual cortex: a systematic meta-analysis of fMRI studies","title-short":"Exposure to subliminal arousing stimuli induces robust activation in the amygdala, hippocampus, anterior cingulate, insular cortex and primary visual cortex","volume":"59","author":[{"family":"Brooks","given":"S. J."},{"family":"Savov","given":"V."},{"family":"Allzén","given":"E."},{"family":"Benedict","given":"C."},{"family":"Fredriksson","given":"R."},{"family":"Schiöth","given":"H. B."}],"issued":{"date-parts":[["2012",2,1]]}}}],"schema":"https://github.com/citation-style-language/schema/raw/master/csl-citation.json"} </w:instrText>
      </w:r>
      <w:r w:rsidR="00E941C9" w:rsidRPr="000217C7">
        <w:rPr>
          <w:color w:val="000000" w:themeColor="text1"/>
          <w:lang w:val="en-GB"/>
        </w:rPr>
        <w:fldChar w:fldCharType="separate"/>
      </w:r>
      <w:r w:rsidR="000E1A07" w:rsidRPr="000217C7">
        <w:rPr>
          <w:rFonts w:cs="Times New Roman"/>
          <w:color w:val="000000" w:themeColor="text1"/>
          <w:lang w:val="en-GB"/>
        </w:rPr>
        <w:t>(Brooks et al., 2012)</w:t>
      </w:r>
      <w:r w:rsidR="00E941C9" w:rsidRPr="000217C7">
        <w:rPr>
          <w:color w:val="000000" w:themeColor="text1"/>
          <w:lang w:val="en-GB"/>
        </w:rPr>
        <w:fldChar w:fldCharType="end"/>
      </w:r>
      <w:r w:rsidR="00E941C9" w:rsidRPr="000217C7">
        <w:rPr>
          <w:color w:val="000000" w:themeColor="text1"/>
          <w:lang w:val="en-GB"/>
        </w:rPr>
        <w:t xml:space="preserve">. </w:t>
      </w:r>
      <w:r w:rsidR="00624112" w:rsidRPr="000217C7">
        <w:rPr>
          <w:color w:val="000000" w:themeColor="text1"/>
          <w:lang w:val="en-GB"/>
        </w:rPr>
        <w:t>To date, o</w:t>
      </w:r>
      <w:r w:rsidR="00171249" w:rsidRPr="000217C7">
        <w:rPr>
          <w:color w:val="000000" w:themeColor="text1"/>
          <w:lang w:val="en-GB"/>
        </w:rPr>
        <w:t xml:space="preserve">nly </w:t>
      </w:r>
      <w:r w:rsidR="0093782D" w:rsidRPr="000217C7">
        <w:rPr>
          <w:color w:val="000000" w:themeColor="text1"/>
          <w:lang w:val="en-GB"/>
        </w:rPr>
        <w:t xml:space="preserve">a few studies have investigated </w:t>
      </w:r>
      <w:r w:rsidR="00B5307A" w:rsidRPr="000217C7">
        <w:rPr>
          <w:color w:val="000000" w:themeColor="text1"/>
          <w:lang w:val="en-GB"/>
        </w:rPr>
        <w:t xml:space="preserve">whether </w:t>
      </w:r>
      <w:r w:rsidR="00FA2401" w:rsidRPr="000217C7">
        <w:rPr>
          <w:rFonts w:eastAsia="Times New Roman"/>
          <w:color w:val="000000" w:themeColor="text1"/>
          <w:shd w:val="clear" w:color="auto" w:fill="FFFFFF"/>
        </w:rPr>
        <w:t xml:space="preserve">individuals with </w:t>
      </w:r>
      <w:r w:rsidR="008858B8" w:rsidRPr="000217C7">
        <w:rPr>
          <w:rFonts w:eastAsia="Times New Roman"/>
          <w:color w:val="000000" w:themeColor="text1"/>
          <w:shd w:val="clear" w:color="auto" w:fill="FFFFFF"/>
        </w:rPr>
        <w:t>o</w:t>
      </w:r>
      <w:r w:rsidR="00302A97" w:rsidRPr="000217C7">
        <w:rPr>
          <w:color w:val="000000" w:themeColor="text1"/>
        </w:rPr>
        <w:t>verweight/</w:t>
      </w:r>
      <w:r w:rsidR="009F4722" w:rsidRPr="000217C7">
        <w:rPr>
          <w:rFonts w:eastAsia="Times New Roman"/>
          <w:color w:val="000000" w:themeColor="text1"/>
          <w:shd w:val="clear" w:color="auto" w:fill="FFFFFF"/>
        </w:rPr>
        <w:t>obes</w:t>
      </w:r>
      <w:r w:rsidR="00FA2401" w:rsidRPr="000217C7">
        <w:rPr>
          <w:rFonts w:eastAsia="Times New Roman"/>
          <w:color w:val="000000" w:themeColor="text1"/>
          <w:shd w:val="clear" w:color="auto" w:fill="FFFFFF"/>
        </w:rPr>
        <w:t>ity</w:t>
      </w:r>
      <w:r w:rsidR="009F4722" w:rsidRPr="000217C7">
        <w:rPr>
          <w:rFonts w:eastAsia="Times New Roman"/>
          <w:color w:val="000000" w:themeColor="text1"/>
          <w:shd w:val="clear" w:color="auto" w:fill="FFFFFF"/>
        </w:rPr>
        <w:t xml:space="preserve"> have</w:t>
      </w:r>
      <w:r w:rsidR="009F4722" w:rsidRPr="000217C7">
        <w:rPr>
          <w:color w:val="000000" w:themeColor="text1"/>
        </w:rPr>
        <w:t xml:space="preserve"> an</w:t>
      </w:r>
      <w:r w:rsidR="00857247" w:rsidRPr="000217C7">
        <w:rPr>
          <w:color w:val="000000" w:themeColor="text1"/>
        </w:rPr>
        <w:t xml:space="preserve"> </w:t>
      </w:r>
      <w:r w:rsidR="009F4722" w:rsidRPr="000217C7">
        <w:rPr>
          <w:color w:val="000000" w:themeColor="text1"/>
        </w:rPr>
        <w:t xml:space="preserve">attentional bias towards food </w:t>
      </w:r>
      <w:r w:rsidR="00857247" w:rsidRPr="000217C7">
        <w:rPr>
          <w:color w:val="000000" w:themeColor="text1"/>
        </w:rPr>
        <w:t>even</w:t>
      </w:r>
      <w:r w:rsidR="009F4722" w:rsidRPr="000217C7">
        <w:rPr>
          <w:color w:val="000000" w:themeColor="text1"/>
        </w:rPr>
        <w:t xml:space="preserve"> before </w:t>
      </w:r>
      <w:r w:rsidR="008858B8" w:rsidRPr="000217C7">
        <w:rPr>
          <w:color w:val="000000" w:themeColor="text1"/>
        </w:rPr>
        <w:t>it is</w:t>
      </w:r>
      <w:r w:rsidR="009F4722" w:rsidRPr="000217C7">
        <w:rPr>
          <w:color w:val="000000" w:themeColor="text1"/>
        </w:rPr>
        <w:t xml:space="preserve"> consciously recognized</w:t>
      </w:r>
      <w:r w:rsidR="008858B8" w:rsidRPr="000217C7">
        <w:rPr>
          <w:color w:val="000000" w:themeColor="text1"/>
        </w:rPr>
        <w:t>.</w:t>
      </w:r>
      <w:r w:rsidR="00B5307A" w:rsidRPr="000217C7">
        <w:rPr>
          <w:color w:val="000000" w:themeColor="text1"/>
        </w:rPr>
        <w:t xml:space="preserve"> </w:t>
      </w:r>
      <w:r w:rsidR="00DC68F7" w:rsidRPr="000217C7">
        <w:rPr>
          <w:color w:val="000000" w:themeColor="text1"/>
          <w:lang w:val="en-GB"/>
        </w:rPr>
        <w:t xml:space="preserve">For instance, </w:t>
      </w:r>
      <w:proofErr w:type="spellStart"/>
      <w:r w:rsidR="0093782D" w:rsidRPr="000217C7">
        <w:rPr>
          <w:rFonts w:eastAsia="Times New Roman"/>
          <w:color w:val="000000" w:themeColor="text1"/>
          <w:shd w:val="clear" w:color="auto" w:fill="FFFFFF"/>
          <w:lang w:val="en-GB"/>
        </w:rPr>
        <w:t>Cserjesi</w:t>
      </w:r>
      <w:proofErr w:type="spellEnd"/>
      <w:r w:rsidR="0093782D" w:rsidRPr="000217C7">
        <w:rPr>
          <w:rFonts w:eastAsia="Times New Roman"/>
          <w:color w:val="000000" w:themeColor="text1"/>
          <w:shd w:val="clear" w:color="auto" w:fill="FFFFFF"/>
          <w:lang w:val="en-GB"/>
        </w:rPr>
        <w:t xml:space="preserve"> et al. </w:t>
      </w:r>
      <w:r w:rsidR="00BC2CCF" w:rsidRPr="000217C7">
        <w:rPr>
          <w:rFonts w:eastAsia="Times New Roman"/>
          <w:color w:val="000000" w:themeColor="text1"/>
          <w:shd w:val="clear" w:color="auto" w:fill="FFFFFF"/>
        </w:rPr>
        <w:fldChar w:fldCharType="begin"/>
      </w:r>
      <w:r w:rsidR="0093782D" w:rsidRPr="000217C7">
        <w:rPr>
          <w:rFonts w:eastAsia="Times New Roman"/>
          <w:color w:val="000000" w:themeColor="text1"/>
          <w:shd w:val="clear" w:color="auto" w:fill="FFFFFF"/>
          <w:lang w:val="en-GB"/>
        </w:rPr>
        <w:instrText xml:space="preserve"> ADDIN ZOTERO_ITEM CSL_CITATION {"citationID":"jbXOKlAf","properties":{"formattedCitation":"(2016)","plainCitation":"(2016)","noteIndex":0},"citationItems":[{"id":764,"uris":["http://zotero.org/users/local/ukz7dhIj/items/RJNZ75V9"],"uri":["http://zotero.org/users/local/ukz7dhIj/items/RJNZ75V9"],"itemData":{"id":764,"type":"article-journal","abstract":"We investigated the implicit preference in terms of food portion in obesity using the affective priming paradigm. Primes representing different portions of fast food (small, medium and large) were used to assess participants’ readiness to respond to a positive or negative target word. A self-reported affective rating scale of food portion and a portion judgment task were administered to determine the explicit preference for food portion and portion misperception, respectively. The results of the affective priming paradigm showed an implicit preference for large food portions in the obese group. No implicit preference in terms of food portion was found in the non-obese group. The explicit preference measure of food portion demonstrated a rather negative attitude for large portions in the obese group, whereas the non-obese group reported no explicit preference in terms of food portion. Thus, unlike the non-obese group, the obese group showed clear discrepancies between implicit and explicit preferences in terms of food portion: obese participants demonstrated an implicit, but not an explicit preference for large food portions. These results could not be attributed to a misperception of food portion, as revealed by the portion judgment task. The current findings suggest that social desirability might conceal self-reported preference in terms of food portion and/or that obese individuals are less aware of their internal preferences.","container-title":"International Journal of Obesity","DOI":"10.1038/ijo.2016.91","ISSN":"1476-5497","issue":"9","language":"en","page":"1464-1467","source":"www.nature.com","title":"Discrepancy between implicit and explicit preferences for food portions in obesity","volume":"40","author":[{"family":"Cserjesi","given":"R."},{"family":"Vos","given":"I. De"},{"family":"Deroost","given":"N."}],"issued":{"date-parts":[["2016",9]]}},"suppress-author":true}],"schema":"https://github.com/citation-style-language/schema/raw/master/csl-citation.json"} </w:instrText>
      </w:r>
      <w:r w:rsidR="00BC2CCF" w:rsidRPr="000217C7">
        <w:rPr>
          <w:rFonts w:eastAsia="Times New Roman"/>
          <w:color w:val="000000" w:themeColor="text1"/>
          <w:shd w:val="clear" w:color="auto" w:fill="FFFFFF"/>
        </w:rPr>
        <w:fldChar w:fldCharType="separate"/>
      </w:r>
      <w:r w:rsidR="0093782D" w:rsidRPr="000217C7">
        <w:rPr>
          <w:rFonts w:eastAsia="Times New Roman"/>
          <w:noProof/>
          <w:color w:val="000000" w:themeColor="text1"/>
          <w:shd w:val="clear" w:color="auto" w:fill="FFFFFF"/>
          <w:lang w:val="en-GB"/>
        </w:rPr>
        <w:t>(2016)</w:t>
      </w:r>
      <w:r w:rsidR="00BC2CCF" w:rsidRPr="000217C7">
        <w:rPr>
          <w:rFonts w:eastAsia="Times New Roman"/>
          <w:color w:val="000000" w:themeColor="text1"/>
          <w:shd w:val="clear" w:color="auto" w:fill="FFFFFF"/>
        </w:rPr>
        <w:fldChar w:fldCharType="end"/>
      </w:r>
      <w:r w:rsidR="0093782D" w:rsidRPr="000217C7">
        <w:rPr>
          <w:color w:val="000000" w:themeColor="text1"/>
        </w:rPr>
        <w:t xml:space="preserve"> </w:t>
      </w:r>
      <w:r w:rsidR="0093782D" w:rsidRPr="000217C7">
        <w:rPr>
          <w:color w:val="000000" w:themeColor="text1"/>
          <w:lang w:val="en-GB"/>
        </w:rPr>
        <w:t>found that</w:t>
      </w:r>
      <w:r w:rsidR="00DC68F7" w:rsidRPr="000217C7">
        <w:rPr>
          <w:color w:val="000000" w:themeColor="text1"/>
          <w:lang w:val="en-GB"/>
        </w:rPr>
        <w:t>,</w:t>
      </w:r>
      <w:r w:rsidR="0093782D" w:rsidRPr="000217C7">
        <w:rPr>
          <w:color w:val="000000" w:themeColor="text1"/>
          <w:lang w:val="en-GB"/>
        </w:rPr>
        <w:t xml:space="preserve"> </w:t>
      </w:r>
      <w:r w:rsidR="00DC68F7" w:rsidRPr="000217C7">
        <w:rPr>
          <w:color w:val="000000" w:themeColor="text1"/>
          <w:lang w:val="en-GB"/>
        </w:rPr>
        <w:t>compared with healthy-weighted controls,</w:t>
      </w:r>
      <w:r w:rsidR="00DC68F7" w:rsidRPr="000217C7">
        <w:rPr>
          <w:color w:val="000000" w:themeColor="text1"/>
        </w:rPr>
        <w:t xml:space="preserve"> </w:t>
      </w:r>
      <w:r w:rsidR="00FA2401" w:rsidRPr="000217C7">
        <w:rPr>
          <w:rFonts w:eastAsia="Times New Roman"/>
          <w:color w:val="000000" w:themeColor="text1"/>
          <w:shd w:val="clear" w:color="auto" w:fill="FFFFFF"/>
        </w:rPr>
        <w:t xml:space="preserve">individuals with </w:t>
      </w:r>
      <w:r w:rsidR="0093782D" w:rsidRPr="000217C7">
        <w:rPr>
          <w:color w:val="000000" w:themeColor="text1"/>
        </w:rPr>
        <w:t>overweight/</w:t>
      </w:r>
      <w:r w:rsidR="0093782D" w:rsidRPr="000217C7">
        <w:rPr>
          <w:color w:val="000000" w:themeColor="text1"/>
          <w:lang w:val="en-GB"/>
        </w:rPr>
        <w:t>obes</w:t>
      </w:r>
      <w:r w:rsidR="00FA2401" w:rsidRPr="000217C7">
        <w:rPr>
          <w:color w:val="000000" w:themeColor="text1"/>
          <w:lang w:val="en-GB"/>
        </w:rPr>
        <w:t>ity</w:t>
      </w:r>
      <w:r w:rsidR="0093782D" w:rsidRPr="000217C7">
        <w:rPr>
          <w:color w:val="000000" w:themeColor="text1"/>
          <w:lang w:val="en-GB"/>
        </w:rPr>
        <w:t xml:space="preserve"> show an </w:t>
      </w:r>
      <w:r w:rsidR="0093782D" w:rsidRPr="000217C7">
        <w:rPr>
          <w:rFonts w:eastAsia="Times New Roman"/>
          <w:color w:val="000000" w:themeColor="text1"/>
          <w:shd w:val="clear" w:color="auto" w:fill="FFFFFF"/>
          <w:lang w:val="en-GB"/>
        </w:rPr>
        <w:t>implicit preference for large food portions,</w:t>
      </w:r>
      <w:r w:rsidR="00171249" w:rsidRPr="000217C7">
        <w:rPr>
          <w:rFonts w:eastAsia="Times New Roman"/>
          <w:color w:val="000000" w:themeColor="text1"/>
          <w:shd w:val="clear" w:color="auto" w:fill="FFFFFF"/>
          <w:lang w:val="en-GB"/>
        </w:rPr>
        <w:t xml:space="preserve"> </w:t>
      </w:r>
      <w:r w:rsidR="0093782D" w:rsidRPr="000217C7">
        <w:rPr>
          <w:rFonts w:eastAsia="Times New Roman"/>
          <w:color w:val="000000" w:themeColor="text1"/>
          <w:shd w:val="clear" w:color="auto" w:fill="FFFFFF"/>
          <w:lang w:val="en-GB"/>
        </w:rPr>
        <w:t xml:space="preserve">which is not </w:t>
      </w:r>
      <w:r w:rsidR="00DC68F7" w:rsidRPr="000217C7">
        <w:rPr>
          <w:rFonts w:eastAsia="Times New Roman"/>
          <w:color w:val="000000" w:themeColor="text1"/>
          <w:shd w:val="clear" w:color="auto" w:fill="FFFFFF"/>
          <w:lang w:val="en-GB"/>
        </w:rPr>
        <w:t xml:space="preserve">matched with </w:t>
      </w:r>
      <w:r w:rsidR="0093782D" w:rsidRPr="000217C7">
        <w:rPr>
          <w:rFonts w:eastAsia="Times New Roman"/>
          <w:color w:val="000000" w:themeColor="text1"/>
          <w:shd w:val="clear" w:color="auto" w:fill="FFFFFF"/>
          <w:lang w:val="en-GB"/>
        </w:rPr>
        <w:t xml:space="preserve">their explicit evaluation of food portions. </w:t>
      </w:r>
      <w:r w:rsidR="00EC7DEA" w:rsidRPr="000217C7">
        <w:rPr>
          <w:rFonts w:eastAsia="Times New Roman"/>
          <w:color w:val="000000" w:themeColor="text1"/>
          <w:shd w:val="clear" w:color="auto" w:fill="FFFFFF"/>
          <w:lang w:val="en-GB"/>
        </w:rPr>
        <w:t>In contrast</w:t>
      </w:r>
      <w:r w:rsidRPr="000217C7">
        <w:rPr>
          <w:rFonts w:eastAsia="Times New Roman"/>
          <w:color w:val="000000" w:themeColor="text1"/>
          <w:shd w:val="clear" w:color="auto" w:fill="FFFFFF"/>
          <w:lang w:val="en-GB"/>
        </w:rPr>
        <w:t>, w</w:t>
      </w:r>
      <w:r w:rsidR="0093782D" w:rsidRPr="000217C7">
        <w:rPr>
          <w:rFonts w:eastAsia="Times New Roman"/>
          <w:color w:val="000000" w:themeColor="text1"/>
          <w:shd w:val="clear" w:color="auto" w:fill="FFFFFF"/>
          <w:lang w:val="en-GB"/>
        </w:rPr>
        <w:t>e recently observed an attentional bias</w:t>
      </w:r>
      <w:r w:rsidR="00624112" w:rsidRPr="000217C7">
        <w:rPr>
          <w:rFonts w:eastAsia="Times New Roman"/>
          <w:color w:val="000000" w:themeColor="text1"/>
          <w:shd w:val="clear" w:color="auto" w:fill="FFFFFF"/>
          <w:lang w:val="en-GB"/>
        </w:rPr>
        <w:t xml:space="preserve"> toward food</w:t>
      </w:r>
      <w:r w:rsidR="0093782D" w:rsidRPr="000217C7">
        <w:rPr>
          <w:rFonts w:eastAsia="Times New Roman"/>
          <w:color w:val="000000" w:themeColor="text1"/>
          <w:shd w:val="clear" w:color="auto" w:fill="FFFFFF"/>
          <w:lang w:val="en-GB"/>
        </w:rPr>
        <w:t xml:space="preserve"> </w:t>
      </w:r>
      <w:r w:rsidR="00624112" w:rsidRPr="000217C7">
        <w:rPr>
          <w:rFonts w:eastAsia="Times New Roman"/>
          <w:color w:val="000000" w:themeColor="text1"/>
          <w:shd w:val="clear" w:color="auto" w:fill="FFFFFF"/>
          <w:lang w:val="en-GB"/>
        </w:rPr>
        <w:t>in</w:t>
      </w:r>
      <w:r w:rsidR="00FA2401" w:rsidRPr="000217C7">
        <w:rPr>
          <w:rFonts w:eastAsia="Times New Roman"/>
          <w:color w:val="000000" w:themeColor="text1"/>
          <w:shd w:val="clear" w:color="auto" w:fill="FFFFFF"/>
          <w:lang w:val="en-GB"/>
        </w:rPr>
        <w:t xml:space="preserve"> individuals with</w:t>
      </w:r>
      <w:r w:rsidR="00624112" w:rsidRPr="000217C7">
        <w:rPr>
          <w:rFonts w:eastAsia="Times New Roman"/>
          <w:color w:val="000000" w:themeColor="text1"/>
          <w:shd w:val="clear" w:color="auto" w:fill="FFFFFF"/>
          <w:lang w:val="en-GB"/>
        </w:rPr>
        <w:t xml:space="preserve"> </w:t>
      </w:r>
      <w:r w:rsidR="003D6494" w:rsidRPr="000217C7">
        <w:rPr>
          <w:rFonts w:eastAsia="Times New Roman"/>
          <w:color w:val="000000" w:themeColor="text1"/>
          <w:shd w:val="clear" w:color="auto" w:fill="FFFFFF"/>
          <w:lang w:val="en-GB"/>
        </w:rPr>
        <w:t xml:space="preserve">a higher BMI </w:t>
      </w:r>
      <w:r w:rsidR="00624112" w:rsidRPr="000217C7">
        <w:rPr>
          <w:rFonts w:eastAsia="Times New Roman"/>
          <w:color w:val="000000" w:themeColor="text1"/>
          <w:shd w:val="clear" w:color="auto" w:fill="FFFFFF"/>
          <w:lang w:val="en-GB"/>
        </w:rPr>
        <w:t>at</w:t>
      </w:r>
      <w:r w:rsidR="00661B8D" w:rsidRPr="000217C7">
        <w:rPr>
          <w:rFonts w:eastAsia="Times New Roman"/>
          <w:color w:val="000000" w:themeColor="text1"/>
          <w:shd w:val="clear" w:color="auto" w:fill="FFFFFF"/>
          <w:lang w:val="en-GB"/>
        </w:rPr>
        <w:t xml:space="preserve"> </w:t>
      </w:r>
      <w:r w:rsidR="002306CC" w:rsidRPr="000217C7">
        <w:rPr>
          <w:rFonts w:eastAsia="Times New Roman"/>
          <w:color w:val="000000" w:themeColor="text1"/>
          <w:shd w:val="clear" w:color="auto" w:fill="FFFFFF"/>
          <w:lang w:val="en-GB"/>
        </w:rPr>
        <w:t xml:space="preserve">a </w:t>
      </w:r>
      <w:r w:rsidR="0093782D" w:rsidRPr="000217C7">
        <w:rPr>
          <w:rFonts w:eastAsia="Times New Roman"/>
          <w:color w:val="000000" w:themeColor="text1"/>
          <w:shd w:val="clear" w:color="auto" w:fill="FFFFFF"/>
          <w:lang w:val="en-GB"/>
        </w:rPr>
        <w:t>late stage of stimulus processing</w:t>
      </w:r>
      <w:r w:rsidR="00624112" w:rsidRPr="000217C7">
        <w:rPr>
          <w:rFonts w:eastAsia="Times New Roman"/>
          <w:color w:val="000000" w:themeColor="text1"/>
          <w:shd w:val="clear" w:color="auto" w:fill="FFFFFF"/>
          <w:lang w:val="en-GB"/>
        </w:rPr>
        <w:t>, but not at an early one</w:t>
      </w:r>
      <w:r w:rsidR="0093782D" w:rsidRPr="000217C7">
        <w:rPr>
          <w:rFonts w:eastAsia="Times New Roman"/>
          <w:color w:val="000000" w:themeColor="text1"/>
          <w:shd w:val="clear" w:color="auto" w:fill="FFFFFF"/>
          <w:lang w:val="en-GB"/>
        </w:rPr>
        <w:t xml:space="preserve"> </w:t>
      </w:r>
      <w:r w:rsidR="00BC2CCF" w:rsidRPr="000217C7">
        <w:rPr>
          <w:color w:val="000000" w:themeColor="text1"/>
        </w:rPr>
        <w:fldChar w:fldCharType="begin"/>
      </w:r>
      <w:r w:rsidR="00DB7790" w:rsidRPr="000217C7">
        <w:rPr>
          <w:color w:val="000000" w:themeColor="text1"/>
        </w:rPr>
        <w:instrText xml:space="preserve"> ADDIN ZOTERO_ITEM CSL_CITATION {"citationID":"IB805EAK","properties":{"formattedCitation":"(Meule, 2017)","plainCitation":"(Meule, 2017)","dontUpdate":true,"noteIndex":0},"citationItems":[{"id":519,"uris":["http://zotero.org/users/local/ukz7dhIj/items/8CADQ2NH"],"uri":["http://zotero.org/users/local/ukz7dhIj/items/8CADQ2NH"],"itemData":{"id":519,"type":"article-journal","abstract":"Reporting and Interpreting Task Performance in Go/No-Go Affective Shifting Tasks","container-title":"Frontiers in Psychology","DOI":"10.3389/fpsyg.2017.00701","ISSN":"1664-1078","journalAbbreviation":"Front. Psychol.","language":"English","source":"Frontiers","title":"Reporting and Interpreting Task Performance in Go/No-Go Affective Shifting Tasks","URL":"https://www.frontiersin.org/articles/10.3389/fpsyg.2017.00701/full","volume":"8","author":[{"family":"Meule","given":"Adrian"}],"accessed":{"date-parts":[["2018",3,30]]},"issued":{"date-parts":[["2017"]]}}}],"schema":"https://github.com/citation-style-language/schema/raw/master/csl-citation.json"} </w:instrText>
      </w:r>
      <w:r w:rsidR="00BC2CCF" w:rsidRPr="000217C7">
        <w:rPr>
          <w:color w:val="000000" w:themeColor="text1"/>
        </w:rPr>
        <w:fldChar w:fldCharType="separate"/>
      </w:r>
      <w:r w:rsidR="00DB7790" w:rsidRPr="000217C7">
        <w:rPr>
          <w:noProof/>
          <w:color w:val="000000" w:themeColor="text1"/>
        </w:rPr>
        <w:t>(Osimo et al., 2019)</w:t>
      </w:r>
      <w:r w:rsidR="00BC2CCF" w:rsidRPr="000217C7">
        <w:rPr>
          <w:color w:val="000000" w:themeColor="text1"/>
        </w:rPr>
        <w:fldChar w:fldCharType="end"/>
      </w:r>
      <w:r w:rsidR="00DB7790" w:rsidRPr="000217C7">
        <w:rPr>
          <w:color w:val="000000" w:themeColor="text1"/>
        </w:rPr>
        <w:t>.</w:t>
      </w:r>
      <w:r w:rsidR="007F012A" w:rsidRPr="000217C7">
        <w:rPr>
          <w:color w:val="000000" w:themeColor="text1"/>
        </w:rPr>
        <w:t xml:space="preserve"> </w:t>
      </w:r>
      <w:r w:rsidR="0093782D" w:rsidRPr="000217C7">
        <w:rPr>
          <w:rFonts w:eastAsia="Times New Roman"/>
          <w:color w:val="000000" w:themeColor="text1"/>
          <w:shd w:val="clear" w:color="auto" w:fill="FFFFFF"/>
          <w:lang w:val="en-GB"/>
        </w:rPr>
        <w:t xml:space="preserve">In </w:t>
      </w:r>
      <w:r w:rsidR="00993800" w:rsidRPr="000217C7">
        <w:rPr>
          <w:rFonts w:eastAsia="Times New Roman"/>
          <w:color w:val="000000" w:themeColor="text1"/>
          <w:shd w:val="clear" w:color="auto" w:fill="FFFFFF"/>
          <w:lang w:val="en-GB"/>
        </w:rPr>
        <w:t>that</w:t>
      </w:r>
      <w:r w:rsidR="0093782D" w:rsidRPr="000217C7">
        <w:rPr>
          <w:rFonts w:eastAsia="Times New Roman"/>
          <w:color w:val="000000" w:themeColor="text1"/>
          <w:shd w:val="clear" w:color="auto" w:fill="FFFFFF"/>
          <w:lang w:val="en-GB"/>
        </w:rPr>
        <w:t xml:space="preserve"> study</w:t>
      </w:r>
      <w:r w:rsidR="002306CC" w:rsidRPr="000217C7">
        <w:rPr>
          <w:rFonts w:eastAsia="Times New Roman"/>
          <w:color w:val="000000" w:themeColor="text1"/>
          <w:shd w:val="clear" w:color="auto" w:fill="FFFFFF"/>
          <w:lang w:val="en-GB"/>
        </w:rPr>
        <w:t>,</w:t>
      </w:r>
      <w:r w:rsidR="0093782D" w:rsidRPr="000217C7">
        <w:rPr>
          <w:rFonts w:eastAsia="Times New Roman"/>
          <w:color w:val="000000" w:themeColor="text1"/>
          <w:shd w:val="clear" w:color="auto" w:fill="FFFFFF"/>
          <w:lang w:val="en-GB"/>
        </w:rPr>
        <w:t xml:space="preserve"> we </w:t>
      </w:r>
      <w:r w:rsidR="0093782D" w:rsidRPr="000217C7">
        <w:rPr>
          <w:color w:val="000000" w:themeColor="text1"/>
        </w:rPr>
        <w:t xml:space="preserve">investigated subliminal processing and </w:t>
      </w:r>
      <w:r w:rsidR="00E941C9" w:rsidRPr="000217C7">
        <w:rPr>
          <w:color w:val="000000" w:themeColor="text1"/>
        </w:rPr>
        <w:t xml:space="preserve">reduced </w:t>
      </w:r>
      <w:r w:rsidR="0093782D" w:rsidRPr="000217C7">
        <w:rPr>
          <w:color w:val="000000" w:themeColor="text1"/>
        </w:rPr>
        <w:t>inhibition towards food in a sample of individuals with different BMI</w:t>
      </w:r>
      <w:r w:rsidR="00CF16AA" w:rsidRPr="000217C7">
        <w:rPr>
          <w:color w:val="000000" w:themeColor="text1"/>
        </w:rPr>
        <w:t xml:space="preserve">, </w:t>
      </w:r>
      <w:r w:rsidR="0093782D" w:rsidRPr="000217C7">
        <w:rPr>
          <w:color w:val="000000" w:themeColor="text1"/>
        </w:rPr>
        <w:t>ranging from underweight to obesity</w:t>
      </w:r>
      <w:r w:rsidR="0047026B" w:rsidRPr="000217C7">
        <w:rPr>
          <w:color w:val="000000" w:themeColor="text1"/>
        </w:rPr>
        <w:t xml:space="preserve">. </w:t>
      </w:r>
      <w:r w:rsidR="00CE720A" w:rsidRPr="000217C7">
        <w:rPr>
          <w:color w:val="000000" w:themeColor="text1"/>
        </w:rPr>
        <w:t>W</w:t>
      </w:r>
      <w:r w:rsidR="00DE62EC" w:rsidRPr="000217C7">
        <w:rPr>
          <w:color w:val="000000" w:themeColor="text1"/>
        </w:rPr>
        <w:t>e</w:t>
      </w:r>
      <w:r w:rsidR="0093782D" w:rsidRPr="000217C7">
        <w:rPr>
          <w:color w:val="000000" w:themeColor="text1"/>
        </w:rPr>
        <w:t xml:space="preserve"> us</w:t>
      </w:r>
      <w:r w:rsidR="00DE62EC" w:rsidRPr="000217C7">
        <w:rPr>
          <w:color w:val="000000" w:themeColor="text1"/>
        </w:rPr>
        <w:t>ed</w:t>
      </w:r>
      <w:r w:rsidR="0093782D" w:rsidRPr="000217C7">
        <w:rPr>
          <w:color w:val="000000" w:themeColor="text1"/>
        </w:rPr>
        <w:t xml:space="preserve"> a breaking Continuous Flash Suppression task (bCFS) and a Go/No-Go task. Breaking CFS is </w:t>
      </w:r>
      <w:r w:rsidR="0093782D" w:rsidRPr="000217C7">
        <w:rPr>
          <w:color w:val="000000" w:themeColor="text1"/>
          <w:shd w:val="clear" w:color="auto" w:fill="FFFFFF"/>
        </w:rPr>
        <w:t xml:space="preserve">a technique of binocular rivalry that measures the processing times of different stimuli at a subliminal level of processing </w:t>
      </w:r>
      <w:r w:rsidR="00BC2CCF" w:rsidRPr="000217C7">
        <w:rPr>
          <w:color w:val="000000" w:themeColor="text1"/>
          <w:shd w:val="clear" w:color="auto" w:fill="FFFFFF"/>
        </w:rPr>
        <w:fldChar w:fldCharType="begin"/>
      </w:r>
      <w:r w:rsidR="009456C2" w:rsidRPr="000217C7">
        <w:rPr>
          <w:color w:val="000000" w:themeColor="text1"/>
          <w:shd w:val="clear" w:color="auto" w:fill="FFFFFF"/>
        </w:rPr>
        <w:instrText xml:space="preserve"> ADDIN ZOTERO_ITEM CSL_CITATION {"citationID":"hv1XAnYo","properties":{"formattedCitation":"(Tsuchiya and Koch, 2005)","plainCitation":"(Tsuchiya and Koch, 2005)","noteIndex":0},"citationItems":[{"id":508,"uris":["http://zotero.org/users/local/ukz7dhIj/items/WAP4P9V4"],"uri":["http://zotero.org/users/local/ukz7dhIj/items/WAP4P9V4"],"itemData":{"id":508,"type":"article-journal","abstract":"Illusions that produce perceptual suppression despite constant retinal input are used to manipulate visual consciousness. Here we report on a powerful variant of existing techniques, continuous flash suppression. Distinct images flashed successively at </w:instrText>
      </w:r>
      <w:r w:rsidR="009456C2" w:rsidRPr="000217C7">
        <w:rPr>
          <w:rFonts w:ascii="Cambria Math" w:hAnsi="Cambria Math" w:cs="Cambria Math"/>
          <w:color w:val="000000" w:themeColor="text1"/>
          <w:shd w:val="clear" w:color="auto" w:fill="FFFFFF"/>
        </w:rPr>
        <w:instrText>∼</w:instrText>
      </w:r>
      <w:r w:rsidR="009456C2" w:rsidRPr="000217C7">
        <w:rPr>
          <w:color w:val="000000" w:themeColor="text1"/>
          <w:shd w:val="clear" w:color="auto" w:fill="FFFFFF"/>
        </w:rPr>
        <w:instrText xml:space="preserve">10 Hz into one eye reliably suppress an image presented to the other eye. The duration of perceptual suppression is at least ten times greater than that produced by binocular rivalry. Using this tool we show that the strength of the negative afterimage of an adaptor was reduced by half when it was perceptually suppressed by input from the other eye. The more completely the adaptor was suppressed, the more strongly the afterimage intensity was reduced. Paradoxically, trial-to-trial visibility of the adaptor did not correlate with the degree of reduction. Our results imply that formation of afterimages involves neuronal structures that access input from both eyes but that do not correspond directly to the neuronal correlates of perceptual awareness.","container-title":"Nature Neuroscience","DOI":"10.1038/nn1500","ISSN":"1546-1726","issue":"8","language":"en","page":"1096-1101","source":"www.nature.com","title":"Continuous flash suppression reduces negative afterimages","volume":"8","author":[{"family":"Tsuchiya","given":"Naotsugu"},{"family":"Koch","given":"Christof"}],"issued":{"date-parts":[["2005",8]]}}}],"schema":"https://github.com/citation-style-language/schema/raw/master/csl-citation.json"} </w:instrText>
      </w:r>
      <w:r w:rsidR="00BC2CCF" w:rsidRPr="000217C7">
        <w:rPr>
          <w:color w:val="000000" w:themeColor="text1"/>
          <w:shd w:val="clear" w:color="auto" w:fill="FFFFFF"/>
        </w:rPr>
        <w:fldChar w:fldCharType="separate"/>
      </w:r>
      <w:r w:rsidR="009456C2" w:rsidRPr="000217C7">
        <w:rPr>
          <w:color w:val="000000" w:themeColor="text1"/>
          <w:shd w:val="clear" w:color="auto" w:fill="FFFFFF"/>
        </w:rPr>
        <w:t>(Tsuchiya and Koch, 2005)</w:t>
      </w:r>
      <w:r w:rsidR="00BC2CCF" w:rsidRPr="000217C7">
        <w:rPr>
          <w:color w:val="000000" w:themeColor="text1"/>
          <w:shd w:val="clear" w:color="auto" w:fill="FFFFFF"/>
        </w:rPr>
        <w:fldChar w:fldCharType="end"/>
      </w:r>
      <w:r w:rsidR="0093782D" w:rsidRPr="000217C7">
        <w:rPr>
          <w:color w:val="000000" w:themeColor="text1"/>
          <w:shd w:val="clear" w:color="auto" w:fill="FFFFFF"/>
        </w:rPr>
        <w:t xml:space="preserve">. </w:t>
      </w:r>
      <w:r w:rsidR="0093782D" w:rsidRPr="000217C7">
        <w:rPr>
          <w:color w:val="000000" w:themeColor="text1"/>
        </w:rPr>
        <w:t xml:space="preserve">Faster stimulus processing time </w:t>
      </w:r>
      <w:r w:rsidR="00964A7F" w:rsidRPr="000217C7">
        <w:rPr>
          <w:color w:val="000000" w:themeColor="text1"/>
        </w:rPr>
        <w:t xml:space="preserve">is </w:t>
      </w:r>
      <w:r w:rsidR="0093782D" w:rsidRPr="000217C7">
        <w:rPr>
          <w:color w:val="000000" w:themeColor="text1"/>
        </w:rPr>
        <w:t>interpreted as reflecting faster access to consciousness.</w:t>
      </w:r>
      <w:r w:rsidRPr="000217C7">
        <w:rPr>
          <w:color w:val="000000" w:themeColor="text1"/>
          <w:shd w:val="clear" w:color="auto" w:fill="FFFFFF"/>
        </w:rPr>
        <w:t xml:space="preserve"> Importantly, it has been shown that</w:t>
      </w:r>
      <w:r w:rsidRPr="000217C7">
        <w:rPr>
          <w:color w:val="000000" w:themeColor="text1"/>
        </w:rPr>
        <w:t xml:space="preserve"> personal features that alter stimuli relevance influence suppression times </w:t>
      </w:r>
      <w:r w:rsidR="00BC2CCF" w:rsidRPr="000217C7">
        <w:rPr>
          <w:color w:val="000000" w:themeColor="text1"/>
        </w:rPr>
        <w:fldChar w:fldCharType="begin"/>
      </w:r>
      <w:r w:rsidRPr="000217C7">
        <w:rPr>
          <w:color w:val="000000" w:themeColor="text1"/>
        </w:rPr>
        <w:instrText xml:space="preserve"> ADDIN ZOTERO_ITEM CSL_CITATION {"citationID":"24qj6punds","properties":{"formattedCitation":"(Schmack et al., 2016)","plainCitation":"(Schmack et al., 2016)","noteIndex":0},"citationItems":[{"id":112,"uris":["http://zotero.org/users/local/ukz7dhIj/items/QKSI2XUV"],"uri":["http://zotero.org/users/local/ukz7dhIj/items/QKSI2XUV"],"itemData":{"id":112,"type":"article-journal","abstract":"The affective value of a stimulus substantially influences its potency to gain\n                    access to awareness. Here, we sought to elucidate the neural mechanisms\n                    underlying such affective salience in a combined behavioral and fMRI experiment.\n                    Healthy individuals with varying degrees of spider phobia were presented with\n                    pictures of spiders and flowers suppressed from view by continuous flash\n                    suppression. Applying multivoxel pattern analysis, we found that the average\n                    time that spider stimuli took relative to flowers to gain access to awareness in\n                    each participant could be decoded from fMRI signals evoked by suppressed spider\n                    versus flower stimuli in occipitotemporal and orbitofrontal cortex. Our results\n                    indicate neural signals during unconscious processing of complex visual\n                    information in orbitofrontal and ventral visual areas predict access to\n                    awareness of this information, suggesting a crucial role for these higher-level\n                    cortical regions in mediating affective salience.","container-title":"Cerebral Cortex","DOI":"10.1093/cercor/bhv174","ISSN":"1047-3211","issue":"8","journalAbbreviation":"Cereb Cortex","page":"3453-3460","source":"academic.oup.com","title":"Predicting Subjective Affective Salience from Cortical Responses to Invisible Object Stimuli","volume":"26","author":[{"family":"Schmack","given":"Katharina"},{"family":"Burk","given":"Julia"},{"family":"Haynes","given":"John-Dylan"},{"family":"Sterzer","given":"Philipp"}],"issued":{"date-parts":[["2016",8,1]]}}}],"schema":"https://github.com/citation-style-language/schema/raw/master/csl-citation.json"} </w:instrText>
      </w:r>
      <w:r w:rsidR="00BC2CCF" w:rsidRPr="000217C7">
        <w:rPr>
          <w:color w:val="000000" w:themeColor="text1"/>
        </w:rPr>
        <w:fldChar w:fldCharType="separate"/>
      </w:r>
      <w:r w:rsidRPr="000217C7">
        <w:rPr>
          <w:noProof/>
          <w:color w:val="000000" w:themeColor="text1"/>
        </w:rPr>
        <w:t xml:space="preserve">(Schmack et al., </w:t>
      </w:r>
      <w:r w:rsidRPr="000217C7">
        <w:rPr>
          <w:noProof/>
          <w:color w:val="000000" w:themeColor="text1"/>
        </w:rPr>
        <w:lastRenderedPageBreak/>
        <w:t>2016)</w:t>
      </w:r>
      <w:r w:rsidR="00BC2CCF" w:rsidRPr="000217C7">
        <w:rPr>
          <w:color w:val="000000" w:themeColor="text1"/>
        </w:rPr>
        <w:fldChar w:fldCharType="end"/>
      </w:r>
      <w:r w:rsidRPr="000217C7">
        <w:rPr>
          <w:color w:val="000000" w:themeColor="text1"/>
        </w:rPr>
        <w:t xml:space="preserve">, and that clinical disorders, such as anxiety and depression, can influence suppression times of disorder-related stimuli </w:t>
      </w:r>
      <w:r w:rsidR="00BC2CCF" w:rsidRPr="000217C7">
        <w:rPr>
          <w:color w:val="000000" w:themeColor="text1"/>
        </w:rPr>
        <w:fldChar w:fldCharType="begin"/>
      </w:r>
      <w:r w:rsidR="009456C2" w:rsidRPr="000217C7">
        <w:rPr>
          <w:color w:val="000000" w:themeColor="text1"/>
        </w:rPr>
        <w:instrText xml:space="preserve"> ADDIN ZOTERO_ITEM CSL_CITATION {"citationID":"OdfAD4BK","properties":{"formattedCitation":"(Capit\\uc0\\u227{}o et al., 2014; Yang et al., 2011)","plainCitation":"(Capitão et al., 2014; Yang et al., 2011)","noteIndex":0},"citationItems":[{"id":1019,"uris":["http://zotero.org/users/local/ukz7dhIj/items/6GNH9W7F"],"uri":["http://zotero.org/users/local/ukz7dhIj/items/6GNH9W7F"],"itemData":{"id":1019,"type":"article-journal","abstract":"Trait anxiety is associated with an excessive processing of danger-related stimuli, predisposing individuals to quickly detect threatening cues. Early, automatic mechanisms are believed to be responsible for the production of these cognitive biases; however, limitations in the paradigms most commonly used to achieve visual suppression or attentional unawareness have left open the possibility of strategic mechanisms influencing these early stages of information processing. Establishing whether symptoms of anxiety are associated with truly automatic biases in processing is an essential step in determining their etiology and in developing targeted cognitive interventions. We addressed this question using continuous flash suppression (CFS), a novel and robust method of visual suppression capable of rendering a stimulus invisible from awareness for extended durations. We specifically investigated the degree to which trait anxiety influenced the suppression of threatening, positive, and neutral faces. Forty-nine individuals, with no reported history of psychological problems and varying levels of anxiety, were recruited. Higher trait anxiety scores were associated with an increased speed to detect fearful compared with happy faces. These results indicate that the bias toward threatening information associated with symptoms of anxiety operates, at least partly, at an early stage of information processing. This suggests that cognitive interventions for anxiety may benefit from directly targeting such early and potentially preconscious processes.","container-title":"Emotion (Washington, D.C.)","DOI":"10.1037/a0037801","ISSN":"1931-1516","issue":"6","journalAbbreviation":"Emotion","language":"eng","note":"PMID: 25286072","page":"1027-1036","source":"PubMed","title":"Anxiety increases breakthrough of threat stimuli in continuous flash suppression","volume":"14","author":[{"family":"Capitão","given":"Liliana P."},{"family":"Underdown","given":"Stacey J. V."},{"family":"Vile","given":"Samuel"},{"family":"Yang","given":"Eunice"},{"family":"Harmer","given":"Catherine J."},{"family":"Murphy","given":"Susannah E."}],"issued":{"date-parts":[["2014",12]]}}},{"id":235,"uris":["http://zotero.org/users/local/ukz7dhIj/items/SG2FDDTS"],"uri":["http://zotero.org/users/local/ukz7dhIj/items/SG2FDDTS"],"itemData":{"id":235,"type":"article-journal","abstract":"Objective Major depressive disorder (MDD) has been characterized by abnormalities in emotional processing. However, what remains unclear is whether MDD also shows deficits in the unconscious processing of either positive or negative emotions. We conducted a psychological study in healthy and MDD subjects to investigate unconscious emotion processing and its valence-specific alterations in MDD patients. Methods We combined a well established paradigm for unconscious visual processing, the continuous flash suppression, with positive and negative emotional valences to detect the attentional preference evoked by the invisible emotional facial expressions. Results Healthy subjects showed an attentional bias for negative emotions in the unconscious condition while this valence bias remained absent in MDD patients. In contrast, this attentional bias diminished in the conscious condition for both healthy subjects and MDD. Conclusion Our findings demonstrate for the first time valence-specific deficits specifically in the unconscious processing of emotions in MDD; this may have major implications for subsequent neurobiological investigations as well as for clinical diagnosis and therapy.","container-title":"PLOS ONE","DOI":"10.1371/journal.pone.0021881","ISSN":"1932-6203","issue":"7","journalAbbreviation":"PLOS ONE","language":"en","page":"e21881","source":"PLoS Journals","title":"Altered Negative Unconscious Processing in Major Depressive Disorder: An Exploratory Neuropsychological Study","title-short":"Altered Negative Unconscious Processing in Major Depressive Disorder","volume":"6","author":[{"family":"Yang","given":"Zhi"},{"family":"Zhao","given":"Jinping"},{"family":"Jiang","given":"Yi"},{"family":"Li","given":"Chunbo"},{"family":"Wang","given":"Jijun"},{"family":"Weng","given":"Xuchu"},{"family":"Northoff","given":"Georg"}],"issued":{"date-parts":[["2011",7,6]]}}}],"schema":"https://github.com/citation-style-language/schema/raw/master/csl-citation.json"} </w:instrText>
      </w:r>
      <w:r w:rsidR="00BC2CCF" w:rsidRPr="000217C7">
        <w:rPr>
          <w:color w:val="000000" w:themeColor="text1"/>
        </w:rPr>
        <w:fldChar w:fldCharType="separate"/>
      </w:r>
      <w:r w:rsidR="009456C2" w:rsidRPr="000217C7">
        <w:rPr>
          <w:rFonts w:cs="Times New Roman"/>
          <w:color w:val="000000" w:themeColor="text1"/>
          <w:lang w:val="en-GB"/>
        </w:rPr>
        <w:t>(Capitão et al., 2014; Yang et al., 2011)</w:t>
      </w:r>
      <w:r w:rsidR="00BC2CCF" w:rsidRPr="000217C7">
        <w:rPr>
          <w:color w:val="000000" w:themeColor="text1"/>
        </w:rPr>
        <w:fldChar w:fldCharType="end"/>
      </w:r>
      <w:r w:rsidRPr="000217C7">
        <w:rPr>
          <w:color w:val="000000" w:themeColor="text1"/>
        </w:rPr>
        <w:t>.</w:t>
      </w:r>
      <w:r w:rsidR="0093782D" w:rsidRPr="000217C7">
        <w:rPr>
          <w:color w:val="000000" w:themeColor="text1"/>
          <w:shd w:val="clear" w:color="auto" w:fill="FFFFFF"/>
        </w:rPr>
        <w:t xml:space="preserve"> The Go/No-Go task is a well-established paradigm to measure </w:t>
      </w:r>
      <w:r w:rsidR="00300DFE" w:rsidRPr="000217C7">
        <w:rPr>
          <w:color w:val="000000" w:themeColor="text1"/>
          <w:shd w:val="clear" w:color="auto" w:fill="FFFFFF"/>
        </w:rPr>
        <w:t xml:space="preserve">attention and </w:t>
      </w:r>
      <w:r w:rsidR="0093782D" w:rsidRPr="000217C7">
        <w:rPr>
          <w:color w:val="000000" w:themeColor="text1"/>
          <w:shd w:val="clear" w:color="auto" w:fill="FFFFFF"/>
        </w:rPr>
        <w:t xml:space="preserve">response inhibition towards a stimulus category </w:t>
      </w:r>
      <w:r w:rsidR="00BC2CCF" w:rsidRPr="000217C7">
        <w:rPr>
          <w:color w:val="000000" w:themeColor="text1"/>
          <w:shd w:val="clear" w:color="auto" w:fill="FFFFFF"/>
        </w:rPr>
        <w:fldChar w:fldCharType="begin"/>
      </w:r>
      <w:r w:rsidR="0093782D" w:rsidRPr="000217C7">
        <w:rPr>
          <w:color w:val="000000" w:themeColor="text1"/>
          <w:shd w:val="clear" w:color="auto" w:fill="FFFFFF"/>
        </w:rPr>
        <w:instrText xml:space="preserve"> ADDIN ZOTERO_ITEM CSL_CITATION {"citationID":"uKHqDoMV","properties":{"formattedCitation":"(Schulz et al., 2007)","plainCitation":"(Schulz et al., 2007)","noteIndex":0},"citationItems":[{"id":599,"uris":["http://zotero.org/users/local/ukz7dhIj/items/HW59I93Z"],"uri":["http://zotero.org/users/local/ukz7dhIj/items/HW59I93Z"],"itemData":{"id":599,"type":"article-journal","abstract":"This study tested the convergence of behavioral inhibition measures across emotional and non-emotional versions of the same go/no-go task in 85 college students. The two tasks differed only in the stimuli used for trial cues (i.e., circles versus facial expressions). Moderate correlations (r=.51–.56) between commission errors across the emotional and non-emotional tasks support the construct validity of behavioral inhibition. Further, parametric manipulation of preceding context had comparable effects on performance on the two tasks. Responses were slower and more variable, commission errors were more numerous, and perceptual sensitivity was lower on the emotional than the non-emotional task. A bias for happy faces on the emotional task resulted in faster responses and more commission errors for happy than sad faces despite marginally greater sensitivity for the latter. These results suggest that the basic neuropsychological constructs of the original go/no-go task were preserved in the emotional adaptation.","container-title":"Archives of Clinical Neuropsychology","DOI":"10.1016/j.acn.2006.12.001","ISSN":"0887-6177","issue":"2","journalAbbreviation":"Archives of Clinical Neuropsychology","page":"151-160","source":"ScienceDirect","title":"Does the emotional go/no-go task really measure behavioral inhibition? Convergence with measures on a non-emotional analog","title-short":"Does the emotional go/no-go task really measure behavioral inhibition?","volume":"22","author":[{"family":"Schulz","given":"Kurt P."},{"family":"Fan","given":"Jin"},{"family":"Magidina","given":"Olga"},{"family":"Marks","given":"David J."},{"family":"Hahn","given":"Bella"},{"family":"Halperin","given":"Jeffrey M."}],"issued":{"date-parts":[["2007",2,1]]}}}],"schema":"https://github.com/citation-style-language/schema/raw/master/csl-citation.json"} </w:instrText>
      </w:r>
      <w:r w:rsidR="00BC2CCF" w:rsidRPr="000217C7">
        <w:rPr>
          <w:color w:val="000000" w:themeColor="text1"/>
          <w:shd w:val="clear" w:color="auto" w:fill="FFFFFF"/>
        </w:rPr>
        <w:fldChar w:fldCharType="separate"/>
      </w:r>
      <w:r w:rsidR="0093782D" w:rsidRPr="000217C7">
        <w:rPr>
          <w:noProof/>
          <w:color w:val="000000" w:themeColor="text1"/>
          <w:shd w:val="clear" w:color="auto" w:fill="FFFFFF"/>
        </w:rPr>
        <w:t>(Schulz et al., 2007)</w:t>
      </w:r>
      <w:r w:rsidR="00BC2CCF" w:rsidRPr="000217C7">
        <w:rPr>
          <w:color w:val="000000" w:themeColor="text1"/>
          <w:shd w:val="clear" w:color="auto" w:fill="FFFFFF"/>
        </w:rPr>
        <w:fldChar w:fldCharType="end"/>
      </w:r>
      <w:r w:rsidR="00C90DD7" w:rsidRPr="000217C7">
        <w:rPr>
          <w:color w:val="000000" w:themeColor="text1"/>
          <w:shd w:val="clear" w:color="auto" w:fill="FFFFFF"/>
        </w:rPr>
        <w:t>; within this task,</w:t>
      </w:r>
      <w:r w:rsidR="0034550A" w:rsidRPr="000217C7">
        <w:rPr>
          <w:color w:val="000000" w:themeColor="text1"/>
          <w:shd w:val="clear" w:color="auto" w:fill="FFFFFF"/>
        </w:rPr>
        <w:t xml:space="preserve"> </w:t>
      </w:r>
      <w:r w:rsidR="00DF187F" w:rsidRPr="000217C7">
        <w:rPr>
          <w:color w:val="000000" w:themeColor="text1"/>
          <w:shd w:val="clear" w:color="auto" w:fill="FFFFFF"/>
        </w:rPr>
        <w:t xml:space="preserve">participants with </w:t>
      </w:r>
      <w:r w:rsidR="00300DFE" w:rsidRPr="000217C7">
        <w:rPr>
          <w:color w:val="000000" w:themeColor="text1"/>
        </w:rPr>
        <w:t>overweight/obes</w:t>
      </w:r>
      <w:r w:rsidR="00DF187F" w:rsidRPr="000217C7">
        <w:rPr>
          <w:color w:val="000000" w:themeColor="text1"/>
        </w:rPr>
        <w:t>ity</w:t>
      </w:r>
      <w:r w:rsidR="00300DFE" w:rsidRPr="000217C7">
        <w:rPr>
          <w:color w:val="000000" w:themeColor="text1"/>
        </w:rPr>
        <w:t xml:space="preserve"> participants frequently </w:t>
      </w:r>
      <w:r w:rsidR="00DB7790" w:rsidRPr="000217C7">
        <w:rPr>
          <w:color w:val="000000" w:themeColor="text1"/>
        </w:rPr>
        <w:t xml:space="preserve">show </w:t>
      </w:r>
      <w:r w:rsidR="00300DFE" w:rsidRPr="000217C7">
        <w:rPr>
          <w:color w:val="000000" w:themeColor="text1"/>
        </w:rPr>
        <w:t>worse performance than controls</w:t>
      </w:r>
      <w:r w:rsidR="00FE2FF5" w:rsidRPr="000217C7">
        <w:rPr>
          <w:color w:val="000000" w:themeColor="text1"/>
        </w:rPr>
        <w:t xml:space="preserve"> when inhibiting responses toward food</w:t>
      </w:r>
      <w:r w:rsidR="00300DFE" w:rsidRPr="000217C7">
        <w:rPr>
          <w:color w:val="000000" w:themeColor="text1"/>
        </w:rPr>
        <w:t xml:space="preserve"> </w:t>
      </w:r>
      <w:r w:rsidR="00BC2CCF" w:rsidRPr="000217C7">
        <w:rPr>
          <w:color w:val="000000" w:themeColor="text1"/>
        </w:rPr>
        <w:fldChar w:fldCharType="begin"/>
      </w:r>
      <w:r w:rsidR="00300DFE" w:rsidRPr="000217C7">
        <w:rPr>
          <w:color w:val="000000" w:themeColor="text1"/>
        </w:rPr>
        <w:instrText xml:space="preserve"> ADDIN ZOTERO_ITEM CSL_CITATION {"citationID":"owdAjg9Z","properties":{"unsorted":true,"formattedCitation":"(Kulendran et al., 2017; Price et al., 2015; Svaldi et al., 2015; but see Loeber et al., 2013; Bartholdy et al., 2016; Aiello et al., 2018)","plainCitation":"(Kulendran et al., 2017; Price et al., 2015; Svaldi et al., 2015; but see Loeber et al., 2013; Bartholdy et al., 2016; Aiello et al., 2018)","noteIndex":0},"citationItems":[{"id":319,"uris":["http://zotero.org/users/local/ukz7dhIj/items/F5JUE6KM"],"uri":["http://zotero.org/users/local/ukz7dhIj/items/F5JUE6KM"],"itemData":{"id":319,"type":"article-journal","abstract":"Objective: There is evidence that executive function (and specifically inhibitory control) is related to obesity and eating behaviour. The go-no go task, the Stop Signal Paradigm and the Stroop Task are examples of behavioural tasks to measure inhibitory control.Methods: This paper systematically reviews the literature on inhibitory control and its role in obesity and eating behaviours. Studies involving animals, particular clinical population (addiction, eating or psychiatric disorder) and work not related to obesity or psychology were excluded. Only papers that examined the relationship between inhibitory control and one or more eating-related measurements (BMI, BMI change or laboratory food intake measures) were included. Twenty one studies met the selection criteria. Computerized tasks to measure inhibitory control were used in the studies analysed in this review.Results: The studies that used the go-no go task reveal that age can moderate the relationship between impulsivity and body weight or reported no association. Studies using the Stop Signal Paradigm reveal that the results on the task are a predictor of weight loss in both adolescents and adults populations. Studies using the Stroop Task demonstrate a difference between obese and normal weight groups.Conclusions: These results reveal the role of inhibitory control in obesity. However, a better understanding of the mechanisms behind this connection is needed. We also conclude that performance tasks that measure inhibitory control are able to differentiate between obese and non-obese groups, but it is recommended wider population range and larger samples in future studies.","container-title":"Medical Research Archives","ISSN":"2375-1924","issue":"8","language":"en","title":"The Role of Impulsivity in Obesity as Measured by Inhibitory Control: A Systematic Review","title-short":"The Role of Impulsivity in Obesity as Measured by Inhibitory Control","URL":"https://journals.ke-i.org/index.php/mra/article/view/1168","volume":"5","author":[{"family":"Kulendran","given":"Myutan"},{"family":"Vlaev","given":"Ivo"},{"family":"Gamboa","given":"Patricia"},{"family":"Darzi","given":"Ara"}],"issued":{"date-parts":[["2017",8,15]]}}},{"id":102,"uris":["http://zotero.org/users/local/ukz7dhIj/items/RA8RD4QE"],"uri":["http://zotero.org/users/local/ukz7dhIj/items/RA8RD4QE"],"itemData":{"id":102,"type":"article-journal","abstract":"Original Article","container-title":"International Journal of Obesity","DOI":"10.1038/ijo.2015.235","ISSN":"1476-5497","issue":"5","language":"en","page":"1:6","source":"www.nature.com","title":"Food-specific response inhibition, dietary restraint and snack intake in lean and overweight/obese adults: a moderated-mediation model","title-short":"Food-specific response inhibition, dietary restraint and snack intake in lean and overweight/obese adults","volume":"40","author":[{"family":"Price","given":"M."},{"family":"Lee","given":"M."},{"family":"Higgs","given":"S."}],"issued":{"date-parts":[["2015",11,23]]}}},{"id":736,"uris":["http://zotero.org/users/local/ukz7dhIj/items/8JH7BGXS"],"uri":["http://zotero.org/users/local/ukz7dhIj/items/8JH7BGXS"],"itemData":{"id":736,"type":"article-journal","abstract":"Objective Several studies report increased reward sensitivity towards food in overweight individuals. By contrast, data is inconclusive with respect to response inhibition in overweight individuals without binge eating disorder (BED). Hence, the latter was addressed in the present study in a group of overweight/obese females with and without BED and a normal-weight control group without eating disorders. Method A group of women with BED (n = 29), a group of overweight women without BED (n = 33) and normal-weight females (n = 30) participated in a pictorial priming paradigm, with food items (relevant primes) and office utensils (neutral primes) and color blobs (neutral primes) as stimuli. Increased response priming effects (i.e. priming with switches between stimulus categories) were taken as indicators of deficient behavioral inhibition. Results Priming effects for neutral primes were moderate and comparable across all groups. However, primes associated with the food task set lead to increased priming effects in both overweight groups. But, effects were comparable for overweight/obese participants with and without BED. Discussion Results suggest that early response inhibition in the context of food is impaired in overweight individuals compared to normal-weight individuals.","container-title":"PLOS ONE","DOI":"10.1371/journal.pone.0133534","ISSN":"1932-6203","issue":"7","journalAbbreviation":"PLOS ONE","language":"en","page":"e0133534","source":"PLoS Journals","title":"Impaired Early-Response Inhibition in Overweight Females with and without Binge Eating Disorder","volume":"10","author":[{"family":"Svaldi","given":"Jennifer"},{"family":"Naumann","given":"Eva"},{"family":"Biehl","given":"Stefanie"},{"family":"Schmitz","given":"Florian"}],"issued":{"date-parts":[["2015",7,22]]}}},{"id":715,"uris":["http://zotero.org/users/local/ukz7dhIj/items/NJNUZZWE"],"uri":["http://zotero.org/users/local/ukz7dhIj/items/NJNUZZWE"],"itemData":{"id":715,"type":"article-journal","abstract":"Overeating, weight gain and obesity are considered as a major health problem in Western societies. At present, an impairment of response inhibition and a biased salience attribution to food-associated stimuli are considered as important factors associated with weight gain. However, recent findings suggest that the association between an impaired response inhibition and salience attribution and weight gain might be modulated by other factors. Thus, hunger might cause food-associated cues to be perceived as more salient and rewarding and might be associated with an impairment of response inhibition. However, at present, little is known how hunger interacts with these processes. Thus, the aim of the present study was to investigate whether hunger modulates response inhibition and attention allocation towards food-associated stimuli in normal-weight controls. A go-/nogo task with food-associated and control words and a visual dot-probe task with food-associated and control pictures were administered to 48 normal-weight participants (mean age 24.5 years, range 19-40; mean BMI 21.6, range 18.5-25.4). Hunger was assessed twofold using a self-reported measure of hunger and a measurement of the blood glucose level. Our results indicated that self-reported hunger affected behavioral response inhibition in the go-/nogo task. Thus, hungry participants committed significantly more commission errors when food-associated stimuli served as distractors compared to when control stimuli were the distractors. This effect was not observed in sated participants. In addition, we found that self-reported hunger was associated with a lower number of omission errors in response to food-associated stimuli indicating a higher salience of these stimuli. Low blood glucose level was not associated with an impairment of response inhibition. However, our results indicated that the blood glucose level was associated with an attentional bias towards food-associated cues in the visual dot probe task. In conclusion our results suggest that hunger induces an approach bias and is associated with an impairment of response inhibition when normal-weight participants are confronted with food-associated cues. These findings are important as these processes play a crucial role with regard to the control of food-intake and weight gain and are assumed to contribute to obesity. Thus, individualized treatment approaches taking into account the experience of hunger in everyday-life situations should be considered in addition to a training of response inhibition.","container-title":"Appetite","DOI":"10.1016/j.appet.2013.07.008","ISSN":"1095-8304","journalAbbreviation":"Appetite","language":"eng","note":"PMID: 23899903","page":"32-39","source":"PubMed","title":"Hunger modulates behavioral disinhibition and attention allocation to food-associated cues in normal-weight controls","volume":"71","author":[{"family":"Loeber","given":"S."},{"family":"Grosshans","given":"Martin"},{"family":"Herpertz","given":"Stephan"},{"family":"Kiefer","given":"Falk"},{"family":"Herpertz","given":"Sabine C."}],"issued":{"date-parts":[["2013",12]]}},"prefix":"but see"},{"id":922,"uris":["http://zotero.org/users/local/ukz7dhIj/items/64TJ25WE"],"uri":["http://zotero.org/users/local/ukz7dhIj/items/64TJ25WE"],"itemData":{"id":922,"type":"article-journal","abstract":"Altered inhibitory control (response inhibition, reward-based inhibition, cognitive inhibition, reversal learning) has been implicated in eating disorders (EDs) and obesity. It is unclear, however, how different types of inhibitory control contribute to eating and weight-control behaviours. This review evaluates the relationship between one aspect of inhibitory control (a reactive component of motor response inhibition measured by the stop signal task) and eating/weight in clinical and non-clinical populations. Sixty-two studies from 58 journal articles were included. Restrained eaters had diminished reactive inhibitory control compared to unrestrained eaters, and showed greatest benefit to their eating behaviour from manipulations of inhibitory control. Obese individuals may show less reactive inhibitory control but only in the context of food-specific inhibition or after executive resources are depleted. Of the limited studies in EDs, the majority found no impairment in reactive inhibitory control, although findings are inconsistent. Thus, altered reactive inhibitory control is related to some maladaptive eating behaviours, and hence may provide a therapeutic target for behavioural manipulations and/or neuromodulation. However, other types of inhibitory control may also contribute. Methodological and theoretical considerations are discussed.","container-title":"Neuroscience &amp; Biobehavioral Reviews","DOI":"10.1016/j.neubiorev.2016.02.010","ISSN":"0149-7634","journalAbbreviation":"Neuroscience &amp; Biobehavioral Reviews","page":"35-62","source":"ScienceDirect","title":"A systematic review of the relationship between eating, weight and inhibitory control using the stop signal task","volume":"64","author":[{"family":"Bartholdy","given":"Savani"},{"family":"Dalton","given":"Bethan"},{"family":"O’Daly","given":"Owen G."},{"family":"Campbell","given":"Iain C."},{"family":"Schmidt","given":"Ulrike"}],"issued":{"date-parts":[["2016",5,1]]}}},{"id":722,"uris":["http://zotero.org/users/local/ukz7dhIj/items/7UJPZPFP"],"uri":["http://zotero.org/users/local/ukz7dhIj/items/7UJPZPFP"],"itemData":{"id":722,"type":"article-journal","abstract":"Impulsivity, conceptualized as impulsive personality trait, poor inhibitory control and enhanced reward sensitivity, has been strongly linked to obesity. In particular, a disequilibrium between cognitive control and reward sensitivity has been observed in obese individuals in both behavioural and imaging studies. While this issue has been widely investigated in children and adults, it has received little attention in older adults. Here, obese and non-obese participants aged between 40 and 70 years completed the Barratt Impulsiveness scale (assessing motor, non-planning and attentional impulsiveness), a Go/no-go task with foods and non-foods (assessing inhibitory control) and a reward sensitivity battery with high and low caloric foods (assessing liking, wanting, tastiness and frequency of consumption). We observed that participants with higher BMI reported increased wanting for high calorie foods, but did not show poorer inhibitory control. Interestingly, participants who scored lower on the MMSE reported to consume high calorie more than low calorie foods. Finally, those who presented low scores on non-planning and motor impulsiveness subscales reported higher tastiness ratings for low calorie foods. These results show that increased reward sensitivity but not reduced inhibitory control may characterize higher BMI during aging. Importantly, they also highlight new findings concerning food preferences among older adults.","container-title":"Brain and Cognition","DOI":"10.1016/j.bandc.2018.03.006","ISSN":"0278-2626","journalAbbreviation":"Brain and Cognition","page":"103-109","source":"ScienceDirect","title":"Body weight and its association with impulsivity in middle and old age individuals","volume":"123","author":[{"family":"Aiello","given":"Marilena"},{"family":"Ambron","given":"Elisabetta"},{"family":"Situlin","given":"Roberta"},{"family":"Foroni","given":"Francesco"},{"family":"Biolo","given":"Gianni"},{"family":"Rumiati","given":"Raffaella I."}],"issued":{"date-parts":[["2018",6,1]]}}}],"schema":"https://github.com/citation-style-language/schema/raw/master/csl-citation.json"} </w:instrText>
      </w:r>
      <w:r w:rsidR="00BC2CCF" w:rsidRPr="000217C7">
        <w:rPr>
          <w:color w:val="000000" w:themeColor="text1"/>
        </w:rPr>
        <w:fldChar w:fldCharType="separate"/>
      </w:r>
      <w:r w:rsidR="00300DFE" w:rsidRPr="000217C7">
        <w:rPr>
          <w:noProof/>
          <w:color w:val="000000" w:themeColor="text1"/>
        </w:rPr>
        <w:t>(Kulendran et al., 2017; Price et al., 2015; Svaldi et al., 2015; but see Loeber et al., 2013; Bartholdy et al., 2016; Aiello et al., 2018)</w:t>
      </w:r>
      <w:r w:rsidR="00BC2CCF" w:rsidRPr="000217C7">
        <w:rPr>
          <w:color w:val="000000" w:themeColor="text1"/>
        </w:rPr>
        <w:fldChar w:fldCharType="end"/>
      </w:r>
      <w:r w:rsidR="00300DFE" w:rsidRPr="000217C7">
        <w:rPr>
          <w:color w:val="000000" w:themeColor="text1"/>
        </w:rPr>
        <w:t>.</w:t>
      </w:r>
      <w:r w:rsidR="00F6617B" w:rsidRPr="000217C7">
        <w:rPr>
          <w:color w:val="000000" w:themeColor="text1"/>
          <w:shd w:val="clear" w:color="auto" w:fill="FFFFFF"/>
        </w:rPr>
        <w:t xml:space="preserve"> </w:t>
      </w:r>
      <w:r w:rsidR="0093782D" w:rsidRPr="000217C7">
        <w:rPr>
          <w:color w:val="000000" w:themeColor="text1"/>
          <w:shd w:val="clear" w:color="auto" w:fill="FFFFFF"/>
        </w:rPr>
        <w:t xml:space="preserve">Using these tasks, </w:t>
      </w:r>
      <w:r w:rsidR="0093782D" w:rsidRPr="000217C7">
        <w:rPr>
          <w:color w:val="000000" w:themeColor="text1"/>
        </w:rPr>
        <w:t>we observed that a higher BMI was associated with a bias toward food only in</w:t>
      </w:r>
      <w:r w:rsidR="002F168C" w:rsidRPr="000217C7">
        <w:rPr>
          <w:color w:val="000000" w:themeColor="text1"/>
        </w:rPr>
        <w:t xml:space="preserve"> the Go/No-Go task</w:t>
      </w:r>
      <w:r w:rsidR="0093782D" w:rsidRPr="000217C7">
        <w:rPr>
          <w:color w:val="000000" w:themeColor="text1"/>
        </w:rPr>
        <w:t xml:space="preserve">, and with prolonged subliminal processing in the CFS task which, however, was independent of the type of the stimulus </w:t>
      </w:r>
      <w:r w:rsidR="00BC2CCF" w:rsidRPr="000217C7">
        <w:rPr>
          <w:color w:val="000000" w:themeColor="text1"/>
        </w:rPr>
        <w:fldChar w:fldCharType="begin"/>
      </w:r>
      <w:r w:rsidR="0093782D" w:rsidRPr="000217C7">
        <w:rPr>
          <w:color w:val="000000" w:themeColor="text1"/>
        </w:rPr>
        <w:instrText xml:space="preserve"> ADDIN ZOTERO_ITEM CSL_CITATION {"citationID":"WuDD88iH","properties":{"formattedCitation":"(Osimo et al., 2019)","plainCitation":"(Osimo et al., 2019)","noteIndex":0},"citationItems":[{"id":1829,"uris":["http://zotero.org/users/local/ukz7dhIj/items/KF44F9QX"],"uri":["http://zotero.org/users/local/ukz7dhIj/items/KF44F9QX"],"itemData":{"id":1829,"type":"article-journal","abstract":"The prefrontal cortex (PFC) plays a central role in food choice, and may be partly dysfunctional in obesity – a condition linked to altered attention and inhibition processes, particularly in response to food-related stimuli. We investigated the role of the PFC in subliminal visual processing and response inhibition to food pictures using anodal, cathodal, or sham transcranial direct current stimulation (tDCS) in a sample of 53 normal weight, overweight, or obese participants. Subliminal processing was measured with a breaking continuous flash suppression task (bCFS), and inhibition with a Go/No-Go task. BMI was included in the analyses as a continuous predictor. Higher BMI was associated with prolonged subliminal processing for both food and nonfood pictures in the bCFS task, and with longer RTs in food Go trials in the Go/No-Go task. Therefore, higher BMI was associated with an attentional bias for food images during supraliminal, but not subliminal visual processing. Moreover, anodal tDCS resulted in shorter detection times in the bCFS task, especially in participants with higher BMI. We conclude that anodal tDCS affects subliminal perception and attentional processes, and speculate that these effects may explain previous reports of reduced craving and food intake after anodal tDCS.","container-title":"Behaviour Research and Therapy","DOI":"10.1016/j.brat.2019.05.005","ISSN":"0005-7967","journalAbbreviation":"Behaviour Research and Therapy","source":"ScienceDirect","title":"Obesity, subliminal perception and inhibition: Neuromodulation of the prefrontal cortex","title-short":"Obesity, subliminal perception and inhibition","URL":"http://www.sciencedirect.com/science/article/pii/S0005796719300889","author":[{"family":"Osimo","given":"Sofia Adelaide"},{"family":"Korb","given":"Sebastian"},{"family":"Aiello","given":"Marilena"}],"accessed":{"date-parts":[["2019",5,28]]},"issued":{"date-parts":[["2019",5,19]]}}}],"schema":"https://github.com/citation-style-language/schema/raw/master/csl-citation.json"} </w:instrText>
      </w:r>
      <w:r w:rsidR="00BC2CCF" w:rsidRPr="000217C7">
        <w:rPr>
          <w:color w:val="000000" w:themeColor="text1"/>
        </w:rPr>
        <w:fldChar w:fldCharType="separate"/>
      </w:r>
      <w:r w:rsidR="0093782D" w:rsidRPr="000217C7">
        <w:rPr>
          <w:noProof/>
          <w:color w:val="000000" w:themeColor="text1"/>
        </w:rPr>
        <w:t>(Osimo et al., 2019)</w:t>
      </w:r>
      <w:r w:rsidR="00BC2CCF" w:rsidRPr="000217C7">
        <w:rPr>
          <w:color w:val="000000" w:themeColor="text1"/>
        </w:rPr>
        <w:fldChar w:fldCharType="end"/>
      </w:r>
      <w:r w:rsidR="0093782D" w:rsidRPr="000217C7">
        <w:rPr>
          <w:color w:val="000000" w:themeColor="text1"/>
        </w:rPr>
        <w:t xml:space="preserve">. Hence, </w:t>
      </w:r>
      <w:r w:rsidR="00661B8D" w:rsidRPr="000217C7">
        <w:rPr>
          <w:color w:val="000000" w:themeColor="text1"/>
        </w:rPr>
        <w:t xml:space="preserve">the </w:t>
      </w:r>
      <w:r w:rsidR="0093782D" w:rsidRPr="000217C7">
        <w:rPr>
          <w:color w:val="000000" w:themeColor="text1"/>
        </w:rPr>
        <w:t xml:space="preserve">question about the extent to which </w:t>
      </w:r>
      <w:r w:rsidR="00DF187F" w:rsidRPr="000217C7">
        <w:rPr>
          <w:color w:val="000000" w:themeColor="text1"/>
        </w:rPr>
        <w:t>individuals with</w:t>
      </w:r>
      <w:r w:rsidR="003D6494" w:rsidRPr="000217C7">
        <w:rPr>
          <w:color w:val="000000" w:themeColor="text1"/>
        </w:rPr>
        <w:t xml:space="preserve"> a higher BMI</w:t>
      </w:r>
      <w:r w:rsidR="0093782D" w:rsidRPr="000217C7">
        <w:rPr>
          <w:color w:val="000000" w:themeColor="text1"/>
        </w:rPr>
        <w:t>’s attentional bias also extend</w:t>
      </w:r>
      <w:r w:rsidR="00300DFE" w:rsidRPr="000217C7">
        <w:rPr>
          <w:color w:val="000000" w:themeColor="text1"/>
        </w:rPr>
        <w:t>s</w:t>
      </w:r>
      <w:r w:rsidR="0093782D" w:rsidRPr="000217C7">
        <w:rPr>
          <w:color w:val="000000" w:themeColor="text1"/>
        </w:rPr>
        <w:t xml:space="preserve"> to subliminal unconscious food stimuli requires </w:t>
      </w:r>
      <w:r w:rsidR="00EC7DEA" w:rsidRPr="000217C7">
        <w:rPr>
          <w:color w:val="000000" w:themeColor="text1"/>
        </w:rPr>
        <w:t xml:space="preserve">further </w:t>
      </w:r>
      <w:r w:rsidR="0093782D" w:rsidRPr="000217C7">
        <w:rPr>
          <w:color w:val="000000" w:themeColor="text1"/>
        </w:rPr>
        <w:t xml:space="preserve">investigations. </w:t>
      </w:r>
    </w:p>
    <w:p w14:paraId="6F3D1D5B" w14:textId="55AF9448" w:rsidR="002670AB" w:rsidRPr="000217C7" w:rsidRDefault="000C56E9" w:rsidP="00B31B31">
      <w:pPr>
        <w:rPr>
          <w:color w:val="000000" w:themeColor="text1"/>
        </w:rPr>
      </w:pPr>
      <w:r w:rsidRPr="000217C7">
        <w:rPr>
          <w:color w:val="000000" w:themeColor="text1"/>
        </w:rPr>
        <w:t xml:space="preserve">The aim of this study </w:t>
      </w:r>
      <w:r w:rsidR="00455738" w:rsidRPr="000217C7">
        <w:rPr>
          <w:color w:val="000000" w:themeColor="text1"/>
        </w:rPr>
        <w:t xml:space="preserve">was to </w:t>
      </w:r>
      <w:r w:rsidR="002C43C4" w:rsidRPr="000217C7">
        <w:rPr>
          <w:color w:val="000000" w:themeColor="text1"/>
        </w:rPr>
        <w:t>confirm and extend</w:t>
      </w:r>
      <w:r w:rsidR="00455738" w:rsidRPr="000217C7">
        <w:rPr>
          <w:color w:val="000000" w:themeColor="text1"/>
        </w:rPr>
        <w:t xml:space="preserve"> our prior results </w:t>
      </w:r>
      <w:r w:rsidR="00063AFA" w:rsidRPr="000217C7">
        <w:rPr>
          <w:color w:val="000000" w:themeColor="text1"/>
        </w:rPr>
        <w:t>in a sample of individuals with different BMI</w:t>
      </w:r>
      <w:r w:rsidR="00993800" w:rsidRPr="000217C7">
        <w:rPr>
          <w:color w:val="000000" w:themeColor="text1"/>
        </w:rPr>
        <w:t>s</w:t>
      </w:r>
      <w:r w:rsidR="00A33EE4" w:rsidRPr="000217C7">
        <w:rPr>
          <w:color w:val="000000" w:themeColor="text1"/>
        </w:rPr>
        <w:t>,</w:t>
      </w:r>
      <w:r w:rsidR="00063AFA" w:rsidRPr="000217C7">
        <w:rPr>
          <w:color w:val="000000" w:themeColor="text1"/>
        </w:rPr>
        <w:t xml:space="preserve"> </w:t>
      </w:r>
      <w:r w:rsidR="007962C1" w:rsidRPr="000217C7">
        <w:rPr>
          <w:color w:val="000000" w:themeColor="text1"/>
        </w:rPr>
        <w:t>by</w:t>
      </w:r>
      <w:r w:rsidRPr="000217C7">
        <w:rPr>
          <w:color w:val="000000" w:themeColor="text1"/>
        </w:rPr>
        <w:t xml:space="preserve"> </w:t>
      </w:r>
      <w:r w:rsidR="007962C1" w:rsidRPr="000217C7">
        <w:rPr>
          <w:color w:val="000000" w:themeColor="text1"/>
        </w:rPr>
        <w:t xml:space="preserve">also </w:t>
      </w:r>
      <w:r w:rsidRPr="000217C7">
        <w:rPr>
          <w:color w:val="000000" w:themeColor="text1"/>
        </w:rPr>
        <w:t>investigat</w:t>
      </w:r>
      <w:r w:rsidR="007962C1" w:rsidRPr="000217C7">
        <w:rPr>
          <w:color w:val="000000" w:themeColor="text1"/>
        </w:rPr>
        <w:t>ing</w:t>
      </w:r>
      <w:r w:rsidRPr="000217C7">
        <w:rPr>
          <w:color w:val="000000" w:themeColor="text1"/>
        </w:rPr>
        <w:t xml:space="preserve"> </w:t>
      </w:r>
      <w:r w:rsidR="00E91BF8" w:rsidRPr="000217C7">
        <w:rPr>
          <w:color w:val="000000" w:themeColor="text1"/>
        </w:rPr>
        <w:t xml:space="preserve">the neural correlates </w:t>
      </w:r>
      <w:r w:rsidR="004F3B66" w:rsidRPr="000217C7">
        <w:rPr>
          <w:color w:val="000000" w:themeColor="text1"/>
        </w:rPr>
        <w:t xml:space="preserve">of </w:t>
      </w:r>
      <w:r w:rsidR="00240946" w:rsidRPr="000217C7">
        <w:rPr>
          <w:color w:val="000000" w:themeColor="text1"/>
        </w:rPr>
        <w:t xml:space="preserve">subliminal </w:t>
      </w:r>
      <w:r w:rsidR="008361B8" w:rsidRPr="000217C7">
        <w:rPr>
          <w:color w:val="000000" w:themeColor="text1"/>
        </w:rPr>
        <w:t>attentional biases and</w:t>
      </w:r>
      <w:r w:rsidR="00240946" w:rsidRPr="000217C7">
        <w:rPr>
          <w:color w:val="000000" w:themeColor="text1"/>
        </w:rPr>
        <w:t xml:space="preserve"> </w:t>
      </w:r>
      <w:r w:rsidR="008361B8" w:rsidRPr="000217C7">
        <w:rPr>
          <w:color w:val="000000" w:themeColor="text1"/>
        </w:rPr>
        <w:t xml:space="preserve">inhibition </w:t>
      </w:r>
      <w:r w:rsidR="00E941C9" w:rsidRPr="000217C7">
        <w:rPr>
          <w:color w:val="000000" w:themeColor="text1"/>
        </w:rPr>
        <w:t xml:space="preserve">reduction </w:t>
      </w:r>
      <w:r w:rsidR="004F3B66" w:rsidRPr="000217C7">
        <w:rPr>
          <w:color w:val="000000" w:themeColor="text1"/>
        </w:rPr>
        <w:t>using both voxel-based morphometry (VBM) and resting-state functional connectivity (RSFC)</w:t>
      </w:r>
      <w:r w:rsidR="001E61F7" w:rsidRPr="000217C7">
        <w:rPr>
          <w:color w:val="000000" w:themeColor="text1"/>
        </w:rPr>
        <w:t xml:space="preserve">. </w:t>
      </w:r>
      <w:r w:rsidR="00455738" w:rsidRPr="000217C7">
        <w:rPr>
          <w:color w:val="000000" w:themeColor="text1"/>
        </w:rPr>
        <w:t xml:space="preserve">While the neural underpinnings of </w:t>
      </w:r>
      <w:r w:rsidR="00037F81" w:rsidRPr="000217C7">
        <w:rPr>
          <w:color w:val="000000" w:themeColor="text1"/>
        </w:rPr>
        <w:t xml:space="preserve">reduced </w:t>
      </w:r>
      <w:r w:rsidR="00455738" w:rsidRPr="000217C7">
        <w:rPr>
          <w:color w:val="000000" w:themeColor="text1"/>
        </w:rPr>
        <w:t xml:space="preserve">inhibitory control have </w:t>
      </w:r>
      <w:r w:rsidR="004F3B66" w:rsidRPr="000217C7">
        <w:rPr>
          <w:color w:val="000000" w:themeColor="text1"/>
        </w:rPr>
        <w:t>already been</w:t>
      </w:r>
      <w:r w:rsidR="00455738" w:rsidRPr="000217C7">
        <w:rPr>
          <w:color w:val="000000" w:themeColor="text1"/>
        </w:rPr>
        <w:t xml:space="preserve"> studied in individuals with different BMIs, </w:t>
      </w:r>
      <w:r w:rsidR="00063AFA" w:rsidRPr="000217C7">
        <w:rPr>
          <w:color w:val="000000" w:themeColor="text1"/>
        </w:rPr>
        <w:t>showing</w:t>
      </w:r>
      <w:r w:rsidR="002670AB" w:rsidRPr="000217C7">
        <w:rPr>
          <w:color w:val="000000" w:themeColor="text1"/>
        </w:rPr>
        <w:t xml:space="preserve"> a correlation between reduced behavioral inhibition and</w:t>
      </w:r>
      <w:r w:rsidR="00063AFA" w:rsidRPr="000217C7">
        <w:rPr>
          <w:color w:val="000000" w:themeColor="text1"/>
        </w:rPr>
        <w:t xml:space="preserve"> </w:t>
      </w:r>
      <w:r w:rsidR="002670AB" w:rsidRPr="000217C7">
        <w:rPr>
          <w:color w:val="000000" w:themeColor="text1"/>
        </w:rPr>
        <w:t>reduced activation of frontal inhibitory regions</w:t>
      </w:r>
      <w:r w:rsidR="002670AB" w:rsidRPr="000217C7" w:rsidDel="002670AB">
        <w:rPr>
          <w:color w:val="000000" w:themeColor="text1"/>
        </w:rPr>
        <w:t xml:space="preserve"> </w:t>
      </w:r>
      <w:r w:rsidR="002670AB" w:rsidRPr="000217C7">
        <w:rPr>
          <w:color w:val="000000" w:themeColor="text1"/>
        </w:rPr>
        <w:t>in</w:t>
      </w:r>
      <w:r w:rsidR="00DF187F" w:rsidRPr="000217C7">
        <w:rPr>
          <w:color w:val="000000" w:themeColor="text1"/>
        </w:rPr>
        <w:t xml:space="preserve"> individuals with</w:t>
      </w:r>
      <w:r w:rsidR="002670AB" w:rsidRPr="000217C7">
        <w:rPr>
          <w:color w:val="000000" w:themeColor="text1"/>
        </w:rPr>
        <w:t xml:space="preserve"> overweight/obes</w:t>
      </w:r>
      <w:r w:rsidR="00DF187F" w:rsidRPr="000217C7">
        <w:rPr>
          <w:color w:val="000000" w:themeColor="text1"/>
        </w:rPr>
        <w:t>ity</w:t>
      </w:r>
      <w:r w:rsidR="002670AB" w:rsidRPr="000217C7">
        <w:rPr>
          <w:color w:val="000000" w:themeColor="text1"/>
        </w:rPr>
        <w:t xml:space="preserve"> </w:t>
      </w:r>
      <w:r w:rsidR="00BC2CCF" w:rsidRPr="000217C7">
        <w:rPr>
          <w:color w:val="000000" w:themeColor="text1"/>
        </w:rPr>
        <w:fldChar w:fldCharType="begin"/>
      </w:r>
      <w:r w:rsidR="002670AB" w:rsidRPr="000217C7">
        <w:rPr>
          <w:color w:val="000000" w:themeColor="text1"/>
        </w:rPr>
        <w:instrText xml:space="preserve"> ADDIN ZOTERO_ITEM CSL_CITATION {"citationID":"LQbvbIFk","properties":{"formattedCitation":"(Batterink et al., 2010)","plainCitation":"(Batterink et al., 2010)","noteIndex":0},"citationItems":[{"id":2166,"uris":["http://zotero.org/users/local/ukz7dhIj/items/R6ZJ5JI5"],"uri":["http://zotero.org/users/local/ukz7dhIj/items/R6ZJ5JI5"],"itemData":{"id":2166,"type":"article-journal","abstract":"Self-report and behavioral data suggest that impulsivity may contribute to the development and maintenance of obesity. Neuroimaging studies implicate a widespread neural network in inhibitory control and suggest that impulsive individuals show hypoactivity in these regions during tasks requiring response inhibition. Yet, research has not directly tested whether body mass correlates inversely with activation of these regions during response inhibition tasks. The present study used functional magnetic resonance imaging (fMRI) to investigate neural activations during a food-specific go/no-go task in adolescent girls ranging from lean to obese. When required to inhibit prepotent responses to appetizing food, body mass index (BMI) correlated with response inhibition at both the behavioral and neural levels, with more overweight adolescents showing greater behavioral evidence of impulsivity as well as reduced activation of frontal inhibitory regions, including superior frontal gyrus, middle frontal gyrus, ventrolateral prefrontal cortex, medial prefrontal cortex, and orbitofrontal cortex, than leaner individuals. As well, activation in food reward regions (e.g., temporal operculum/insula) in response to food images correlated positively with BMI. Results suggest that hypofunctioning of inhibitory control regions and increased response of food reward regions are related to elevated weight.","container-title":"NeuroImage","DOI":"10.1016/j.neuroimage.2010.05.059","ISSN":"1095-9572","issue":"4","journalAbbreviation":"Neuroimage","language":"eng","note":"PMID: 20510377\nPMCID: PMC2910204","page":"1696-1703","source":"PubMed","title":"Body mass correlates inversely with inhibitory control in response to food among adolescent girls: an fMRI study","title-short":"Body mass correlates inversely with inhibitory control in response to food among adolescent girls","volume":"52","author":[{"family":"Batterink","given":"Laura"},{"family":"Yokum","given":"Sonja"},{"family":"Stice","given":"Eric"}],"issued":{"date-parts":[["2010",10,1]]}}}],"schema":"https://github.com/citation-style-language/schema/raw/master/csl-citation.json"} </w:instrText>
      </w:r>
      <w:r w:rsidR="00BC2CCF" w:rsidRPr="000217C7">
        <w:rPr>
          <w:color w:val="000000" w:themeColor="text1"/>
        </w:rPr>
        <w:fldChar w:fldCharType="separate"/>
      </w:r>
      <w:r w:rsidR="002670AB" w:rsidRPr="000217C7">
        <w:rPr>
          <w:noProof/>
          <w:color w:val="000000" w:themeColor="text1"/>
        </w:rPr>
        <w:t>(Batterink et al., 2010)</w:t>
      </w:r>
      <w:r w:rsidR="00BC2CCF" w:rsidRPr="000217C7">
        <w:rPr>
          <w:color w:val="000000" w:themeColor="text1"/>
        </w:rPr>
        <w:fldChar w:fldCharType="end"/>
      </w:r>
      <w:r w:rsidR="00063AFA" w:rsidRPr="000217C7">
        <w:rPr>
          <w:color w:val="000000" w:themeColor="text1"/>
        </w:rPr>
        <w:t xml:space="preserve">, </w:t>
      </w:r>
      <w:r w:rsidR="00455738" w:rsidRPr="000217C7">
        <w:rPr>
          <w:color w:val="000000" w:themeColor="text1"/>
        </w:rPr>
        <w:t xml:space="preserve">evidence concerning </w:t>
      </w:r>
      <w:r w:rsidR="00993800" w:rsidRPr="000217C7">
        <w:rPr>
          <w:color w:val="000000" w:themeColor="text1"/>
        </w:rPr>
        <w:t xml:space="preserve">the neural bases of </w:t>
      </w:r>
      <w:r w:rsidRPr="000217C7">
        <w:rPr>
          <w:color w:val="000000" w:themeColor="text1"/>
        </w:rPr>
        <w:t>subliminal processing</w:t>
      </w:r>
      <w:r w:rsidR="003275CA" w:rsidRPr="000217C7">
        <w:rPr>
          <w:color w:val="000000" w:themeColor="text1"/>
        </w:rPr>
        <w:t xml:space="preserve"> of food stimuli</w:t>
      </w:r>
      <w:r w:rsidR="008361B8" w:rsidRPr="000217C7">
        <w:rPr>
          <w:color w:val="000000" w:themeColor="text1"/>
        </w:rPr>
        <w:t xml:space="preserve"> in</w:t>
      </w:r>
      <w:r w:rsidR="00700D02" w:rsidRPr="000217C7">
        <w:rPr>
          <w:color w:val="000000" w:themeColor="text1"/>
        </w:rPr>
        <w:t xml:space="preserve"> individuals with</w:t>
      </w:r>
      <w:r w:rsidR="008361B8" w:rsidRPr="000217C7">
        <w:rPr>
          <w:color w:val="000000" w:themeColor="text1"/>
        </w:rPr>
        <w:t xml:space="preserve"> overweight and obesity</w:t>
      </w:r>
      <w:r w:rsidR="00305E8F" w:rsidRPr="000217C7">
        <w:rPr>
          <w:color w:val="000000" w:themeColor="text1"/>
        </w:rPr>
        <w:t xml:space="preserve"> is still lacking</w:t>
      </w:r>
      <w:r w:rsidR="00520108" w:rsidRPr="000217C7">
        <w:rPr>
          <w:color w:val="000000" w:themeColor="text1"/>
        </w:rPr>
        <w:t>.</w:t>
      </w:r>
      <w:r w:rsidR="007D638C" w:rsidRPr="000217C7">
        <w:rPr>
          <w:color w:val="000000" w:themeColor="text1"/>
        </w:rPr>
        <w:t xml:space="preserve"> </w:t>
      </w:r>
      <w:r w:rsidR="00B226F6" w:rsidRPr="000217C7">
        <w:rPr>
          <w:color w:val="000000" w:themeColor="text1"/>
        </w:rPr>
        <w:t>It has been shown that suppressed images are masked at the site of interocular competition</w:t>
      </w:r>
      <w:r w:rsidR="00BD3E0B" w:rsidRPr="000217C7">
        <w:rPr>
          <w:color w:val="000000" w:themeColor="text1"/>
        </w:rPr>
        <w:t xml:space="preserve"> </w:t>
      </w:r>
      <w:r w:rsidR="005570F6" w:rsidRPr="000217C7">
        <w:rPr>
          <w:color w:val="000000" w:themeColor="text1"/>
        </w:rPr>
        <w:t>and resu</w:t>
      </w:r>
      <w:r w:rsidR="00103CF2" w:rsidRPr="000217C7">
        <w:rPr>
          <w:color w:val="000000" w:themeColor="text1"/>
        </w:rPr>
        <w:t>lt</w:t>
      </w:r>
      <w:r w:rsidR="005570F6" w:rsidRPr="000217C7">
        <w:rPr>
          <w:color w:val="000000" w:themeColor="text1"/>
        </w:rPr>
        <w:t xml:space="preserve"> in lower activation of </w:t>
      </w:r>
      <w:r w:rsidR="00103CF2" w:rsidRPr="000217C7">
        <w:rPr>
          <w:color w:val="000000" w:themeColor="text1"/>
        </w:rPr>
        <w:t xml:space="preserve">early visual areas </w:t>
      </w:r>
      <w:r w:rsidR="00103CF2" w:rsidRPr="000217C7">
        <w:rPr>
          <w:color w:val="000000" w:themeColor="text1"/>
        </w:rPr>
        <w:fldChar w:fldCharType="begin"/>
      </w:r>
      <w:r w:rsidR="006C3543" w:rsidRPr="000217C7">
        <w:rPr>
          <w:color w:val="000000" w:themeColor="text1"/>
        </w:rPr>
        <w:instrText xml:space="preserve"> ADDIN ZOTERO_ITEM CSL_CITATION {"citationID":"ag8usukh3l","properties":{"formattedCitation":"(Yuval-Greenberg and Heeger, 2013)","plainCitation":"(Yuval-Greenberg and Heeger, 2013)","noteIndex":0},"citationItems":[{"id":2716,"uris":["http://zotero.org/users/local/ukz7dhIj/items/NW5A3RYQ"],"uri":["http://zotero.org/users/local/ukz7dhIj/items/NW5A3RYQ"],"itemData":{"id":2716,"type":"article-journal","abstract":"A salient visual stimulus can be rendered invisible by presenting it to one eye while flashing a mask to the other eye. This procedure, called continuous flash suppression (CFS), has been proposed as an ideal way of studying awareness as it can make a stimulus imperceptible for extended periods of time. Previous studies have reported robust suppression of cortical activity in higher visual areas during CFS, but the role of primary visual cortex (V1) is still controversial. In this study, we resolve this controversy on the role of V1 in CFS and also begin characterizing the computational processes underlying CFS. Early visual cortical activity was measured with functional magnetic resonance imaging while human subjects viewed stimuli composed of target and mask, presented to the same or different eyes. Functional MRI responses in early visual cortex were smaller when target and mask were in different eyes compared with the same eye, not only for the lowest contrast target rendered invisible by CFS, but also for higher contrast targets, which were visible even when presented to the eye opposite the mask. We infer that CFS is based on modulating the gain of neural responses, akin to reducing target contrast.","container-title":"Journal of Neuroscience","DOI":"10.1523/JNEUROSCI.4612-12.2013","ISSN":"0270-6474, 1529-2401","issue":"23","journalAbbreviation":"J. Neurosci.","language":"en","note":"publisher: Society for Neuroscience\nsection: Articles\nPMID: 23739960","page":"9635-9643","source":"www.jneurosci.org","title":"Continuous Flash Suppression Modulates Cortical Activity in Early Visual Cortex","volume":"33","author":[{"family":"Yuval-Greenberg","given":"Shlomit"},{"family":"Heeger","given":"David J."}],"issued":{"date-parts":[["2013",6,5]]}}}],"schema":"https://github.com/citation-style-language/schema/raw/master/csl-citation.json"} </w:instrText>
      </w:r>
      <w:r w:rsidR="00103CF2" w:rsidRPr="000217C7">
        <w:rPr>
          <w:color w:val="000000" w:themeColor="text1"/>
        </w:rPr>
        <w:fldChar w:fldCharType="separate"/>
      </w:r>
      <w:r w:rsidR="006C3543" w:rsidRPr="000217C7">
        <w:rPr>
          <w:rFonts w:cs="Times New Roman"/>
          <w:color w:val="000000" w:themeColor="text1"/>
          <w:lang w:val="en-GB"/>
        </w:rPr>
        <w:t>(Yuval-Greenberg and Heeger, 2013)</w:t>
      </w:r>
      <w:r w:rsidR="00103CF2" w:rsidRPr="000217C7">
        <w:rPr>
          <w:color w:val="000000" w:themeColor="text1"/>
        </w:rPr>
        <w:fldChar w:fldCharType="end"/>
      </w:r>
      <w:r w:rsidR="00103CF2" w:rsidRPr="000217C7">
        <w:rPr>
          <w:color w:val="000000" w:themeColor="text1"/>
        </w:rPr>
        <w:t>.</w:t>
      </w:r>
      <w:r w:rsidR="0047026B" w:rsidRPr="000217C7">
        <w:rPr>
          <w:color w:val="000000" w:themeColor="text1"/>
        </w:rPr>
        <w:t xml:space="preserve"> The suppressed information,</w:t>
      </w:r>
      <w:r w:rsidR="00103CF2" w:rsidRPr="000217C7">
        <w:rPr>
          <w:color w:val="000000" w:themeColor="text1"/>
        </w:rPr>
        <w:t xml:space="preserve"> however</w:t>
      </w:r>
      <w:r w:rsidR="00BD3E0B" w:rsidRPr="000217C7">
        <w:rPr>
          <w:color w:val="000000" w:themeColor="text1"/>
        </w:rPr>
        <w:t>,</w:t>
      </w:r>
      <w:r w:rsidR="00103CF2" w:rsidRPr="000217C7">
        <w:rPr>
          <w:color w:val="000000" w:themeColor="text1"/>
        </w:rPr>
        <w:t xml:space="preserve"> travels beyond lower-level visual areas</w:t>
      </w:r>
      <w:r w:rsidR="00B226F6" w:rsidRPr="000217C7">
        <w:rPr>
          <w:color w:val="000000" w:themeColor="text1"/>
        </w:rPr>
        <w:t xml:space="preserve">, </w:t>
      </w:r>
      <w:r w:rsidR="00103CF2" w:rsidRPr="000217C7">
        <w:rPr>
          <w:color w:val="000000" w:themeColor="text1"/>
        </w:rPr>
        <w:t xml:space="preserve">and high-level information </w:t>
      </w:r>
      <w:r w:rsidR="0044772B" w:rsidRPr="000217C7">
        <w:rPr>
          <w:color w:val="000000" w:themeColor="text1"/>
        </w:rPr>
        <w:t xml:space="preserve">on the </w:t>
      </w:r>
      <w:r w:rsidR="00F7748D" w:rsidRPr="000217C7">
        <w:rPr>
          <w:color w:val="000000" w:themeColor="text1"/>
        </w:rPr>
        <w:t xml:space="preserve">semantic </w:t>
      </w:r>
      <w:r w:rsidR="0044772B" w:rsidRPr="000217C7">
        <w:rPr>
          <w:color w:val="000000" w:themeColor="text1"/>
        </w:rPr>
        <w:t xml:space="preserve">content or </w:t>
      </w:r>
      <w:r w:rsidR="00F7748D" w:rsidRPr="000217C7">
        <w:rPr>
          <w:color w:val="000000" w:themeColor="text1"/>
        </w:rPr>
        <w:t xml:space="preserve">motor </w:t>
      </w:r>
      <w:r w:rsidR="0044772B" w:rsidRPr="000217C7">
        <w:rPr>
          <w:color w:val="000000" w:themeColor="text1"/>
        </w:rPr>
        <w:t xml:space="preserve">affordances of the shown images </w:t>
      </w:r>
      <w:r w:rsidR="00B226F6" w:rsidRPr="000217C7">
        <w:rPr>
          <w:color w:val="000000" w:themeColor="text1"/>
        </w:rPr>
        <w:t>reach areas</w:t>
      </w:r>
      <w:r w:rsidR="00DE064E" w:rsidRPr="000217C7">
        <w:rPr>
          <w:color w:val="000000" w:themeColor="text1"/>
        </w:rPr>
        <w:t xml:space="preserve"> responsib</w:t>
      </w:r>
      <w:r w:rsidR="0001735A" w:rsidRPr="000217C7">
        <w:rPr>
          <w:color w:val="000000" w:themeColor="text1"/>
        </w:rPr>
        <w:t>l</w:t>
      </w:r>
      <w:r w:rsidR="00DE064E" w:rsidRPr="000217C7">
        <w:rPr>
          <w:color w:val="000000" w:themeColor="text1"/>
        </w:rPr>
        <w:t>e for high-level sensory integration</w:t>
      </w:r>
      <w:r w:rsidR="00B226F6" w:rsidRPr="000217C7">
        <w:rPr>
          <w:color w:val="000000" w:themeColor="text1"/>
        </w:rPr>
        <w:t xml:space="preserve">, such as </w:t>
      </w:r>
      <w:r w:rsidR="0044772B" w:rsidRPr="000217C7">
        <w:rPr>
          <w:color w:val="000000" w:themeColor="text1"/>
        </w:rPr>
        <w:t>the fusiform face</w:t>
      </w:r>
      <w:r w:rsidR="00BD3E0B" w:rsidRPr="000217C7">
        <w:rPr>
          <w:color w:val="000000" w:themeColor="text1"/>
        </w:rPr>
        <w:t>,</w:t>
      </w:r>
      <w:r w:rsidR="00DE064E" w:rsidRPr="000217C7">
        <w:rPr>
          <w:color w:val="000000" w:themeColor="text1"/>
        </w:rPr>
        <w:t xml:space="preserve"> </w:t>
      </w:r>
      <w:proofErr w:type="spellStart"/>
      <w:r w:rsidR="0044772B" w:rsidRPr="000217C7">
        <w:rPr>
          <w:color w:val="000000" w:themeColor="text1"/>
        </w:rPr>
        <w:t>parahippocampal</w:t>
      </w:r>
      <w:proofErr w:type="spellEnd"/>
      <w:r w:rsidR="0044772B" w:rsidRPr="000217C7">
        <w:rPr>
          <w:color w:val="000000" w:themeColor="text1"/>
        </w:rPr>
        <w:t xml:space="preserve"> place areas</w:t>
      </w:r>
      <w:r w:rsidR="00DE064E" w:rsidRPr="000217C7">
        <w:rPr>
          <w:color w:val="000000" w:themeColor="text1"/>
        </w:rPr>
        <w:t>,</w:t>
      </w:r>
      <w:r w:rsidR="0044772B" w:rsidRPr="000217C7">
        <w:rPr>
          <w:color w:val="000000" w:themeColor="text1"/>
        </w:rPr>
        <w:t xml:space="preserve"> and dorsal regions</w:t>
      </w:r>
      <w:r w:rsidR="00B226F6" w:rsidRPr="000217C7">
        <w:rPr>
          <w:color w:val="000000" w:themeColor="text1"/>
        </w:rPr>
        <w:t xml:space="preserve"> </w:t>
      </w:r>
      <w:r w:rsidR="00BC2CCF" w:rsidRPr="000217C7">
        <w:rPr>
          <w:color w:val="000000" w:themeColor="text1"/>
        </w:rPr>
        <w:fldChar w:fldCharType="begin"/>
      </w:r>
      <w:r w:rsidR="000239D6" w:rsidRPr="000217C7">
        <w:rPr>
          <w:color w:val="000000" w:themeColor="text1"/>
        </w:rPr>
        <w:instrText xml:space="preserve"> ADDIN ZOTERO_ITEM CSL_CITATION {"citationID":"ao027si8lt","properties":{"formattedCitation":"(Fang and He, 2005; Sterzer et al., 2008)","plainCitation":"(Fang and He, 2005; Sterzer et al., 2008)","noteIndex":0},"citationItems":[{"id":1202,"uris":["http://zotero.org/users/local/ukz7dhIj/items/6J53CPST"],"uri":["http://zotero.org/users/local/ukz7dhIj/items/6J53CPST"],"itemData":{"id":1202,"type":"article-journal","abstract":"The primate visual system is believed to comprise two main pathways: a ventral pathway for conscious perception and a dorsal pathway that can process visual information and guide action without accompanying conscious knowledge. Evidence for this theory has come primarily from studies of neurological patients and animals. Using fMRI, we show here that even though observers are completely unaware of test object images owing to interocular suppression, their dorsal cortical areas demonstrate substantial activity for different types of visual objects, with stronger responses to images of tools than of human faces. This result also suggests that in binocular rivalry, substantial information in the suppressed eye can escape the interocular suppression and reach dorsal cortex.","container-title":"Nature Neuroscience","DOI":"10.1038/nn1537","ISSN":"1546-1726","issue":"10","language":"en","page":"1380-1385","source":"www.nature.com","title":"Cortical responses to invisible objects in the human dorsal and ventral pathways","volume":"8","author":[{"family":"Fang","given":"Fang"},{"family":"He","given":"Sheng"}],"issued":{"date-parts":[["2005",10]]}}},{"id":2738,"uris":["http://zotero.org/users/local/ukz7dhIj/items/QWHBCELP"],"uri":["http://zotero.org/users/local/ukz7dhIj/items/QWHBCELP"],"itemData":{"id":2738,"type":"article-journal","container-title":"Journal of Vision","DOI":"10.1167/8.15.10","ISSN":"1534-7362","issue":"15","journalAbbreviation":"Journal of Vision","language":"en","note":"publisher: The Association for Research in Vision and Ophthalmology","page":"10-10","source":"jov.arvojournals.org","title":"Fine-scale activity patterns in high-level visual areas encode the category of invisible objects","volume":"8","author":[{"family":"Sterzer","given":"Philipp"},{"family":"Haynes","given":"John-Dylan"},{"family":"Rees","given":"Geraint"}],"issued":{"date-parts":[["2008",11,1]]}}}],"schema":"https://github.com/citation-style-language/schema/raw/master/csl-citation.json"} </w:instrText>
      </w:r>
      <w:r w:rsidR="00BC2CCF" w:rsidRPr="000217C7">
        <w:rPr>
          <w:color w:val="000000" w:themeColor="text1"/>
        </w:rPr>
        <w:fldChar w:fldCharType="separate"/>
      </w:r>
      <w:r w:rsidR="000239D6" w:rsidRPr="000217C7">
        <w:rPr>
          <w:rFonts w:cs="Times New Roman"/>
          <w:color w:val="000000" w:themeColor="text1"/>
          <w:lang w:val="en-GB"/>
        </w:rPr>
        <w:t>(Fang and He, 2005; Sterzer et al., 2008)</w:t>
      </w:r>
      <w:r w:rsidR="00BC2CCF" w:rsidRPr="000217C7">
        <w:rPr>
          <w:color w:val="000000" w:themeColor="text1"/>
        </w:rPr>
        <w:fldChar w:fldCharType="end"/>
      </w:r>
      <w:r w:rsidR="00DE064E" w:rsidRPr="000217C7">
        <w:rPr>
          <w:color w:val="000000" w:themeColor="text1"/>
        </w:rPr>
        <w:t xml:space="preserve">. </w:t>
      </w:r>
      <w:r w:rsidR="0001735A" w:rsidRPr="000217C7">
        <w:rPr>
          <w:color w:val="000000" w:themeColor="text1"/>
        </w:rPr>
        <w:t>Also</w:t>
      </w:r>
      <w:r w:rsidR="00DE064E" w:rsidRPr="000217C7">
        <w:rPr>
          <w:color w:val="000000" w:themeColor="text1"/>
        </w:rPr>
        <w:t>, the time that it takes for stimuli to break suppression has been related to the activation of the occipitotemporal and orbitofrontal cortex, suggesting a crucial role of these high-level cortical regions devoted to reward in processing</w:t>
      </w:r>
      <w:r w:rsidR="00B31B31" w:rsidRPr="000217C7">
        <w:rPr>
          <w:color w:val="000000" w:themeColor="text1"/>
        </w:rPr>
        <w:t xml:space="preserve"> the preconscious</w:t>
      </w:r>
      <w:r w:rsidR="00DE064E" w:rsidRPr="000217C7">
        <w:rPr>
          <w:color w:val="000000" w:themeColor="text1"/>
        </w:rPr>
        <w:t xml:space="preserve"> affective salience </w:t>
      </w:r>
      <w:r w:rsidR="00BD3E0B" w:rsidRPr="000217C7">
        <w:rPr>
          <w:color w:val="000000" w:themeColor="text1"/>
        </w:rPr>
        <w:t>of the stimul</w:t>
      </w:r>
      <w:r w:rsidR="0001735A" w:rsidRPr="000217C7">
        <w:rPr>
          <w:color w:val="000000" w:themeColor="text1"/>
        </w:rPr>
        <w:t>u</w:t>
      </w:r>
      <w:r w:rsidR="00BD3E0B" w:rsidRPr="000217C7">
        <w:rPr>
          <w:color w:val="000000" w:themeColor="text1"/>
        </w:rPr>
        <w:t xml:space="preserve">s </w:t>
      </w:r>
      <w:r w:rsidR="00DE064E" w:rsidRPr="000217C7">
        <w:rPr>
          <w:color w:val="000000" w:themeColor="text1"/>
        </w:rPr>
        <w:t xml:space="preserve">and </w:t>
      </w:r>
      <w:r w:rsidR="00765325" w:rsidRPr="000217C7">
        <w:rPr>
          <w:color w:val="000000" w:themeColor="text1"/>
        </w:rPr>
        <w:t xml:space="preserve">in </w:t>
      </w:r>
      <w:r w:rsidR="00B31B31" w:rsidRPr="000217C7">
        <w:rPr>
          <w:color w:val="000000" w:themeColor="text1"/>
        </w:rPr>
        <w:t>influencing the speed of visual awareness through top-down modulation of visual areas</w:t>
      </w:r>
      <w:r w:rsidR="00DE064E" w:rsidRPr="000217C7">
        <w:rPr>
          <w:color w:val="000000" w:themeColor="text1"/>
        </w:rPr>
        <w:t xml:space="preserve"> </w:t>
      </w:r>
      <w:r w:rsidR="00BC2CCF" w:rsidRPr="000217C7">
        <w:rPr>
          <w:color w:val="000000" w:themeColor="text1"/>
        </w:rPr>
        <w:fldChar w:fldCharType="begin"/>
      </w:r>
      <w:r w:rsidR="003F3C87" w:rsidRPr="000217C7">
        <w:rPr>
          <w:color w:val="000000" w:themeColor="text1"/>
        </w:rPr>
        <w:instrText xml:space="preserve"> ADDIN ZOTERO_ITEM CSL_CITATION {"citationID":"14fm51pi0i","properties":{"formattedCitation":"(Schmack et al., 2016)","plainCitation":"(Schmack et al., 2016)","noteIndex":0},"citationItems":[{"id":112,"uris":["http://zotero.org/users/local/ukz7dhIj/items/QKSI2XUV"],"uri":["http://zotero.org/users/local/ukz7dhIj/items/QKSI2XUV"],"itemData":{"id":112,"type":"article-journal","abstract":"The affective value of a stimulus substantially influences its potency to gain\n                    access to awareness. Here, we sought to elucidate the neural mechanisms\n                    underlying such affective salience in a combined behavioral and fMRI experiment.\n                    Healthy individuals with varying degrees of spider phobia were presented with\n                    pictures of spiders and flowers suppressed from view by continuous flash\n                    suppression. Applying multivoxel pattern analysis, we found that the average\n                    time that spider stimuli took relative to flowers to gain access to awareness in\n                    each participant could be decoded from fMRI signals evoked by suppressed spider\n                    versus flower stimuli in occipitotemporal and orbitofrontal cortex. Our results\n                    indicate neural signals during unconscious processing of complex visual\n                    information in orbitofrontal and ventral visual areas predict access to\n                    awareness of this information, suggesting a crucial role for these higher-level\n                    cortical regions in mediating affective salience.","container-title":"Cerebral Cortex","DOI":"10.1093/cercor/bhv174","ISSN":"1047-3211","issue":"8","journalAbbreviation":"Cereb Cortex","page":"3453-3460","source":"academic.oup.com","title":"Predicting Subjective Affective Salience from Cortical Responses to Invisible Object Stimuli","volume":"26","author":[{"family":"Schmack","given":"Katharina"},{"family":"Burk","given":"Julia"},{"family":"Haynes","given":"John-Dylan"},{"family":"Sterzer","given":"Philipp"}],"issued":{"date-parts":[["2016",8,1]]}}}],"schema":"https://github.com/citation-style-language/schema/raw/master/csl-citation.json"} </w:instrText>
      </w:r>
      <w:r w:rsidR="00BC2CCF" w:rsidRPr="000217C7">
        <w:rPr>
          <w:color w:val="000000" w:themeColor="text1"/>
        </w:rPr>
        <w:fldChar w:fldCharType="separate"/>
      </w:r>
      <w:r w:rsidR="00C733F8" w:rsidRPr="000217C7">
        <w:rPr>
          <w:noProof/>
          <w:color w:val="000000" w:themeColor="text1"/>
        </w:rPr>
        <w:t>(Schmack et al., 2016)</w:t>
      </w:r>
      <w:r w:rsidR="00BC2CCF" w:rsidRPr="000217C7">
        <w:rPr>
          <w:color w:val="000000" w:themeColor="text1"/>
        </w:rPr>
        <w:fldChar w:fldCharType="end"/>
      </w:r>
      <w:r w:rsidR="007D4E78" w:rsidRPr="000217C7">
        <w:rPr>
          <w:color w:val="000000" w:themeColor="text1"/>
        </w:rPr>
        <w:t>.</w:t>
      </w:r>
      <w:r w:rsidR="00DE064E" w:rsidRPr="000217C7">
        <w:rPr>
          <w:color w:val="000000" w:themeColor="text1"/>
        </w:rPr>
        <w:t xml:space="preserve"> </w:t>
      </w:r>
      <w:r w:rsidR="00765325" w:rsidRPr="000217C7">
        <w:rPr>
          <w:color w:val="000000" w:themeColor="text1"/>
        </w:rPr>
        <w:t>Cruci</w:t>
      </w:r>
      <w:r w:rsidR="00DF1BE3" w:rsidRPr="000217C7">
        <w:rPr>
          <w:color w:val="000000" w:themeColor="text1"/>
        </w:rPr>
        <w:t>a</w:t>
      </w:r>
      <w:r w:rsidR="00765325" w:rsidRPr="000217C7">
        <w:rPr>
          <w:color w:val="000000" w:themeColor="text1"/>
        </w:rPr>
        <w:t>lly, we recently found that the</w:t>
      </w:r>
      <w:r w:rsidR="00DE064E" w:rsidRPr="000217C7">
        <w:rPr>
          <w:color w:val="000000" w:themeColor="text1"/>
        </w:rPr>
        <w:t xml:space="preserve"> </w:t>
      </w:r>
      <w:r w:rsidR="007753B3" w:rsidRPr="000217C7">
        <w:rPr>
          <w:color w:val="000000" w:themeColor="text1"/>
        </w:rPr>
        <w:t>excitatory modulation of the right prefrontal cortex</w:t>
      </w:r>
      <w:r w:rsidR="00765325" w:rsidRPr="000217C7">
        <w:rPr>
          <w:color w:val="000000" w:themeColor="text1"/>
        </w:rPr>
        <w:t xml:space="preserve">, a high-level </w:t>
      </w:r>
      <w:r w:rsidR="00DF1BE3" w:rsidRPr="000217C7">
        <w:rPr>
          <w:color w:val="000000" w:themeColor="text1"/>
        </w:rPr>
        <w:t xml:space="preserve">cortical </w:t>
      </w:r>
      <w:r w:rsidR="00765325" w:rsidRPr="000217C7">
        <w:rPr>
          <w:color w:val="000000" w:themeColor="text1"/>
        </w:rPr>
        <w:t>region involved in awareness</w:t>
      </w:r>
      <w:r w:rsidR="00F34ED5" w:rsidRPr="000217C7">
        <w:rPr>
          <w:color w:val="000000" w:themeColor="text1"/>
        </w:rPr>
        <w:t xml:space="preserve"> </w:t>
      </w:r>
      <w:r w:rsidR="00F34ED5" w:rsidRPr="000217C7">
        <w:rPr>
          <w:color w:val="000000" w:themeColor="text1"/>
        </w:rPr>
        <w:fldChar w:fldCharType="begin"/>
      </w:r>
      <w:r w:rsidR="00F34ED5" w:rsidRPr="000217C7">
        <w:rPr>
          <w:color w:val="000000" w:themeColor="text1"/>
        </w:rPr>
        <w:instrText xml:space="preserve"> ADDIN ZOTERO_ITEM CSL_CITATION {"citationID":"adjpe5sa10","properties":{"formattedCitation":"(Dehaene and Changeux, 2011)","plainCitation":"(Dehaene and Changeux, 2011)","noteIndex":0},"citationItems":[{"id":2865,"uris":["http://zotero.org/users/local/ukz7dhIj/items/PGZFIR7Q"],"uri":["http://zotero.org/users/local/ukz7dhIj/items/PGZFIR7Q"],"itemData":{"id":2865,"type":"article-journal","abstract":"Recent experimental studies and theoretical models have begun to address the challenge of establishing a causal link between subjective conscious experience and measurable neuronal activity. The present review focuses on the well-delimited issue of how an external or internal piece of information goes beyond nonconscious processing and gains access to conscious processing, a transition characterized by the existence of a reportable subjective experience. Converging neuroimaging and neurophysiological data, acquired during minimal experimental contrasts between conscious and nonconscious processing, point to objective neural measures of conscious access: late amplification of relevant sensory activity, long-distance cortico-cortical synchronization at beta and gamma frequencies, and \"ignition\" of a large-scale prefronto-parietal network. We compare these findings to current theoretical models of conscious processing, including the Global Neuronal Workspace (GNW) model according to which conscious access occurs when incoming information is made globally available to multiple brain systems through a network of neurons with long-range axons densely distributed in prefrontal, parieto-temporal, and cingulate cortices. The clinical implications of these results for general anesthesia, coma, vegetative state, and schizophrenia are discussed.","container-title":"Neuron","DOI":"10.1016/j.neuron.2011.03.018","ISSN":"1097-4199","issue":"2","journalAbbreviation":"Neuron","language":"eng","note":"PMID: 21521609","page":"200-227","source":"PubMed","title":"Experimental and theoretical approaches to conscious processing","volume":"70","author":[{"family":"Dehaene","given":"Stanislas"},{"family":"Changeux","given":"Jean-Pierre"}],"issued":{"date-parts":[["2011",4,28]]}}}],"schema":"https://github.com/citation-style-language/schema/raw/master/csl-citation.json"} </w:instrText>
      </w:r>
      <w:r w:rsidR="00F34ED5" w:rsidRPr="000217C7">
        <w:rPr>
          <w:color w:val="000000" w:themeColor="text1"/>
        </w:rPr>
        <w:fldChar w:fldCharType="separate"/>
      </w:r>
      <w:r w:rsidR="00F34ED5" w:rsidRPr="000217C7">
        <w:rPr>
          <w:rFonts w:cs="Times New Roman"/>
          <w:color w:val="000000" w:themeColor="text1"/>
          <w:lang w:val="en-GB"/>
        </w:rPr>
        <w:t>(Dehaene and Changeux, 2011)</w:t>
      </w:r>
      <w:r w:rsidR="00F34ED5" w:rsidRPr="000217C7">
        <w:rPr>
          <w:color w:val="000000" w:themeColor="text1"/>
        </w:rPr>
        <w:fldChar w:fldCharType="end"/>
      </w:r>
      <w:r w:rsidR="00765325" w:rsidRPr="000217C7">
        <w:rPr>
          <w:color w:val="000000" w:themeColor="text1"/>
        </w:rPr>
        <w:t>, reduces detection times in the bCFS task</w:t>
      </w:r>
      <w:r w:rsidR="007753B3" w:rsidRPr="000217C7">
        <w:rPr>
          <w:color w:val="000000" w:themeColor="text1"/>
        </w:rPr>
        <w:t>s especially in individuals with a higher BMI</w:t>
      </w:r>
      <w:r w:rsidR="00FE2FF5" w:rsidRPr="000217C7">
        <w:rPr>
          <w:color w:val="000000" w:themeColor="text1"/>
        </w:rPr>
        <w:t xml:space="preserve"> </w:t>
      </w:r>
      <w:r w:rsidR="00BC2CCF" w:rsidRPr="000217C7">
        <w:rPr>
          <w:color w:val="000000" w:themeColor="text1"/>
        </w:rPr>
        <w:fldChar w:fldCharType="begin"/>
      </w:r>
      <w:r w:rsidR="00D06948" w:rsidRPr="000217C7">
        <w:rPr>
          <w:color w:val="000000" w:themeColor="text1"/>
        </w:rPr>
        <w:instrText xml:space="preserve"> ADDIN ZOTERO_ITEM CSL_CITATION {"citationID":"a6c40ubtce","properties":{"formattedCitation":"(Osimo et al., 2019)","plainCitation":"(Osimo et al., 2019)","noteIndex":0},"citationItems":[{"id":1829,"uris":["http://zotero.org/users/local/ukz7dhIj/items/KF44F9QX"],"uri":["http://zotero.org/users/local/ukz7dhIj/items/KF44F9QX"],"itemData":{"id":1829,"type":"article-journal","abstract":"The prefrontal cortex (PFC) plays a central role in food choice, and may be partly dysfunctional in obesity – a condition linked to altered attention and inhibition processes, particularly in response to food-related stimuli. We investigated the role of the PFC in subliminal visual processing and response inhibition to food pictures using anodal, cathodal, or sham transcranial direct current stimulation (tDCS) in a sample of 53 normal weight, overweight, or obese participants. Subliminal processing was measured with a breaking continuous flash suppression task (bCFS), and inhibition with a Go/No-Go task. BMI was included in the analyses as a continuous predictor. Higher BMI was associated with prolonged subliminal processing for both food and nonfood pictures in the bCFS task, and with longer RTs in food Go trials in the Go/No-Go task. Therefore, higher BMI was associated with an attentional bias for food images during supraliminal, but not subliminal visual processing. Moreover, anodal tDCS resulted in shorter detection times in the bCFS task, especially in participants with higher BMI. We conclude that anodal tDCS affects subliminal perception and attentional processes, and speculate that these effects may explain previous reports of reduced craving and food intake after anodal tDCS.","container-title":"Behaviour Research and Therapy","DOI":"10.1016/j.brat.2019.05.005","ISSN":"0005-7967","journalAbbreviation":"Behaviour Research and Therapy","source":"ScienceDirect","title":"Obesity, subliminal perception and inhibition: Neuromodulation of the prefrontal cortex","title-short":"Obesity, subliminal perception and inhibition","URL":"http://www.sciencedirect.com/science/article/pii/S0005796719300889","author":[{"family":"Osimo","given":"Sofia Adelaide"},{"family":"Korb","given":"Sebastian"},{"family":"Aiello","given":"Marilena"}],"accessed":{"date-parts":[["2019",5,28]]},"issued":{"date-parts":[["2019",5,19]]}}}],"schema":"https://github.com/citation-style-language/schema/raw/master/csl-citation.json"} </w:instrText>
      </w:r>
      <w:r w:rsidR="00BC2CCF" w:rsidRPr="000217C7">
        <w:rPr>
          <w:color w:val="000000" w:themeColor="text1"/>
        </w:rPr>
        <w:fldChar w:fldCharType="separate"/>
      </w:r>
      <w:r w:rsidR="00D06948" w:rsidRPr="000217C7">
        <w:rPr>
          <w:rFonts w:cs="Times New Roman"/>
          <w:color w:val="000000" w:themeColor="text1"/>
          <w:lang w:val="en-GB"/>
        </w:rPr>
        <w:t>(Osimo et al., 2019)</w:t>
      </w:r>
      <w:r w:rsidR="00BC2CCF" w:rsidRPr="000217C7">
        <w:rPr>
          <w:color w:val="000000" w:themeColor="text1"/>
        </w:rPr>
        <w:fldChar w:fldCharType="end"/>
      </w:r>
      <w:r w:rsidR="007753B3" w:rsidRPr="000217C7">
        <w:rPr>
          <w:color w:val="000000" w:themeColor="text1"/>
        </w:rPr>
        <w:t>.</w:t>
      </w:r>
      <w:r w:rsidR="00DE064E" w:rsidRPr="000217C7">
        <w:rPr>
          <w:color w:val="000000" w:themeColor="text1"/>
        </w:rPr>
        <w:t xml:space="preserve"> On this basis,</w:t>
      </w:r>
      <w:r w:rsidR="007753B3" w:rsidRPr="000217C7">
        <w:rPr>
          <w:color w:val="000000" w:themeColor="text1"/>
        </w:rPr>
        <w:t xml:space="preserve"> </w:t>
      </w:r>
      <w:r w:rsidR="00DE064E" w:rsidRPr="000217C7">
        <w:rPr>
          <w:color w:val="000000" w:themeColor="text1"/>
        </w:rPr>
        <w:t>w</w:t>
      </w:r>
      <w:r w:rsidR="007D4E78" w:rsidRPr="000217C7">
        <w:rPr>
          <w:color w:val="000000" w:themeColor="text1"/>
        </w:rPr>
        <w:t>e</w:t>
      </w:r>
      <w:r w:rsidR="007962C1" w:rsidRPr="000217C7">
        <w:rPr>
          <w:color w:val="000000" w:themeColor="text1"/>
        </w:rPr>
        <w:t xml:space="preserve"> </w:t>
      </w:r>
      <w:r w:rsidR="002670AB" w:rsidRPr="000217C7">
        <w:rPr>
          <w:bCs/>
          <w:color w:val="000000" w:themeColor="text1"/>
        </w:rPr>
        <w:t>expect</w:t>
      </w:r>
      <w:r w:rsidR="007753B3" w:rsidRPr="000217C7">
        <w:rPr>
          <w:bCs/>
          <w:color w:val="000000" w:themeColor="text1"/>
        </w:rPr>
        <w:t xml:space="preserve"> to replicate the result that higher BMI correlate</w:t>
      </w:r>
      <w:r w:rsidR="007F270B" w:rsidRPr="000217C7">
        <w:rPr>
          <w:bCs/>
          <w:color w:val="000000" w:themeColor="text1"/>
        </w:rPr>
        <w:t>s</w:t>
      </w:r>
      <w:r w:rsidR="007753B3" w:rsidRPr="000217C7">
        <w:rPr>
          <w:bCs/>
          <w:color w:val="000000" w:themeColor="text1"/>
        </w:rPr>
        <w:t xml:space="preserve"> with slower subliminal processing</w:t>
      </w:r>
      <w:r w:rsidR="0031312B" w:rsidRPr="000217C7">
        <w:rPr>
          <w:bCs/>
          <w:color w:val="000000" w:themeColor="text1"/>
        </w:rPr>
        <w:t xml:space="preserve"> and </w:t>
      </w:r>
      <w:r w:rsidR="00DF187F" w:rsidRPr="000217C7">
        <w:rPr>
          <w:bCs/>
          <w:color w:val="000000" w:themeColor="text1"/>
        </w:rPr>
        <w:t xml:space="preserve">reduced </w:t>
      </w:r>
      <w:r w:rsidR="0031312B" w:rsidRPr="000217C7">
        <w:rPr>
          <w:bCs/>
          <w:color w:val="000000" w:themeColor="text1"/>
        </w:rPr>
        <w:t>inhibition.</w:t>
      </w:r>
      <w:r w:rsidR="007962C1" w:rsidRPr="000217C7">
        <w:rPr>
          <w:bCs/>
          <w:color w:val="000000" w:themeColor="text1"/>
        </w:rPr>
        <w:t xml:space="preserve"> </w:t>
      </w:r>
      <w:r w:rsidR="0001735A" w:rsidRPr="000217C7">
        <w:rPr>
          <w:bCs/>
          <w:color w:val="000000" w:themeColor="text1"/>
        </w:rPr>
        <w:t>W</w:t>
      </w:r>
      <w:r w:rsidR="007753B3" w:rsidRPr="000217C7">
        <w:rPr>
          <w:bCs/>
          <w:color w:val="000000" w:themeColor="text1"/>
        </w:rPr>
        <w:t xml:space="preserve">e </w:t>
      </w:r>
      <w:r w:rsidR="007962C1" w:rsidRPr="000217C7">
        <w:rPr>
          <w:bCs/>
          <w:color w:val="000000" w:themeColor="text1"/>
        </w:rPr>
        <w:t>predict</w:t>
      </w:r>
      <w:r w:rsidR="002670AB" w:rsidRPr="000217C7">
        <w:rPr>
          <w:bCs/>
          <w:color w:val="000000" w:themeColor="text1"/>
        </w:rPr>
        <w:t xml:space="preserve"> that</w:t>
      </w:r>
      <w:r w:rsidR="0031312B" w:rsidRPr="000217C7">
        <w:rPr>
          <w:bCs/>
          <w:color w:val="000000" w:themeColor="text1"/>
        </w:rPr>
        <w:t xml:space="preserve"> </w:t>
      </w:r>
      <w:r w:rsidR="00DF187F" w:rsidRPr="000217C7">
        <w:rPr>
          <w:bCs/>
          <w:color w:val="000000" w:themeColor="text1"/>
        </w:rPr>
        <w:t xml:space="preserve">reduced </w:t>
      </w:r>
      <w:r w:rsidR="0031312B" w:rsidRPr="000217C7">
        <w:rPr>
          <w:bCs/>
          <w:color w:val="000000" w:themeColor="text1"/>
        </w:rPr>
        <w:t xml:space="preserve">inhibition at the Go/No-Go task will be linked to </w:t>
      </w:r>
      <w:r w:rsidR="00E941C9" w:rsidRPr="000217C7">
        <w:rPr>
          <w:bCs/>
          <w:color w:val="000000" w:themeColor="text1"/>
        </w:rPr>
        <w:lastRenderedPageBreak/>
        <w:t>lower GM density and reduced connectivity of</w:t>
      </w:r>
      <w:r w:rsidR="0031312B" w:rsidRPr="000217C7">
        <w:rPr>
          <w:bCs/>
          <w:color w:val="000000" w:themeColor="text1"/>
        </w:rPr>
        <w:t xml:space="preserve"> </w:t>
      </w:r>
      <w:r w:rsidR="007D41B3" w:rsidRPr="000217C7">
        <w:rPr>
          <w:bCs/>
          <w:color w:val="000000" w:themeColor="text1"/>
        </w:rPr>
        <w:t xml:space="preserve">frontal regions </w:t>
      </w:r>
      <w:r w:rsidR="00BC2CCF" w:rsidRPr="000217C7">
        <w:rPr>
          <w:color w:val="000000" w:themeColor="text1"/>
        </w:rPr>
        <w:fldChar w:fldCharType="begin"/>
      </w:r>
      <w:r w:rsidR="000239D6" w:rsidRPr="000217C7">
        <w:rPr>
          <w:color w:val="000000" w:themeColor="text1"/>
        </w:rPr>
        <w:instrText xml:space="preserve"> ADDIN ZOTERO_ITEM CSL_CITATION {"citationID":"bSdya8jF","properties":{"formattedCitation":"(Batterink et al., 2010)","plainCitation":"(Batterink et al., 2010)","noteIndex":0},"citationItems":[{"id":2166,"uris":["http://zotero.org/users/local/ukz7dhIj/items/R6ZJ5JI5"],"uri":["http://zotero.org/users/local/ukz7dhIj/items/R6ZJ5JI5"],"itemData":{"id":2166,"type":"article-journal","abstract":"Self-report and behavioral data suggest that impulsivity may contribute to the development and maintenance of obesity. Neuroimaging studies implicate a widespread neural network in inhibitory control and suggest that impulsive individuals show hypoactivity in these regions during tasks requiring response inhibition. Yet, research has not directly tested whether body mass correlates inversely with activation of these regions during response inhibition tasks. The present study used functional magnetic resonance imaging (fMRI) to investigate neural activations during a food-specific go/no-go task in adolescent girls ranging from lean to obese. When required to inhibit prepotent responses to appetizing food, body mass index (BMI) correlated with response inhibition at both the behavioral and neural levels, with more overweight adolescents showing greater behavioral evidence of impulsivity as well as reduced activation of frontal inhibitory regions, including superior frontal gyrus, middle frontal gyrus, ventrolateral prefrontal cortex, medial prefrontal cortex, and orbitofrontal cortex, than leaner individuals. As well, activation in food reward regions (e.g., temporal operculum/insula) in response to food images correlated positively with BMI. Results suggest that hypofunctioning of inhibitory control regions and increased response of food reward regions are related to elevated weight.","container-title":"NeuroImage","DOI":"10.1016/j.neuroimage.2010.05.059","ISSN":"1095-9572","issue":"4","journalAbbreviation":"Neuroimage","language":"eng","note":"PMID: 20510377\nPMCID: PMC2910204","page":"1696-1703","source":"PubMed","title":"Body mass correlates inversely with inhibitory control in response to food among adolescent girls: an fMRI study","title-short":"Body mass correlates inversely with inhibitory control in response to food among adolescent girls","volume":"52","author":[{"family":"Batterink","given":"Laura"},{"family":"Yokum","given":"Sonja"},{"family":"Stice","given":"Eric"}],"issued":{"date-parts":[["2010",10,1]]}}}],"schema":"https://github.com/citation-style-language/schema/raw/master/csl-citation.json"} </w:instrText>
      </w:r>
      <w:r w:rsidR="00BC2CCF" w:rsidRPr="000217C7">
        <w:rPr>
          <w:color w:val="000000" w:themeColor="text1"/>
        </w:rPr>
        <w:fldChar w:fldCharType="separate"/>
      </w:r>
      <w:r w:rsidR="007D41B3" w:rsidRPr="000217C7">
        <w:rPr>
          <w:noProof/>
          <w:color w:val="000000" w:themeColor="text1"/>
        </w:rPr>
        <w:t>(Batterink et al., 2010)</w:t>
      </w:r>
      <w:r w:rsidR="00BC2CCF" w:rsidRPr="000217C7">
        <w:rPr>
          <w:color w:val="000000" w:themeColor="text1"/>
        </w:rPr>
        <w:fldChar w:fldCharType="end"/>
      </w:r>
      <w:r w:rsidR="007D41B3" w:rsidRPr="000217C7">
        <w:rPr>
          <w:color w:val="000000" w:themeColor="text1"/>
        </w:rPr>
        <w:t xml:space="preserve">, and that </w:t>
      </w:r>
      <w:r w:rsidR="002670AB" w:rsidRPr="000217C7">
        <w:rPr>
          <w:bCs/>
          <w:color w:val="000000" w:themeColor="text1"/>
        </w:rPr>
        <w:t xml:space="preserve">behavioral </w:t>
      </w:r>
      <w:r w:rsidR="002670AB" w:rsidRPr="000217C7">
        <w:rPr>
          <w:color w:val="000000" w:themeColor="text1"/>
        </w:rPr>
        <w:t xml:space="preserve">differences </w:t>
      </w:r>
      <w:r w:rsidR="007D41B3" w:rsidRPr="000217C7">
        <w:rPr>
          <w:color w:val="000000" w:themeColor="text1"/>
        </w:rPr>
        <w:t xml:space="preserve">in suppression times in the </w:t>
      </w:r>
      <w:r w:rsidR="007D4E78" w:rsidRPr="000217C7">
        <w:rPr>
          <w:color w:val="000000" w:themeColor="text1"/>
        </w:rPr>
        <w:t>CFS task</w:t>
      </w:r>
      <w:r w:rsidR="002670AB" w:rsidRPr="000217C7">
        <w:rPr>
          <w:color w:val="000000" w:themeColor="text1"/>
        </w:rPr>
        <w:t xml:space="preserve"> in</w:t>
      </w:r>
      <w:r w:rsidR="00300DFE" w:rsidRPr="000217C7">
        <w:rPr>
          <w:color w:val="000000" w:themeColor="text1"/>
        </w:rPr>
        <w:t xml:space="preserve"> </w:t>
      </w:r>
      <w:r w:rsidR="00C57001" w:rsidRPr="000217C7">
        <w:rPr>
          <w:color w:val="000000" w:themeColor="text1"/>
        </w:rPr>
        <w:t xml:space="preserve">individuals with a higher BMI </w:t>
      </w:r>
      <w:r w:rsidR="007D41B3" w:rsidRPr="000217C7">
        <w:rPr>
          <w:color w:val="000000" w:themeColor="text1"/>
        </w:rPr>
        <w:t xml:space="preserve">will </w:t>
      </w:r>
      <w:r w:rsidR="007D4E78" w:rsidRPr="000217C7">
        <w:rPr>
          <w:color w:val="000000" w:themeColor="text1"/>
        </w:rPr>
        <w:t xml:space="preserve">be reflected in </w:t>
      </w:r>
      <w:r w:rsidR="00E941C9" w:rsidRPr="000217C7">
        <w:rPr>
          <w:color w:val="000000" w:themeColor="text1"/>
        </w:rPr>
        <w:t xml:space="preserve">lower GM density and connectivity </w:t>
      </w:r>
      <w:r w:rsidR="007D4E78" w:rsidRPr="000217C7">
        <w:rPr>
          <w:color w:val="000000" w:themeColor="text1"/>
        </w:rPr>
        <w:t xml:space="preserve">of </w:t>
      </w:r>
      <w:r w:rsidR="007753B3" w:rsidRPr="000217C7">
        <w:rPr>
          <w:color w:val="000000" w:themeColor="text1"/>
        </w:rPr>
        <w:t>frontal control</w:t>
      </w:r>
      <w:r w:rsidR="00DE064E" w:rsidRPr="000217C7">
        <w:rPr>
          <w:color w:val="000000" w:themeColor="text1"/>
        </w:rPr>
        <w:t xml:space="preserve"> and reward</w:t>
      </w:r>
      <w:r w:rsidR="007753B3" w:rsidRPr="000217C7">
        <w:rPr>
          <w:color w:val="000000" w:themeColor="text1"/>
        </w:rPr>
        <w:t xml:space="preserve"> regions, such as the prefrontal cortex</w:t>
      </w:r>
      <w:r w:rsidR="00E941C9" w:rsidRPr="000217C7">
        <w:rPr>
          <w:color w:val="000000" w:themeColor="text1"/>
        </w:rPr>
        <w:t xml:space="preserve"> </w:t>
      </w:r>
      <w:r w:rsidR="00DE064E" w:rsidRPr="000217C7">
        <w:rPr>
          <w:color w:val="000000" w:themeColor="text1"/>
        </w:rPr>
        <w:t>and the orbitofrontal cortex</w:t>
      </w:r>
      <w:r w:rsidR="007D4E78" w:rsidRPr="000217C7">
        <w:rPr>
          <w:color w:val="000000" w:themeColor="text1"/>
        </w:rPr>
        <w:t>.</w:t>
      </w:r>
    </w:p>
    <w:p w14:paraId="169C0C0B" w14:textId="77777777" w:rsidR="006F0A2E" w:rsidRPr="000217C7" w:rsidRDefault="006235A1" w:rsidP="003705CB">
      <w:pPr>
        <w:pStyle w:val="Heading1"/>
      </w:pPr>
      <w:bookmarkStart w:id="8" w:name="_Toc528590097"/>
      <w:r w:rsidRPr="000217C7">
        <w:t xml:space="preserve">2 - </w:t>
      </w:r>
      <w:r w:rsidR="006F0A2E" w:rsidRPr="000217C7">
        <w:t>Methods</w:t>
      </w:r>
      <w:bookmarkEnd w:id="8"/>
    </w:p>
    <w:p w14:paraId="7B86CFB2" w14:textId="77777777" w:rsidR="006F0A2E" w:rsidRPr="000217C7" w:rsidRDefault="006235A1" w:rsidP="003705CB">
      <w:pPr>
        <w:pStyle w:val="Heading2"/>
      </w:pPr>
      <w:bookmarkStart w:id="9" w:name="_Toc528590098"/>
      <w:r w:rsidRPr="000217C7">
        <w:t xml:space="preserve">2.1 </w:t>
      </w:r>
      <w:r w:rsidR="006F0A2E" w:rsidRPr="000217C7">
        <w:t>Participants</w:t>
      </w:r>
      <w:bookmarkEnd w:id="9"/>
    </w:p>
    <w:p w14:paraId="7DDAC75D" w14:textId="17C4EB1E" w:rsidR="008E4088" w:rsidRPr="000217C7" w:rsidRDefault="006F0A2E" w:rsidP="005A68C7">
      <w:pPr>
        <w:rPr>
          <w:color w:val="000000" w:themeColor="text1"/>
        </w:rPr>
      </w:pPr>
      <w:r w:rsidRPr="000217C7">
        <w:rPr>
          <w:color w:val="000000" w:themeColor="text1"/>
        </w:rPr>
        <w:t>Fifty-three participants (thirteen males) aged 19-33 years (</w:t>
      </w:r>
      <w:r w:rsidRPr="000217C7">
        <w:rPr>
          <w:i/>
          <w:color w:val="000000" w:themeColor="text1"/>
        </w:rPr>
        <w:t xml:space="preserve">M </w:t>
      </w:r>
      <w:r w:rsidRPr="000217C7">
        <w:rPr>
          <w:color w:val="000000" w:themeColor="text1"/>
        </w:rPr>
        <w:t xml:space="preserve">= 23.2, </w:t>
      </w:r>
      <w:r w:rsidRPr="000217C7">
        <w:rPr>
          <w:i/>
          <w:color w:val="000000" w:themeColor="text1"/>
        </w:rPr>
        <w:t>SD</w:t>
      </w:r>
      <w:r w:rsidRPr="000217C7">
        <w:rPr>
          <w:color w:val="000000" w:themeColor="text1"/>
        </w:rPr>
        <w:t xml:space="preserve"> = 2.9) with normal or corrected-to-normal eyesight took part in the study. Participants were recruited on a volunteer basis through advertisement</w:t>
      </w:r>
      <w:r w:rsidR="00A33EE4" w:rsidRPr="000217C7">
        <w:rPr>
          <w:color w:val="000000" w:themeColor="text1"/>
        </w:rPr>
        <w:t>s</w:t>
      </w:r>
      <w:r w:rsidRPr="000217C7">
        <w:rPr>
          <w:color w:val="000000" w:themeColor="text1"/>
        </w:rPr>
        <w:t xml:space="preserve"> on different internet platforms. Potential participants were screened for conditions incompatible with MRI scanning, such as metal prostheses,</w:t>
      </w:r>
      <w:r w:rsidR="0074456B" w:rsidRPr="000217C7">
        <w:rPr>
          <w:color w:val="000000" w:themeColor="text1"/>
        </w:rPr>
        <w:t xml:space="preserve"> pregnancy</w:t>
      </w:r>
      <w:r w:rsidR="0001735A" w:rsidRPr="000217C7">
        <w:rPr>
          <w:color w:val="000000" w:themeColor="text1"/>
        </w:rPr>
        <w:t>,</w:t>
      </w:r>
      <w:r w:rsidR="0074456B" w:rsidRPr="000217C7">
        <w:rPr>
          <w:color w:val="000000" w:themeColor="text1"/>
        </w:rPr>
        <w:t xml:space="preserve"> and cardiopathy,</w:t>
      </w:r>
      <w:r w:rsidRPr="000217C7">
        <w:rPr>
          <w:color w:val="000000" w:themeColor="text1"/>
        </w:rPr>
        <w:t xml:space="preserve"> as well as for </w:t>
      </w:r>
      <w:r w:rsidR="00783ECF" w:rsidRPr="000217C7">
        <w:rPr>
          <w:color w:val="000000" w:themeColor="text1"/>
        </w:rPr>
        <w:t>color blindness</w:t>
      </w:r>
      <w:r w:rsidRPr="000217C7">
        <w:rPr>
          <w:color w:val="000000" w:themeColor="text1"/>
        </w:rPr>
        <w:t xml:space="preserve"> </w:t>
      </w:r>
      <w:r w:rsidR="002A1F45" w:rsidRPr="000217C7">
        <w:rPr>
          <w:color w:val="000000" w:themeColor="text1"/>
        </w:rPr>
        <w:t>and st</w:t>
      </w:r>
      <w:r w:rsidR="00743DDA" w:rsidRPr="000217C7">
        <w:rPr>
          <w:color w:val="000000" w:themeColor="text1"/>
        </w:rPr>
        <w:t>r</w:t>
      </w:r>
      <w:r w:rsidR="002A1F45" w:rsidRPr="000217C7">
        <w:rPr>
          <w:color w:val="000000" w:themeColor="text1"/>
        </w:rPr>
        <w:t>abism</w:t>
      </w:r>
      <w:r w:rsidR="00743DDA" w:rsidRPr="000217C7">
        <w:rPr>
          <w:color w:val="000000" w:themeColor="text1"/>
        </w:rPr>
        <w:t>us</w:t>
      </w:r>
      <w:r w:rsidR="0048505A" w:rsidRPr="000217C7">
        <w:rPr>
          <w:color w:val="000000" w:themeColor="text1"/>
        </w:rPr>
        <w:t xml:space="preserve">. </w:t>
      </w:r>
      <w:r w:rsidR="00301265" w:rsidRPr="000217C7">
        <w:rPr>
          <w:color w:val="000000" w:themeColor="text1"/>
        </w:rPr>
        <w:t xml:space="preserve">Participants filled the EAT-26 questionnaire, assessing their risk of having an eating </w:t>
      </w:r>
      <w:r w:rsidR="00DA44B4" w:rsidRPr="000217C7">
        <w:rPr>
          <w:color w:val="000000" w:themeColor="text1"/>
        </w:rPr>
        <w:t xml:space="preserve">disorder </w:t>
      </w:r>
      <w:r w:rsidR="00BC2CCF" w:rsidRPr="000217C7">
        <w:rPr>
          <w:color w:val="000000" w:themeColor="text1"/>
        </w:rPr>
        <w:fldChar w:fldCharType="begin"/>
      </w:r>
      <w:r w:rsidR="009456C2" w:rsidRPr="000217C7">
        <w:rPr>
          <w:color w:val="000000" w:themeColor="text1"/>
        </w:rPr>
        <w:instrText xml:space="preserve"> ADDIN ZOTERO_ITEM CSL_CITATION {"citationID":"UIuhQ0Qt","properties":{"formattedCitation":"(Dotti and Lazzari, 1998; Garner et al., 1982)","plainCitation":"(Dotti and Lazzari, 1998; Garner et al., 1982)","noteIndex":0},"citationItems":[{"id":1314,"uris":["http://zotero.org/users/local/ukz7dhIj/items/UXW6FSGA"],"uri":["http://zotero.org/users/local/ukz7dhIj/items/UXW6FSGA"],"itemData":{"id":1314,"type":"article-journal","abstract":"The Italian from of the short, 26-item Eating Attitudes Test (EAT-26) has been administered to 1277 Roman high-school students, mostly females, as a screening device. Ninety-five students with a total score &gt; 20 and 40 students with a low score, were randomly selected, interviewed and diagnosed. The EAT-26 proved to be more sensitive to the presence of an eating disorder than to a specific clinical entity. Item analysis performed on the EAT-26 variables showed satisfactory reliability coefficients. Factor analysis using an oblique rotation was similar to that obtained by Garner et al. (1). Factor analysis with an orthogonal rotation (Cattell's screen test) identified five factors. Results suggested that the EAT-26 isolates cases at risk of clinical spectrum eating disorders.","container-title":"Eating and weight disorders: EWD","ISSN":"1124-4909","issue":"4","journalAbbreviation":"Eat Weight Disord","language":"eng","note":"PMID: 10728170","page":"188-194","source":"PubMed","title":"Validation and reliability of the Italian EAT-26","volume":"3","author":[{"family":"Dotti","given":"A."},{"family":"Lazzari","given":"R."}],"issued":{"date-parts":[["1998",12]]}}},{"id":20,"uris":["http://zotero.org/users/local/ukz7dhIj/items/KMH5H3MN"],"uri":["http://zotero.org/users/local/ukz7dhIj/items/KMH5H3MN"],"itemData":{"id":20,"type":"article-journal","abstract":"Psychometric and clinical correlates of the Eating Attitudes Test (EAT) are described for a large sample of female anorexia nervosa (N = 160) and female comparison (N = 140) subjects. An abbreviated 26-item version of the EAT (EAT-26) is proposed, based on a factor analysis of the original scale (EAT-40). The EAT-26 is highly correlated with the EAT-40 (r = 0.98) and the three factors form subscales which are meaningfully related to bulimia, weight, body-image variables and psychological symptoms. Whereas there are no differences between bulimic and restricter anorexia nervosa patients on the total EAT-26 and EAT-40 scores, these groups do indicate significant differences on EAT-26 factors. Norms for the anorexia nervosa and female comparison subjects are presented for the EAT-26, EAT-40 and the EAT-26 factors. It is concluded that the EAT-26 is a reliable, valid and economical instrument which may be useful as an objective measure of the symptoms of anorexia nervosa.","container-title":"Psychological Medicine","DOI":"10.1017/S0033291700049163","ISSN":"0033-2917","issue":"4","journalAbbreviation":"Psychol Med","language":"eng","note":"PMID: 6961471","page":"871-878","source":"PubMed","title":"The eating attitudes test: psychometric features and clinical correlates","title-short":"The eating attitudes test","volume":"12","author":[{"family":"Garner","given":"D. M."},{"family":"Olmsted","given":"M. P."},{"family":"Bohr","given":"Y."},{"family":"Garfinkel","given":"P. E."}],"issued":{"date-parts":[["1982",11]]}}}],"schema":"https://github.com/citation-style-language/schema/raw/master/csl-citation.json"} </w:instrText>
      </w:r>
      <w:r w:rsidR="00BC2CCF" w:rsidRPr="000217C7">
        <w:rPr>
          <w:color w:val="000000" w:themeColor="text1"/>
        </w:rPr>
        <w:fldChar w:fldCharType="separate"/>
      </w:r>
      <w:r w:rsidR="009456C2" w:rsidRPr="000217C7">
        <w:rPr>
          <w:noProof/>
          <w:color w:val="000000" w:themeColor="text1"/>
        </w:rPr>
        <w:t>(Dotti and Lazzari, 1998; Garner et al., 1982)</w:t>
      </w:r>
      <w:r w:rsidR="00BC2CCF" w:rsidRPr="000217C7">
        <w:rPr>
          <w:color w:val="000000" w:themeColor="text1"/>
        </w:rPr>
        <w:fldChar w:fldCharType="end"/>
      </w:r>
      <w:r w:rsidR="00DA44B4" w:rsidRPr="000217C7">
        <w:rPr>
          <w:color w:val="000000" w:themeColor="text1"/>
        </w:rPr>
        <w:t xml:space="preserve">, and </w:t>
      </w:r>
      <w:r w:rsidR="00301265" w:rsidRPr="000217C7">
        <w:rPr>
          <w:color w:val="000000" w:themeColor="text1"/>
        </w:rPr>
        <w:t xml:space="preserve">reported their BMI. </w:t>
      </w:r>
      <w:r w:rsidR="00591342" w:rsidRPr="000217C7">
        <w:rPr>
          <w:color w:val="000000" w:themeColor="text1"/>
        </w:rPr>
        <w:t xml:space="preserve">One participant was excluded from analyses for not completing the tasks correctly. </w:t>
      </w:r>
      <w:r w:rsidR="00CE74F6" w:rsidRPr="000217C7">
        <w:rPr>
          <w:color w:val="000000" w:themeColor="text1"/>
        </w:rPr>
        <w:t xml:space="preserve">The </w:t>
      </w:r>
      <w:r w:rsidR="00591342" w:rsidRPr="000217C7">
        <w:rPr>
          <w:color w:val="000000" w:themeColor="text1"/>
        </w:rPr>
        <w:t xml:space="preserve">final </w:t>
      </w:r>
      <w:r w:rsidR="00CE74F6" w:rsidRPr="000217C7">
        <w:rPr>
          <w:color w:val="000000" w:themeColor="text1"/>
        </w:rPr>
        <w:t>sample included</w:t>
      </w:r>
      <w:r w:rsidR="00591342" w:rsidRPr="000217C7">
        <w:rPr>
          <w:color w:val="000000" w:themeColor="text1"/>
        </w:rPr>
        <w:t xml:space="preserve"> fifty-two participants:</w:t>
      </w:r>
      <w:r w:rsidR="00CE74F6" w:rsidRPr="000217C7">
        <w:rPr>
          <w:color w:val="000000" w:themeColor="text1"/>
        </w:rPr>
        <w:t xml:space="preserve"> 1</w:t>
      </w:r>
      <w:r w:rsidR="00D76685" w:rsidRPr="000217C7">
        <w:rPr>
          <w:color w:val="000000" w:themeColor="text1"/>
        </w:rPr>
        <w:t>2</w:t>
      </w:r>
      <w:r w:rsidR="00CE74F6" w:rsidRPr="000217C7">
        <w:rPr>
          <w:color w:val="000000" w:themeColor="text1"/>
        </w:rPr>
        <w:t>% underweight, 6</w:t>
      </w:r>
      <w:r w:rsidR="00D76685" w:rsidRPr="000217C7">
        <w:rPr>
          <w:color w:val="000000" w:themeColor="text1"/>
        </w:rPr>
        <w:t>7</w:t>
      </w:r>
      <w:r w:rsidR="00CE74F6" w:rsidRPr="000217C7">
        <w:rPr>
          <w:color w:val="000000" w:themeColor="text1"/>
        </w:rPr>
        <w:t>% normal weight, 15% overweight</w:t>
      </w:r>
      <w:r w:rsidR="00A33EE4" w:rsidRPr="000217C7">
        <w:rPr>
          <w:color w:val="000000" w:themeColor="text1"/>
        </w:rPr>
        <w:t>,</w:t>
      </w:r>
      <w:r w:rsidR="00CE74F6" w:rsidRPr="000217C7">
        <w:rPr>
          <w:color w:val="000000" w:themeColor="text1"/>
        </w:rPr>
        <w:t xml:space="preserve"> and 6% obese participants.</w:t>
      </w:r>
      <w:r w:rsidR="00370BFE" w:rsidRPr="000217C7">
        <w:rPr>
          <w:color w:val="000000" w:themeColor="text1"/>
        </w:rPr>
        <w:t xml:space="preserve"> </w:t>
      </w:r>
      <w:r w:rsidR="004575B6" w:rsidRPr="000217C7">
        <w:rPr>
          <w:color w:val="000000" w:themeColor="text1"/>
        </w:rPr>
        <w:t>The participants’ median BMI was 22.2.</w:t>
      </w:r>
      <w:r w:rsidR="005A68C7" w:rsidRPr="000217C7">
        <w:rPr>
          <w:color w:val="000000" w:themeColor="text1"/>
        </w:rPr>
        <w:t xml:space="preserve"> </w:t>
      </w:r>
      <w:r w:rsidR="00892870" w:rsidRPr="000217C7">
        <w:rPr>
          <w:color w:val="000000" w:themeColor="text1"/>
        </w:rPr>
        <w:t xml:space="preserve">Shapiro-Wilk’s test’s results showed that participants’ BMI and EAT-26 scores were not normally distributed (W = 0.834, </w:t>
      </w:r>
      <w:r w:rsidR="00892870" w:rsidRPr="000217C7">
        <w:rPr>
          <w:i/>
          <w:iCs/>
          <w:color w:val="000000" w:themeColor="text1"/>
        </w:rPr>
        <w:t>p</w:t>
      </w:r>
      <w:r w:rsidR="00892870" w:rsidRPr="000217C7">
        <w:rPr>
          <w:color w:val="000000" w:themeColor="text1"/>
        </w:rPr>
        <w:t xml:space="preserve"> &lt; 0.001 and W = 0.845, </w:t>
      </w:r>
      <w:r w:rsidR="00892870" w:rsidRPr="000217C7">
        <w:rPr>
          <w:i/>
          <w:iCs/>
          <w:color w:val="000000" w:themeColor="text1"/>
        </w:rPr>
        <w:t>p</w:t>
      </w:r>
      <w:r w:rsidR="00892870" w:rsidRPr="000217C7">
        <w:rPr>
          <w:color w:val="000000" w:themeColor="text1"/>
        </w:rPr>
        <w:t xml:space="preserve"> &lt; 0.001, respectively). </w:t>
      </w:r>
      <w:r w:rsidR="005A68C7" w:rsidRPr="000217C7">
        <w:rPr>
          <w:color w:val="000000" w:themeColor="text1"/>
        </w:rPr>
        <w:t>Participants also rated their hunger level on a Likert scale from 1 to 7 and reported how much time had passed since their previous meal.</w:t>
      </w:r>
      <w:r w:rsidR="004575B6" w:rsidRPr="000217C7">
        <w:rPr>
          <w:color w:val="000000" w:themeColor="text1"/>
        </w:rPr>
        <w:t xml:space="preserve"> </w:t>
      </w:r>
      <w:r w:rsidR="00C326FB" w:rsidRPr="000217C7">
        <w:rPr>
          <w:color w:val="000000" w:themeColor="text1"/>
        </w:rPr>
        <w:fldChar w:fldCharType="begin"/>
      </w:r>
      <w:r w:rsidR="00C326FB" w:rsidRPr="000217C7">
        <w:rPr>
          <w:color w:val="000000" w:themeColor="text1"/>
        </w:rPr>
        <w:instrText xml:space="preserve"> REF _Ref527043234 \h  \* MERGEFORMAT </w:instrText>
      </w:r>
      <w:r w:rsidR="00C326FB" w:rsidRPr="000217C7">
        <w:rPr>
          <w:color w:val="000000" w:themeColor="text1"/>
        </w:rPr>
      </w:r>
      <w:r w:rsidR="00C326FB" w:rsidRPr="000217C7">
        <w:rPr>
          <w:color w:val="000000" w:themeColor="text1"/>
        </w:rPr>
        <w:fldChar w:fldCharType="separate"/>
      </w:r>
      <w:r w:rsidR="004575B6" w:rsidRPr="000217C7">
        <w:rPr>
          <w:color w:val="000000" w:themeColor="text1"/>
        </w:rPr>
        <w:t>Table 1</w:t>
      </w:r>
      <w:r w:rsidR="00C326FB" w:rsidRPr="000217C7">
        <w:rPr>
          <w:color w:val="000000" w:themeColor="text1"/>
        </w:rPr>
        <w:fldChar w:fldCharType="end"/>
      </w:r>
      <w:r w:rsidR="004575B6" w:rsidRPr="000217C7">
        <w:rPr>
          <w:color w:val="000000" w:themeColor="text1"/>
        </w:rPr>
        <w:t xml:space="preserve"> summarizes t</w:t>
      </w:r>
      <w:r w:rsidR="008E4088" w:rsidRPr="000217C7">
        <w:rPr>
          <w:color w:val="000000" w:themeColor="text1"/>
        </w:rPr>
        <w:t>he demographical data of the experimental sample i</w:t>
      </w:r>
      <w:r w:rsidR="004575B6" w:rsidRPr="000217C7">
        <w:rPr>
          <w:color w:val="000000" w:themeColor="text1"/>
        </w:rPr>
        <w:t>n participants with a BMI higher than the median (“High</w:t>
      </w:r>
      <w:r w:rsidR="008417F2" w:rsidRPr="000217C7">
        <w:rPr>
          <w:color w:val="000000" w:themeColor="text1"/>
        </w:rPr>
        <w:t>er</w:t>
      </w:r>
      <w:r w:rsidR="004575B6" w:rsidRPr="000217C7">
        <w:rPr>
          <w:color w:val="000000" w:themeColor="text1"/>
        </w:rPr>
        <w:t xml:space="preserve"> BMI group”) and lower than the median (“Low</w:t>
      </w:r>
      <w:r w:rsidR="008417F2" w:rsidRPr="000217C7">
        <w:rPr>
          <w:color w:val="000000" w:themeColor="text1"/>
        </w:rPr>
        <w:t>er</w:t>
      </w:r>
      <w:r w:rsidR="004575B6" w:rsidRPr="000217C7">
        <w:rPr>
          <w:color w:val="000000" w:themeColor="text1"/>
        </w:rPr>
        <w:t xml:space="preserve"> BMI group”)</w:t>
      </w:r>
      <w:r w:rsidR="008E4088" w:rsidRPr="000217C7">
        <w:rPr>
          <w:color w:val="000000" w:themeColor="text1"/>
        </w:rPr>
        <w:t xml:space="preserve">. </w:t>
      </w:r>
    </w:p>
    <w:p w14:paraId="4D1F239C" w14:textId="77777777" w:rsidR="008E4088" w:rsidRPr="000217C7" w:rsidRDefault="001239EC" w:rsidP="00876CF3">
      <w:pPr>
        <w:pStyle w:val="Heading5"/>
        <w:rPr>
          <w:color w:val="000000" w:themeColor="text1"/>
        </w:rPr>
      </w:pPr>
      <w:bookmarkStart w:id="10" w:name="_Ref527043234"/>
      <w:r w:rsidRPr="000217C7">
        <w:rPr>
          <w:color w:val="000000" w:themeColor="text1"/>
        </w:rPr>
        <w:t xml:space="preserve">Table </w:t>
      </w:r>
      <w:r w:rsidR="00BC2CCF" w:rsidRPr="000217C7">
        <w:rPr>
          <w:noProof/>
          <w:color w:val="000000" w:themeColor="text1"/>
        </w:rPr>
        <w:fldChar w:fldCharType="begin"/>
      </w:r>
      <w:r w:rsidRPr="000217C7">
        <w:rPr>
          <w:noProof/>
          <w:color w:val="000000" w:themeColor="text1"/>
        </w:rPr>
        <w:instrText xml:space="preserve"> SEQ Table \* ARABIC </w:instrText>
      </w:r>
      <w:r w:rsidR="00BC2CCF" w:rsidRPr="000217C7">
        <w:rPr>
          <w:noProof/>
          <w:color w:val="000000" w:themeColor="text1"/>
        </w:rPr>
        <w:fldChar w:fldCharType="separate"/>
      </w:r>
      <w:r w:rsidR="000B2ABF" w:rsidRPr="000217C7">
        <w:rPr>
          <w:noProof/>
          <w:color w:val="000000" w:themeColor="text1"/>
        </w:rPr>
        <w:t>1</w:t>
      </w:r>
      <w:r w:rsidR="00BC2CCF" w:rsidRPr="000217C7">
        <w:rPr>
          <w:noProof/>
          <w:color w:val="000000" w:themeColor="text1"/>
        </w:rPr>
        <w:fldChar w:fldCharType="end"/>
      </w:r>
      <w:bookmarkEnd w:id="10"/>
    </w:p>
    <w:p w14:paraId="3EA5F602" w14:textId="27A61D45" w:rsidR="00B77AEA" w:rsidRPr="000217C7" w:rsidRDefault="008E4088" w:rsidP="003705CB">
      <w:pPr>
        <w:pStyle w:val="Caption"/>
        <w:rPr>
          <w:color w:val="000000" w:themeColor="text1"/>
        </w:rPr>
      </w:pPr>
      <w:r w:rsidRPr="000217C7">
        <w:rPr>
          <w:color w:val="000000" w:themeColor="text1"/>
        </w:rPr>
        <w:t>Demographic data of the experimental sample.</w:t>
      </w:r>
      <w:r w:rsidR="00FC35E7" w:rsidRPr="000217C7">
        <w:rPr>
          <w:color w:val="000000" w:themeColor="text1"/>
        </w:rPr>
        <w:t xml:space="preserve"> The data is shown separately for the low</w:t>
      </w:r>
      <w:r w:rsidR="008417F2" w:rsidRPr="000217C7">
        <w:rPr>
          <w:color w:val="000000" w:themeColor="text1"/>
        </w:rPr>
        <w:t>er</w:t>
      </w:r>
      <w:r w:rsidR="00FC35E7" w:rsidRPr="000217C7">
        <w:rPr>
          <w:color w:val="000000" w:themeColor="text1"/>
        </w:rPr>
        <w:t xml:space="preserve"> and high</w:t>
      </w:r>
      <w:r w:rsidR="008417F2" w:rsidRPr="000217C7">
        <w:rPr>
          <w:color w:val="000000" w:themeColor="text1"/>
        </w:rPr>
        <w:t>er</w:t>
      </w:r>
      <w:r w:rsidR="00FC35E7" w:rsidRPr="000217C7">
        <w:rPr>
          <w:color w:val="000000" w:themeColor="text1"/>
        </w:rPr>
        <w:t xml:space="preserve"> BMI groups, subsets of the data obtained splitting the sample according to the BMI’s median.</w:t>
      </w:r>
    </w:p>
    <w:tbl>
      <w:tblPr>
        <w:tblStyle w:val="TableGrid"/>
        <w:tblW w:w="9622" w:type="dxa"/>
        <w:jc w:val="center"/>
        <w:tblLook w:val="04A0" w:firstRow="1" w:lastRow="0" w:firstColumn="1" w:lastColumn="0" w:noHBand="0" w:noVBand="1"/>
      </w:tblPr>
      <w:tblGrid>
        <w:gridCol w:w="2863"/>
        <w:gridCol w:w="1338"/>
        <w:gridCol w:w="1198"/>
        <w:gridCol w:w="1354"/>
        <w:gridCol w:w="1180"/>
        <w:gridCol w:w="1689"/>
      </w:tblGrid>
      <w:tr w:rsidR="000217C7" w:rsidRPr="000217C7" w14:paraId="518F89A8" w14:textId="5FC4034E" w:rsidTr="005A68C7">
        <w:trPr>
          <w:trHeight w:val="506"/>
          <w:jc w:val="center"/>
        </w:trPr>
        <w:tc>
          <w:tcPr>
            <w:tcW w:w="0" w:type="auto"/>
            <w:vMerge w:val="restart"/>
            <w:vAlign w:val="center"/>
          </w:tcPr>
          <w:p w14:paraId="7FDB7880" w14:textId="77777777" w:rsidR="005F2576" w:rsidRPr="000217C7" w:rsidRDefault="005F2576" w:rsidP="00B77AEA">
            <w:pPr>
              <w:pStyle w:val="Table"/>
              <w:rPr>
                <w:color w:val="000000" w:themeColor="text1"/>
              </w:rPr>
            </w:pPr>
          </w:p>
        </w:tc>
        <w:tc>
          <w:tcPr>
            <w:tcW w:w="0" w:type="auto"/>
            <w:gridSpan w:val="2"/>
            <w:vAlign w:val="center"/>
          </w:tcPr>
          <w:p w14:paraId="21AAB52C" w14:textId="28C4F1F4" w:rsidR="005F2576" w:rsidRPr="000217C7" w:rsidRDefault="005F2576" w:rsidP="00B77AEA">
            <w:pPr>
              <w:pStyle w:val="Table"/>
              <w:rPr>
                <w:color w:val="000000" w:themeColor="text1"/>
              </w:rPr>
            </w:pPr>
            <w:r w:rsidRPr="000217C7">
              <w:rPr>
                <w:color w:val="000000" w:themeColor="text1"/>
              </w:rPr>
              <w:t>Lower BMI group (n=26)</w:t>
            </w:r>
          </w:p>
        </w:tc>
        <w:tc>
          <w:tcPr>
            <w:tcW w:w="2534" w:type="dxa"/>
            <w:gridSpan w:val="2"/>
            <w:vAlign w:val="center"/>
          </w:tcPr>
          <w:p w14:paraId="2CF51767" w14:textId="08F85FE3" w:rsidR="005F2576" w:rsidRPr="000217C7" w:rsidRDefault="005F2576" w:rsidP="00B77AEA">
            <w:pPr>
              <w:pStyle w:val="Table"/>
              <w:rPr>
                <w:color w:val="000000" w:themeColor="text1"/>
              </w:rPr>
            </w:pPr>
            <w:r w:rsidRPr="000217C7">
              <w:rPr>
                <w:color w:val="000000" w:themeColor="text1"/>
              </w:rPr>
              <w:t>Higher BMI group (n=26)</w:t>
            </w:r>
          </w:p>
        </w:tc>
        <w:tc>
          <w:tcPr>
            <w:tcW w:w="1689" w:type="dxa"/>
          </w:tcPr>
          <w:p w14:paraId="7DBFBDF2" w14:textId="1BAB58FA" w:rsidR="005F2576" w:rsidRPr="000217C7" w:rsidRDefault="005F2576" w:rsidP="00B77AEA">
            <w:pPr>
              <w:pStyle w:val="Table"/>
              <w:rPr>
                <w:color w:val="000000" w:themeColor="text1"/>
              </w:rPr>
            </w:pPr>
            <w:r w:rsidRPr="000217C7">
              <w:rPr>
                <w:color w:val="000000" w:themeColor="text1"/>
              </w:rPr>
              <w:t>Group comparison</w:t>
            </w:r>
          </w:p>
        </w:tc>
      </w:tr>
      <w:tr w:rsidR="000217C7" w:rsidRPr="000217C7" w14:paraId="18D33BDC" w14:textId="3FE6DB5C" w:rsidTr="005A68C7">
        <w:trPr>
          <w:trHeight w:val="506"/>
          <w:jc w:val="center"/>
        </w:trPr>
        <w:tc>
          <w:tcPr>
            <w:tcW w:w="0" w:type="auto"/>
            <w:vMerge/>
            <w:vAlign w:val="center"/>
          </w:tcPr>
          <w:p w14:paraId="0AA0D790" w14:textId="77777777" w:rsidR="005F2576" w:rsidRPr="000217C7" w:rsidRDefault="005F2576" w:rsidP="00B77AEA">
            <w:pPr>
              <w:pStyle w:val="Table"/>
              <w:rPr>
                <w:color w:val="000000" w:themeColor="text1"/>
              </w:rPr>
            </w:pPr>
          </w:p>
        </w:tc>
        <w:tc>
          <w:tcPr>
            <w:tcW w:w="1338" w:type="dxa"/>
            <w:vAlign w:val="center"/>
          </w:tcPr>
          <w:p w14:paraId="577A6782" w14:textId="77777777" w:rsidR="005F2576" w:rsidRPr="000217C7" w:rsidRDefault="005F2576" w:rsidP="00B77AEA">
            <w:pPr>
              <w:pStyle w:val="Table"/>
              <w:rPr>
                <w:color w:val="000000" w:themeColor="text1"/>
              </w:rPr>
            </w:pPr>
            <w:r w:rsidRPr="000217C7">
              <w:rPr>
                <w:color w:val="000000" w:themeColor="text1"/>
              </w:rPr>
              <w:t>Mean (SD)</w:t>
            </w:r>
          </w:p>
        </w:tc>
        <w:tc>
          <w:tcPr>
            <w:tcW w:w="1198" w:type="dxa"/>
            <w:vAlign w:val="center"/>
          </w:tcPr>
          <w:p w14:paraId="0DE1C8E9" w14:textId="77777777" w:rsidR="005F2576" w:rsidRPr="000217C7" w:rsidRDefault="005F2576" w:rsidP="00B77AEA">
            <w:pPr>
              <w:pStyle w:val="Table"/>
              <w:rPr>
                <w:color w:val="000000" w:themeColor="text1"/>
              </w:rPr>
            </w:pPr>
            <w:r w:rsidRPr="000217C7">
              <w:rPr>
                <w:color w:val="000000" w:themeColor="text1"/>
              </w:rPr>
              <w:t>range</w:t>
            </w:r>
          </w:p>
        </w:tc>
        <w:tc>
          <w:tcPr>
            <w:tcW w:w="1354" w:type="dxa"/>
            <w:vAlign w:val="center"/>
          </w:tcPr>
          <w:p w14:paraId="29E54E97" w14:textId="77777777" w:rsidR="005F2576" w:rsidRPr="000217C7" w:rsidRDefault="005F2576" w:rsidP="00B77AEA">
            <w:pPr>
              <w:pStyle w:val="Table"/>
              <w:rPr>
                <w:color w:val="000000" w:themeColor="text1"/>
              </w:rPr>
            </w:pPr>
            <w:r w:rsidRPr="000217C7">
              <w:rPr>
                <w:color w:val="000000" w:themeColor="text1"/>
              </w:rPr>
              <w:t>Mean (SD)</w:t>
            </w:r>
          </w:p>
        </w:tc>
        <w:tc>
          <w:tcPr>
            <w:tcW w:w="1180" w:type="dxa"/>
            <w:vAlign w:val="center"/>
          </w:tcPr>
          <w:p w14:paraId="5D04B651" w14:textId="77777777" w:rsidR="005F2576" w:rsidRPr="000217C7" w:rsidRDefault="005F2576" w:rsidP="00B77AEA">
            <w:pPr>
              <w:pStyle w:val="Table"/>
              <w:rPr>
                <w:color w:val="000000" w:themeColor="text1"/>
              </w:rPr>
            </w:pPr>
            <w:r w:rsidRPr="000217C7">
              <w:rPr>
                <w:color w:val="000000" w:themeColor="text1"/>
              </w:rPr>
              <w:t>range</w:t>
            </w:r>
          </w:p>
        </w:tc>
        <w:tc>
          <w:tcPr>
            <w:tcW w:w="1689" w:type="dxa"/>
          </w:tcPr>
          <w:p w14:paraId="167A2860" w14:textId="77777777" w:rsidR="005F2576" w:rsidRPr="000217C7" w:rsidRDefault="005F2576" w:rsidP="00B77AEA">
            <w:pPr>
              <w:pStyle w:val="Table"/>
              <w:rPr>
                <w:color w:val="000000" w:themeColor="text1"/>
              </w:rPr>
            </w:pPr>
          </w:p>
        </w:tc>
      </w:tr>
      <w:tr w:rsidR="000217C7" w:rsidRPr="000217C7" w14:paraId="1D2E8C13" w14:textId="676B9715" w:rsidTr="005A68C7">
        <w:trPr>
          <w:trHeight w:val="506"/>
          <w:jc w:val="center"/>
        </w:trPr>
        <w:tc>
          <w:tcPr>
            <w:tcW w:w="0" w:type="auto"/>
            <w:vAlign w:val="center"/>
          </w:tcPr>
          <w:p w14:paraId="7AAC391D" w14:textId="77777777" w:rsidR="00C87F79" w:rsidRPr="000217C7" w:rsidRDefault="00C87F79" w:rsidP="00B77AEA">
            <w:pPr>
              <w:pStyle w:val="Table"/>
              <w:rPr>
                <w:color w:val="000000" w:themeColor="text1"/>
              </w:rPr>
            </w:pPr>
            <w:r w:rsidRPr="000217C7">
              <w:rPr>
                <w:color w:val="000000" w:themeColor="text1"/>
              </w:rPr>
              <w:t>Age</w:t>
            </w:r>
          </w:p>
        </w:tc>
        <w:tc>
          <w:tcPr>
            <w:tcW w:w="1338" w:type="dxa"/>
            <w:vAlign w:val="center"/>
          </w:tcPr>
          <w:p w14:paraId="3C1817B4" w14:textId="77777777" w:rsidR="00C87F79" w:rsidRPr="000217C7" w:rsidRDefault="00C87F79" w:rsidP="00B77AEA">
            <w:pPr>
              <w:pStyle w:val="Table"/>
              <w:rPr>
                <w:color w:val="000000" w:themeColor="text1"/>
              </w:rPr>
            </w:pPr>
            <w:r w:rsidRPr="000217C7">
              <w:rPr>
                <w:color w:val="000000" w:themeColor="text1"/>
              </w:rPr>
              <w:t>22.6 (2.7)</w:t>
            </w:r>
          </w:p>
        </w:tc>
        <w:tc>
          <w:tcPr>
            <w:tcW w:w="1198" w:type="dxa"/>
            <w:vAlign w:val="center"/>
          </w:tcPr>
          <w:p w14:paraId="03522C23" w14:textId="77777777" w:rsidR="00C87F79" w:rsidRPr="000217C7" w:rsidRDefault="00C87F79" w:rsidP="00B77AEA">
            <w:pPr>
              <w:pStyle w:val="Table"/>
              <w:rPr>
                <w:color w:val="000000" w:themeColor="text1"/>
              </w:rPr>
            </w:pPr>
            <w:r w:rsidRPr="000217C7">
              <w:rPr>
                <w:color w:val="000000" w:themeColor="text1"/>
              </w:rPr>
              <w:t>19-28</w:t>
            </w:r>
          </w:p>
        </w:tc>
        <w:tc>
          <w:tcPr>
            <w:tcW w:w="1354" w:type="dxa"/>
            <w:vAlign w:val="center"/>
          </w:tcPr>
          <w:p w14:paraId="0273E2BB" w14:textId="77777777" w:rsidR="00C87F79" w:rsidRPr="000217C7" w:rsidRDefault="00C87F79" w:rsidP="00B77AEA">
            <w:pPr>
              <w:pStyle w:val="Table"/>
              <w:rPr>
                <w:color w:val="000000" w:themeColor="text1"/>
              </w:rPr>
            </w:pPr>
            <w:r w:rsidRPr="000217C7">
              <w:rPr>
                <w:color w:val="000000" w:themeColor="text1"/>
              </w:rPr>
              <w:t>23.7 (3.2)</w:t>
            </w:r>
          </w:p>
        </w:tc>
        <w:tc>
          <w:tcPr>
            <w:tcW w:w="1180" w:type="dxa"/>
            <w:vAlign w:val="center"/>
          </w:tcPr>
          <w:p w14:paraId="32CDD343" w14:textId="77777777" w:rsidR="00C87F79" w:rsidRPr="000217C7" w:rsidRDefault="00C87F79" w:rsidP="00B77AEA">
            <w:pPr>
              <w:pStyle w:val="Table"/>
              <w:rPr>
                <w:color w:val="000000" w:themeColor="text1"/>
              </w:rPr>
            </w:pPr>
            <w:r w:rsidRPr="000217C7">
              <w:rPr>
                <w:color w:val="000000" w:themeColor="text1"/>
              </w:rPr>
              <w:t>20-33</w:t>
            </w:r>
          </w:p>
        </w:tc>
        <w:tc>
          <w:tcPr>
            <w:tcW w:w="1689" w:type="dxa"/>
          </w:tcPr>
          <w:p w14:paraId="724B2483" w14:textId="0445DD50" w:rsidR="00C87F79" w:rsidRPr="000217C7" w:rsidRDefault="00C87F79" w:rsidP="00B77AEA">
            <w:pPr>
              <w:pStyle w:val="Table"/>
              <w:rPr>
                <w:color w:val="000000" w:themeColor="text1"/>
              </w:rPr>
            </w:pPr>
            <w:proofErr w:type="gramStart"/>
            <w:r w:rsidRPr="000217C7">
              <w:rPr>
                <w:color w:val="000000" w:themeColor="text1"/>
              </w:rPr>
              <w:t>t(</w:t>
            </w:r>
            <w:proofErr w:type="gramEnd"/>
            <w:r w:rsidRPr="000217C7">
              <w:rPr>
                <w:color w:val="000000" w:themeColor="text1"/>
              </w:rPr>
              <w:t>48.65)=1.328,</w:t>
            </w:r>
          </w:p>
          <w:p w14:paraId="258FE0EA" w14:textId="4FD9D19C" w:rsidR="00C87F79" w:rsidRPr="000217C7" w:rsidRDefault="00C87F79" w:rsidP="00B77AEA">
            <w:pPr>
              <w:pStyle w:val="Table"/>
              <w:rPr>
                <w:color w:val="000000" w:themeColor="text1"/>
              </w:rPr>
            </w:pPr>
            <w:r w:rsidRPr="000217C7">
              <w:rPr>
                <w:i/>
                <w:iCs/>
                <w:color w:val="000000" w:themeColor="text1"/>
              </w:rPr>
              <w:t>p</w:t>
            </w:r>
            <w:r w:rsidRPr="000217C7">
              <w:rPr>
                <w:color w:val="000000" w:themeColor="text1"/>
              </w:rPr>
              <w:t xml:space="preserve"> = 0.191</w:t>
            </w:r>
          </w:p>
        </w:tc>
      </w:tr>
      <w:tr w:rsidR="000217C7" w:rsidRPr="000217C7" w14:paraId="499B5CD1" w14:textId="1BB43425" w:rsidTr="005A68C7">
        <w:trPr>
          <w:trHeight w:val="506"/>
          <w:jc w:val="center"/>
        </w:trPr>
        <w:tc>
          <w:tcPr>
            <w:tcW w:w="0" w:type="auto"/>
            <w:vAlign w:val="center"/>
          </w:tcPr>
          <w:p w14:paraId="1DC085D4" w14:textId="77777777" w:rsidR="00C87F79" w:rsidRPr="000217C7" w:rsidRDefault="00C87F79" w:rsidP="00B77AEA">
            <w:pPr>
              <w:pStyle w:val="Table"/>
              <w:rPr>
                <w:color w:val="000000" w:themeColor="text1"/>
              </w:rPr>
            </w:pPr>
            <w:r w:rsidRPr="000217C7">
              <w:rPr>
                <w:color w:val="000000" w:themeColor="text1"/>
              </w:rPr>
              <w:t>Body Mass Index (BMI)</w:t>
            </w:r>
          </w:p>
        </w:tc>
        <w:tc>
          <w:tcPr>
            <w:tcW w:w="1338" w:type="dxa"/>
            <w:vAlign w:val="center"/>
          </w:tcPr>
          <w:p w14:paraId="7DDAD015" w14:textId="77777777" w:rsidR="00C87F79" w:rsidRPr="000217C7" w:rsidRDefault="00C87F79" w:rsidP="00B77AEA">
            <w:pPr>
              <w:pStyle w:val="Table"/>
              <w:rPr>
                <w:color w:val="000000" w:themeColor="text1"/>
              </w:rPr>
            </w:pPr>
            <w:r w:rsidRPr="000217C7">
              <w:rPr>
                <w:color w:val="000000" w:themeColor="text1"/>
              </w:rPr>
              <w:t>19.9 (1.6)</w:t>
            </w:r>
          </w:p>
        </w:tc>
        <w:tc>
          <w:tcPr>
            <w:tcW w:w="1198" w:type="dxa"/>
            <w:vAlign w:val="center"/>
          </w:tcPr>
          <w:p w14:paraId="4E6DAD10" w14:textId="77777777" w:rsidR="00C87F79" w:rsidRPr="000217C7" w:rsidRDefault="00C87F79" w:rsidP="00B77AEA">
            <w:pPr>
              <w:pStyle w:val="Table"/>
              <w:rPr>
                <w:color w:val="000000" w:themeColor="text1"/>
              </w:rPr>
            </w:pPr>
            <w:r w:rsidRPr="000217C7">
              <w:rPr>
                <w:color w:val="000000" w:themeColor="text1"/>
              </w:rPr>
              <w:t>15.3-22</w:t>
            </w:r>
          </w:p>
        </w:tc>
        <w:tc>
          <w:tcPr>
            <w:tcW w:w="1354" w:type="dxa"/>
            <w:vAlign w:val="center"/>
          </w:tcPr>
          <w:p w14:paraId="60952D54" w14:textId="77777777" w:rsidR="00C87F79" w:rsidRPr="000217C7" w:rsidRDefault="00C87F79" w:rsidP="00B77AEA">
            <w:pPr>
              <w:pStyle w:val="Table"/>
              <w:rPr>
                <w:color w:val="000000" w:themeColor="text1"/>
              </w:rPr>
            </w:pPr>
            <w:r w:rsidRPr="000217C7">
              <w:rPr>
                <w:color w:val="000000" w:themeColor="text1"/>
              </w:rPr>
              <w:t>26.0 (4.6)</w:t>
            </w:r>
          </w:p>
        </w:tc>
        <w:tc>
          <w:tcPr>
            <w:tcW w:w="1180" w:type="dxa"/>
            <w:vAlign w:val="center"/>
          </w:tcPr>
          <w:p w14:paraId="55F8ECA5" w14:textId="77777777" w:rsidR="00C87F79" w:rsidRPr="000217C7" w:rsidRDefault="00C87F79" w:rsidP="00B77AEA">
            <w:pPr>
              <w:pStyle w:val="Table"/>
              <w:rPr>
                <w:color w:val="000000" w:themeColor="text1"/>
              </w:rPr>
            </w:pPr>
            <w:r w:rsidRPr="000217C7">
              <w:rPr>
                <w:color w:val="000000" w:themeColor="text1"/>
              </w:rPr>
              <w:t>22.3-41.9</w:t>
            </w:r>
          </w:p>
        </w:tc>
        <w:tc>
          <w:tcPr>
            <w:tcW w:w="1689" w:type="dxa"/>
          </w:tcPr>
          <w:p w14:paraId="79E072AA" w14:textId="5EB1FC4E" w:rsidR="00C87F79" w:rsidRPr="000217C7" w:rsidRDefault="00C87F79" w:rsidP="00C87F79">
            <w:pPr>
              <w:pStyle w:val="Table"/>
              <w:rPr>
                <w:color w:val="000000" w:themeColor="text1"/>
              </w:rPr>
            </w:pPr>
            <w:proofErr w:type="gramStart"/>
            <w:r w:rsidRPr="000217C7">
              <w:rPr>
                <w:color w:val="000000" w:themeColor="text1"/>
              </w:rPr>
              <w:t>t(</w:t>
            </w:r>
            <w:proofErr w:type="gramEnd"/>
            <w:r w:rsidRPr="000217C7">
              <w:rPr>
                <w:color w:val="000000" w:themeColor="text1"/>
              </w:rPr>
              <w:t>30.76)=6.391,</w:t>
            </w:r>
          </w:p>
          <w:p w14:paraId="6B413FB0" w14:textId="78BD709B" w:rsidR="00C87F79" w:rsidRPr="000217C7" w:rsidRDefault="00C87F79" w:rsidP="00C87F79">
            <w:pPr>
              <w:pStyle w:val="Table"/>
              <w:rPr>
                <w:color w:val="000000" w:themeColor="text1"/>
              </w:rPr>
            </w:pPr>
            <w:r w:rsidRPr="000217C7">
              <w:rPr>
                <w:i/>
                <w:iCs/>
                <w:color w:val="000000" w:themeColor="text1"/>
              </w:rPr>
              <w:t>p</w:t>
            </w:r>
            <w:r w:rsidRPr="000217C7">
              <w:rPr>
                <w:color w:val="000000" w:themeColor="text1"/>
              </w:rPr>
              <w:t xml:space="preserve"> &lt; 0.0</w:t>
            </w:r>
            <w:r w:rsidR="001B25F0" w:rsidRPr="000217C7">
              <w:rPr>
                <w:color w:val="000000" w:themeColor="text1"/>
              </w:rPr>
              <w:t>0</w:t>
            </w:r>
            <w:r w:rsidRPr="000217C7">
              <w:rPr>
                <w:color w:val="000000" w:themeColor="text1"/>
              </w:rPr>
              <w:t>1</w:t>
            </w:r>
          </w:p>
        </w:tc>
      </w:tr>
      <w:tr w:rsidR="000217C7" w:rsidRPr="000217C7" w14:paraId="07D5CD87" w14:textId="41353162" w:rsidTr="005A68C7">
        <w:trPr>
          <w:trHeight w:val="506"/>
          <w:jc w:val="center"/>
        </w:trPr>
        <w:tc>
          <w:tcPr>
            <w:tcW w:w="0" w:type="auto"/>
            <w:vAlign w:val="center"/>
          </w:tcPr>
          <w:p w14:paraId="6844A6D3" w14:textId="77777777" w:rsidR="00C87F79" w:rsidRPr="000217C7" w:rsidRDefault="00C87F79" w:rsidP="00B77AEA">
            <w:pPr>
              <w:pStyle w:val="Table"/>
              <w:rPr>
                <w:color w:val="000000" w:themeColor="text1"/>
              </w:rPr>
            </w:pPr>
            <w:r w:rsidRPr="000217C7">
              <w:rPr>
                <w:color w:val="000000" w:themeColor="text1"/>
              </w:rPr>
              <w:lastRenderedPageBreak/>
              <w:t>Eating Attitudes Test-26 (EAT-26)</w:t>
            </w:r>
          </w:p>
        </w:tc>
        <w:tc>
          <w:tcPr>
            <w:tcW w:w="1338" w:type="dxa"/>
            <w:vAlign w:val="center"/>
          </w:tcPr>
          <w:p w14:paraId="2CC0D1E2" w14:textId="77777777" w:rsidR="00C87F79" w:rsidRPr="000217C7" w:rsidRDefault="00C87F79" w:rsidP="00B77AEA">
            <w:pPr>
              <w:pStyle w:val="Table"/>
              <w:rPr>
                <w:color w:val="000000" w:themeColor="text1"/>
              </w:rPr>
            </w:pPr>
            <w:r w:rsidRPr="000217C7">
              <w:rPr>
                <w:color w:val="000000" w:themeColor="text1"/>
              </w:rPr>
              <w:t>12.3 (14.9)</w:t>
            </w:r>
          </w:p>
        </w:tc>
        <w:tc>
          <w:tcPr>
            <w:tcW w:w="1198" w:type="dxa"/>
            <w:vAlign w:val="center"/>
          </w:tcPr>
          <w:p w14:paraId="7C408DC9" w14:textId="77777777" w:rsidR="00C87F79" w:rsidRPr="000217C7" w:rsidRDefault="00C87F79" w:rsidP="00B77AEA">
            <w:pPr>
              <w:pStyle w:val="Table"/>
              <w:rPr>
                <w:color w:val="000000" w:themeColor="text1"/>
              </w:rPr>
            </w:pPr>
            <w:r w:rsidRPr="000217C7">
              <w:rPr>
                <w:color w:val="000000" w:themeColor="text1"/>
              </w:rPr>
              <w:t>0-56</w:t>
            </w:r>
          </w:p>
        </w:tc>
        <w:tc>
          <w:tcPr>
            <w:tcW w:w="1354" w:type="dxa"/>
            <w:vAlign w:val="center"/>
          </w:tcPr>
          <w:p w14:paraId="538C4B2F" w14:textId="77777777" w:rsidR="00C87F79" w:rsidRPr="000217C7" w:rsidRDefault="00C87F79" w:rsidP="00B77AEA">
            <w:pPr>
              <w:pStyle w:val="Table"/>
              <w:rPr>
                <w:color w:val="000000" w:themeColor="text1"/>
              </w:rPr>
            </w:pPr>
            <w:r w:rsidRPr="000217C7">
              <w:rPr>
                <w:color w:val="000000" w:themeColor="text1"/>
              </w:rPr>
              <w:t>10.9 (9.1)</w:t>
            </w:r>
          </w:p>
        </w:tc>
        <w:tc>
          <w:tcPr>
            <w:tcW w:w="1180" w:type="dxa"/>
            <w:vAlign w:val="center"/>
          </w:tcPr>
          <w:p w14:paraId="482D2AF5" w14:textId="77777777" w:rsidR="00C87F79" w:rsidRPr="000217C7" w:rsidRDefault="00C87F79" w:rsidP="00B77AEA">
            <w:pPr>
              <w:pStyle w:val="Table"/>
              <w:rPr>
                <w:color w:val="000000" w:themeColor="text1"/>
              </w:rPr>
            </w:pPr>
            <w:r w:rsidRPr="000217C7">
              <w:rPr>
                <w:color w:val="000000" w:themeColor="text1"/>
              </w:rPr>
              <w:t>0-29</w:t>
            </w:r>
          </w:p>
        </w:tc>
        <w:tc>
          <w:tcPr>
            <w:tcW w:w="1689" w:type="dxa"/>
          </w:tcPr>
          <w:p w14:paraId="2259DC8C" w14:textId="2593B271" w:rsidR="00C87F79" w:rsidRPr="000217C7" w:rsidRDefault="00C87F79" w:rsidP="00C87F79">
            <w:pPr>
              <w:pStyle w:val="Table"/>
              <w:rPr>
                <w:color w:val="000000" w:themeColor="text1"/>
              </w:rPr>
            </w:pPr>
            <w:proofErr w:type="gramStart"/>
            <w:r w:rsidRPr="000217C7">
              <w:rPr>
                <w:color w:val="000000" w:themeColor="text1"/>
              </w:rPr>
              <w:t>t(</w:t>
            </w:r>
            <w:proofErr w:type="gramEnd"/>
            <w:r w:rsidRPr="000217C7">
              <w:rPr>
                <w:color w:val="000000" w:themeColor="text1"/>
              </w:rPr>
              <w:t>41.29)=-0.394,</w:t>
            </w:r>
          </w:p>
          <w:p w14:paraId="30B44C8D" w14:textId="57204EA2" w:rsidR="00C87F79" w:rsidRPr="000217C7" w:rsidRDefault="00C87F79" w:rsidP="00C87F79">
            <w:pPr>
              <w:pStyle w:val="Table"/>
              <w:rPr>
                <w:color w:val="000000" w:themeColor="text1"/>
              </w:rPr>
            </w:pPr>
            <w:r w:rsidRPr="000217C7">
              <w:rPr>
                <w:i/>
                <w:iCs/>
                <w:color w:val="000000" w:themeColor="text1"/>
              </w:rPr>
              <w:t>p</w:t>
            </w:r>
            <w:r w:rsidRPr="000217C7">
              <w:rPr>
                <w:color w:val="000000" w:themeColor="text1"/>
              </w:rPr>
              <w:t xml:space="preserve"> = 0.696</w:t>
            </w:r>
          </w:p>
        </w:tc>
      </w:tr>
      <w:tr w:rsidR="000217C7" w:rsidRPr="000217C7" w14:paraId="08A74531" w14:textId="77777777" w:rsidTr="005A68C7">
        <w:trPr>
          <w:trHeight w:val="506"/>
          <w:jc w:val="center"/>
        </w:trPr>
        <w:tc>
          <w:tcPr>
            <w:tcW w:w="0" w:type="auto"/>
            <w:vAlign w:val="center"/>
          </w:tcPr>
          <w:p w14:paraId="31CA0A82" w14:textId="33BDEBE0" w:rsidR="005A68C7" w:rsidRPr="000217C7" w:rsidRDefault="005A68C7" w:rsidP="00B77AEA">
            <w:pPr>
              <w:pStyle w:val="Table"/>
              <w:rPr>
                <w:color w:val="000000" w:themeColor="text1"/>
              </w:rPr>
            </w:pPr>
            <w:r w:rsidRPr="000217C7">
              <w:rPr>
                <w:color w:val="000000" w:themeColor="text1"/>
              </w:rPr>
              <w:t>Hunger level</w:t>
            </w:r>
          </w:p>
        </w:tc>
        <w:tc>
          <w:tcPr>
            <w:tcW w:w="1338" w:type="dxa"/>
            <w:vAlign w:val="center"/>
          </w:tcPr>
          <w:p w14:paraId="2F01DA98" w14:textId="5C7F0FB1" w:rsidR="005A68C7" w:rsidRPr="000217C7" w:rsidRDefault="0050605A" w:rsidP="00B77AEA">
            <w:pPr>
              <w:pStyle w:val="Table"/>
              <w:rPr>
                <w:color w:val="000000" w:themeColor="text1"/>
              </w:rPr>
            </w:pPr>
            <w:r w:rsidRPr="000217C7">
              <w:rPr>
                <w:color w:val="000000" w:themeColor="text1"/>
              </w:rPr>
              <w:t>2.58 (1.2)</w:t>
            </w:r>
          </w:p>
        </w:tc>
        <w:tc>
          <w:tcPr>
            <w:tcW w:w="1198" w:type="dxa"/>
            <w:vAlign w:val="center"/>
          </w:tcPr>
          <w:p w14:paraId="752BC9FD" w14:textId="207E9C3E" w:rsidR="005A68C7" w:rsidRPr="000217C7" w:rsidRDefault="0050605A" w:rsidP="00B77AEA">
            <w:pPr>
              <w:pStyle w:val="Table"/>
              <w:rPr>
                <w:color w:val="000000" w:themeColor="text1"/>
              </w:rPr>
            </w:pPr>
            <w:r w:rsidRPr="000217C7">
              <w:rPr>
                <w:color w:val="000000" w:themeColor="text1"/>
              </w:rPr>
              <w:t>1-5</w:t>
            </w:r>
          </w:p>
        </w:tc>
        <w:tc>
          <w:tcPr>
            <w:tcW w:w="1354" w:type="dxa"/>
            <w:vAlign w:val="center"/>
          </w:tcPr>
          <w:p w14:paraId="2BF0E7C5" w14:textId="1189EE58" w:rsidR="005A68C7" w:rsidRPr="000217C7" w:rsidRDefault="0050605A" w:rsidP="00B77AEA">
            <w:pPr>
              <w:pStyle w:val="Table"/>
              <w:rPr>
                <w:color w:val="000000" w:themeColor="text1"/>
              </w:rPr>
            </w:pPr>
            <w:r w:rsidRPr="000217C7">
              <w:rPr>
                <w:color w:val="000000" w:themeColor="text1"/>
              </w:rPr>
              <w:t>2.69 (1.7)</w:t>
            </w:r>
          </w:p>
        </w:tc>
        <w:tc>
          <w:tcPr>
            <w:tcW w:w="1180" w:type="dxa"/>
            <w:vAlign w:val="center"/>
          </w:tcPr>
          <w:p w14:paraId="53F849F4" w14:textId="750EF120" w:rsidR="005A68C7" w:rsidRPr="000217C7" w:rsidRDefault="0050605A" w:rsidP="00B77AEA">
            <w:pPr>
              <w:pStyle w:val="Table"/>
              <w:rPr>
                <w:color w:val="000000" w:themeColor="text1"/>
              </w:rPr>
            </w:pPr>
            <w:r w:rsidRPr="000217C7">
              <w:rPr>
                <w:color w:val="000000" w:themeColor="text1"/>
              </w:rPr>
              <w:t>1-6</w:t>
            </w:r>
          </w:p>
        </w:tc>
        <w:tc>
          <w:tcPr>
            <w:tcW w:w="1689" w:type="dxa"/>
          </w:tcPr>
          <w:p w14:paraId="773A0A3A" w14:textId="30B20588" w:rsidR="005A68C7" w:rsidRPr="000217C7" w:rsidRDefault="005A68C7" w:rsidP="00C87F79">
            <w:pPr>
              <w:pStyle w:val="Table"/>
              <w:rPr>
                <w:color w:val="000000" w:themeColor="text1"/>
              </w:rPr>
            </w:pPr>
            <w:proofErr w:type="gramStart"/>
            <w:r w:rsidRPr="000217C7">
              <w:rPr>
                <w:rFonts w:eastAsia="Times New Roman"/>
                <w:color w:val="000000" w:themeColor="text1"/>
                <w:lang w:eastAsia="en-GB"/>
              </w:rPr>
              <w:t>t(</w:t>
            </w:r>
            <w:proofErr w:type="gramEnd"/>
            <w:r w:rsidRPr="000217C7">
              <w:rPr>
                <w:rFonts w:eastAsia="Times New Roman"/>
                <w:color w:val="000000" w:themeColor="text1"/>
                <w:lang w:eastAsia="en-GB"/>
              </w:rPr>
              <w:t>44.5)=</w:t>
            </w:r>
            <w:r w:rsidRPr="000217C7">
              <w:rPr>
                <w:color w:val="000000" w:themeColor="text1"/>
              </w:rPr>
              <w:t xml:space="preserve"> </w:t>
            </w:r>
            <w:r w:rsidRPr="000217C7">
              <w:rPr>
                <w:rFonts w:eastAsia="Times New Roman"/>
                <w:color w:val="000000" w:themeColor="text1"/>
                <w:lang w:eastAsia="en-GB"/>
              </w:rPr>
              <w:t xml:space="preserve">0.278, </w:t>
            </w:r>
            <w:r w:rsidRPr="000217C7">
              <w:rPr>
                <w:rFonts w:eastAsia="Times New Roman"/>
                <w:i/>
                <w:iCs/>
                <w:color w:val="000000" w:themeColor="text1"/>
                <w:lang w:eastAsia="en-GB"/>
              </w:rPr>
              <w:t>p</w:t>
            </w:r>
            <w:r w:rsidRPr="000217C7">
              <w:rPr>
                <w:rFonts w:eastAsia="Times New Roman"/>
                <w:color w:val="000000" w:themeColor="text1"/>
                <w:lang w:eastAsia="en-GB"/>
              </w:rPr>
              <w:t xml:space="preserve"> = 0.78</w:t>
            </w:r>
          </w:p>
        </w:tc>
      </w:tr>
      <w:tr w:rsidR="000217C7" w:rsidRPr="000217C7" w14:paraId="2E47D474" w14:textId="77777777" w:rsidTr="005A68C7">
        <w:trPr>
          <w:trHeight w:val="506"/>
          <w:jc w:val="center"/>
        </w:trPr>
        <w:tc>
          <w:tcPr>
            <w:tcW w:w="0" w:type="auto"/>
            <w:vAlign w:val="center"/>
          </w:tcPr>
          <w:p w14:paraId="30C0926E" w14:textId="6A0778BF" w:rsidR="0050605A" w:rsidRPr="000217C7" w:rsidRDefault="0050605A" w:rsidP="0050605A">
            <w:pPr>
              <w:pStyle w:val="Table"/>
              <w:rPr>
                <w:color w:val="000000" w:themeColor="text1"/>
              </w:rPr>
            </w:pPr>
            <w:r w:rsidRPr="000217C7">
              <w:rPr>
                <w:color w:val="000000" w:themeColor="text1"/>
              </w:rPr>
              <w:t>Time since last meal</w:t>
            </w:r>
          </w:p>
        </w:tc>
        <w:tc>
          <w:tcPr>
            <w:tcW w:w="1338" w:type="dxa"/>
            <w:vAlign w:val="center"/>
          </w:tcPr>
          <w:p w14:paraId="66BE632B" w14:textId="75A10E72" w:rsidR="0050605A" w:rsidRPr="000217C7" w:rsidRDefault="0050605A" w:rsidP="0050605A">
            <w:pPr>
              <w:pStyle w:val="Table"/>
              <w:rPr>
                <w:color w:val="000000" w:themeColor="text1"/>
              </w:rPr>
            </w:pPr>
            <w:r w:rsidRPr="000217C7">
              <w:rPr>
                <w:color w:val="000000" w:themeColor="text1"/>
              </w:rPr>
              <w:t>3.96 (4.2)</w:t>
            </w:r>
          </w:p>
        </w:tc>
        <w:tc>
          <w:tcPr>
            <w:tcW w:w="1198" w:type="dxa"/>
            <w:vAlign w:val="center"/>
          </w:tcPr>
          <w:p w14:paraId="30EF6753" w14:textId="2E4EE4CF" w:rsidR="0050605A" w:rsidRPr="000217C7" w:rsidRDefault="0050605A" w:rsidP="0050605A">
            <w:pPr>
              <w:pStyle w:val="Table"/>
              <w:rPr>
                <w:color w:val="000000" w:themeColor="text1"/>
              </w:rPr>
            </w:pPr>
            <w:r w:rsidRPr="000217C7">
              <w:rPr>
                <w:color w:val="000000" w:themeColor="text1"/>
              </w:rPr>
              <w:t>0.5-17</w:t>
            </w:r>
          </w:p>
        </w:tc>
        <w:tc>
          <w:tcPr>
            <w:tcW w:w="1354" w:type="dxa"/>
            <w:vAlign w:val="center"/>
          </w:tcPr>
          <w:p w14:paraId="6B5BBAE9" w14:textId="73894ECD" w:rsidR="0050605A" w:rsidRPr="000217C7" w:rsidRDefault="0050605A" w:rsidP="0050605A">
            <w:pPr>
              <w:pStyle w:val="Table"/>
              <w:rPr>
                <w:color w:val="000000" w:themeColor="text1"/>
              </w:rPr>
            </w:pPr>
            <w:r w:rsidRPr="000217C7">
              <w:rPr>
                <w:color w:val="000000" w:themeColor="text1"/>
              </w:rPr>
              <w:t>3.02 (2.9)</w:t>
            </w:r>
          </w:p>
        </w:tc>
        <w:tc>
          <w:tcPr>
            <w:tcW w:w="1180" w:type="dxa"/>
            <w:vAlign w:val="center"/>
          </w:tcPr>
          <w:p w14:paraId="391E5BBB" w14:textId="012636D6" w:rsidR="0050605A" w:rsidRPr="000217C7" w:rsidRDefault="0050605A" w:rsidP="0050605A">
            <w:pPr>
              <w:pStyle w:val="Table"/>
              <w:rPr>
                <w:color w:val="000000" w:themeColor="text1"/>
              </w:rPr>
            </w:pPr>
            <w:r w:rsidRPr="000217C7">
              <w:rPr>
                <w:color w:val="000000" w:themeColor="text1"/>
              </w:rPr>
              <w:t>0-13</w:t>
            </w:r>
          </w:p>
        </w:tc>
        <w:tc>
          <w:tcPr>
            <w:tcW w:w="1689" w:type="dxa"/>
          </w:tcPr>
          <w:p w14:paraId="216E7BB6" w14:textId="77777777" w:rsidR="0050605A" w:rsidRPr="000217C7" w:rsidRDefault="0050605A" w:rsidP="0050605A">
            <w:pPr>
              <w:pStyle w:val="Table"/>
              <w:rPr>
                <w:rFonts w:eastAsia="Times New Roman"/>
                <w:color w:val="000000" w:themeColor="text1"/>
                <w:lang w:eastAsia="en-GB"/>
              </w:rPr>
            </w:pPr>
            <w:proofErr w:type="gramStart"/>
            <w:r w:rsidRPr="000217C7">
              <w:rPr>
                <w:rFonts w:eastAsia="Times New Roman"/>
                <w:color w:val="000000" w:themeColor="text1"/>
                <w:lang w:eastAsia="en-GB"/>
              </w:rPr>
              <w:t>t(</w:t>
            </w:r>
            <w:proofErr w:type="gramEnd"/>
            <w:r w:rsidRPr="000217C7">
              <w:rPr>
                <w:rFonts w:eastAsia="Times New Roman"/>
                <w:color w:val="000000" w:themeColor="text1"/>
                <w:lang w:eastAsia="en-GB"/>
              </w:rPr>
              <w:t>44.1)=</w:t>
            </w:r>
            <w:r w:rsidRPr="000217C7">
              <w:rPr>
                <w:color w:val="000000" w:themeColor="text1"/>
              </w:rPr>
              <w:t xml:space="preserve"> </w:t>
            </w:r>
            <w:r w:rsidRPr="000217C7">
              <w:rPr>
                <w:rFonts w:eastAsia="Times New Roman"/>
                <w:color w:val="000000" w:themeColor="text1"/>
                <w:lang w:eastAsia="en-GB"/>
              </w:rPr>
              <w:t>-0.946,</w:t>
            </w:r>
          </w:p>
          <w:p w14:paraId="5CB1DBBD" w14:textId="031A424F" w:rsidR="0050605A" w:rsidRPr="000217C7" w:rsidRDefault="0050605A" w:rsidP="0050605A">
            <w:pPr>
              <w:pStyle w:val="Table"/>
              <w:rPr>
                <w:rFonts w:eastAsia="Times New Roman"/>
                <w:color w:val="000000" w:themeColor="text1"/>
                <w:lang w:eastAsia="en-GB"/>
              </w:rPr>
            </w:pPr>
            <w:r w:rsidRPr="000217C7">
              <w:rPr>
                <w:rFonts w:eastAsia="Times New Roman"/>
                <w:i/>
                <w:iCs/>
                <w:color w:val="000000" w:themeColor="text1"/>
                <w:lang w:eastAsia="en-GB"/>
              </w:rPr>
              <w:t>p</w:t>
            </w:r>
            <w:r w:rsidRPr="000217C7">
              <w:rPr>
                <w:rFonts w:eastAsia="Times New Roman"/>
                <w:color w:val="000000" w:themeColor="text1"/>
                <w:lang w:eastAsia="en-GB"/>
              </w:rPr>
              <w:t xml:space="preserve"> = 0.35</w:t>
            </w:r>
          </w:p>
        </w:tc>
      </w:tr>
      <w:tr w:rsidR="00317EF6" w:rsidRPr="000217C7" w14:paraId="1764CD81" w14:textId="77777777" w:rsidTr="00F12141">
        <w:trPr>
          <w:trHeight w:val="506"/>
          <w:jc w:val="center"/>
        </w:trPr>
        <w:tc>
          <w:tcPr>
            <w:tcW w:w="0" w:type="auto"/>
            <w:vAlign w:val="center"/>
          </w:tcPr>
          <w:p w14:paraId="49D23D30" w14:textId="535F7A8C" w:rsidR="00317EF6" w:rsidRPr="000217C7" w:rsidRDefault="00317EF6" w:rsidP="0050605A">
            <w:pPr>
              <w:pStyle w:val="Table"/>
              <w:rPr>
                <w:color w:val="000000" w:themeColor="text1"/>
              </w:rPr>
            </w:pPr>
            <w:r w:rsidRPr="000217C7">
              <w:rPr>
                <w:color w:val="000000" w:themeColor="text1"/>
              </w:rPr>
              <w:t>Corrected vision</w:t>
            </w:r>
          </w:p>
        </w:tc>
        <w:tc>
          <w:tcPr>
            <w:tcW w:w="2536" w:type="dxa"/>
            <w:gridSpan w:val="2"/>
            <w:vAlign w:val="center"/>
          </w:tcPr>
          <w:p w14:paraId="1A2DC434" w14:textId="5285F679" w:rsidR="00317EF6" w:rsidRPr="000217C7" w:rsidRDefault="00317EF6" w:rsidP="0050605A">
            <w:pPr>
              <w:pStyle w:val="Table"/>
              <w:rPr>
                <w:color w:val="000000" w:themeColor="text1"/>
              </w:rPr>
            </w:pPr>
            <w:r w:rsidRPr="000217C7">
              <w:rPr>
                <w:color w:val="000000" w:themeColor="text1"/>
              </w:rPr>
              <w:t>14/26</w:t>
            </w:r>
          </w:p>
        </w:tc>
        <w:tc>
          <w:tcPr>
            <w:tcW w:w="2534" w:type="dxa"/>
            <w:gridSpan w:val="2"/>
            <w:vAlign w:val="center"/>
          </w:tcPr>
          <w:p w14:paraId="0F56B829" w14:textId="2C8FA454" w:rsidR="00317EF6" w:rsidRPr="000217C7" w:rsidRDefault="00317EF6" w:rsidP="0050605A">
            <w:pPr>
              <w:pStyle w:val="Table"/>
              <w:rPr>
                <w:color w:val="000000" w:themeColor="text1"/>
              </w:rPr>
            </w:pPr>
            <w:r w:rsidRPr="000217C7">
              <w:rPr>
                <w:color w:val="000000" w:themeColor="text1"/>
              </w:rPr>
              <w:t>18/26</w:t>
            </w:r>
          </w:p>
        </w:tc>
        <w:tc>
          <w:tcPr>
            <w:tcW w:w="1689" w:type="dxa"/>
          </w:tcPr>
          <w:p w14:paraId="517B6015" w14:textId="77777777" w:rsidR="00317EF6" w:rsidRPr="000217C7" w:rsidRDefault="00317EF6" w:rsidP="0050605A">
            <w:pPr>
              <w:pStyle w:val="Table"/>
              <w:rPr>
                <w:color w:val="000000" w:themeColor="text1"/>
              </w:rPr>
            </w:pPr>
            <w:r w:rsidRPr="000217C7">
              <w:rPr>
                <w:color w:val="000000" w:themeColor="text1"/>
              </w:rPr>
              <w:t>[</w:t>
            </w:r>
            <w:r w:rsidRPr="000217C7">
              <w:rPr>
                <w:color w:val="000000" w:themeColor="text1"/>
              </w:rPr>
              <w:sym w:font="Symbol" w:char="F063"/>
            </w:r>
            <w:r w:rsidRPr="000217C7">
              <w:rPr>
                <w:color w:val="000000" w:themeColor="text1"/>
                <w:vertAlign w:val="superscript"/>
              </w:rPr>
              <w:t>2</w:t>
            </w:r>
            <w:r w:rsidRPr="000217C7">
              <w:rPr>
                <w:color w:val="000000" w:themeColor="text1"/>
              </w:rPr>
              <w:t>(</w:t>
            </w:r>
            <w:proofErr w:type="gramStart"/>
            <w:r w:rsidRPr="000217C7">
              <w:rPr>
                <w:color w:val="000000" w:themeColor="text1"/>
              </w:rPr>
              <w:t>1)=</w:t>
            </w:r>
            <w:proofErr w:type="gramEnd"/>
            <w:r w:rsidRPr="000217C7">
              <w:rPr>
                <w:color w:val="000000" w:themeColor="text1"/>
              </w:rPr>
              <w:t>0.731,</w:t>
            </w:r>
          </w:p>
          <w:p w14:paraId="0CE3BA0A" w14:textId="6ADD93C8" w:rsidR="00317EF6" w:rsidRPr="000217C7" w:rsidRDefault="00317EF6" w:rsidP="0050605A">
            <w:pPr>
              <w:pStyle w:val="Table"/>
              <w:rPr>
                <w:rFonts w:eastAsia="Times New Roman"/>
                <w:color w:val="000000" w:themeColor="text1"/>
                <w:lang w:eastAsia="en-GB"/>
              </w:rPr>
            </w:pPr>
            <w:r w:rsidRPr="000217C7">
              <w:rPr>
                <w:i/>
                <w:iCs/>
                <w:color w:val="000000" w:themeColor="text1"/>
              </w:rPr>
              <w:t>p</w:t>
            </w:r>
            <w:r w:rsidRPr="000217C7">
              <w:rPr>
                <w:color w:val="000000" w:themeColor="text1"/>
              </w:rPr>
              <w:t xml:space="preserve"> = 0.39</w:t>
            </w:r>
          </w:p>
        </w:tc>
      </w:tr>
    </w:tbl>
    <w:p w14:paraId="303A6353" w14:textId="77777777" w:rsidR="008E4088" w:rsidRPr="000217C7" w:rsidRDefault="008E4088" w:rsidP="003705CB">
      <w:pPr>
        <w:pStyle w:val="Caption"/>
        <w:rPr>
          <w:color w:val="000000" w:themeColor="text1"/>
        </w:rPr>
      </w:pPr>
    </w:p>
    <w:p w14:paraId="4B01323B" w14:textId="33E1AE40" w:rsidR="006F0A2E" w:rsidRPr="000217C7" w:rsidRDefault="00F743E0" w:rsidP="002423DA">
      <w:pPr>
        <w:rPr>
          <w:rFonts w:eastAsia="Times New Roman" w:cs="Times New Roman"/>
          <w:color w:val="000000" w:themeColor="text1"/>
          <w:lang w:eastAsia="en-GB"/>
        </w:rPr>
      </w:pPr>
      <w:r w:rsidRPr="000217C7">
        <w:rPr>
          <w:color w:val="000000" w:themeColor="text1"/>
        </w:rPr>
        <w:t xml:space="preserve">Participants were tested at Udine’s Santa Maria </w:t>
      </w:r>
      <w:proofErr w:type="spellStart"/>
      <w:r w:rsidRPr="000217C7">
        <w:rPr>
          <w:color w:val="000000" w:themeColor="text1"/>
        </w:rPr>
        <w:t>della</w:t>
      </w:r>
      <w:proofErr w:type="spellEnd"/>
      <w:r w:rsidRPr="000217C7">
        <w:rPr>
          <w:color w:val="000000" w:themeColor="text1"/>
        </w:rPr>
        <w:t xml:space="preserve"> Misericordia Hospital. </w:t>
      </w:r>
      <w:r w:rsidR="006F0A2E" w:rsidRPr="000217C7">
        <w:rPr>
          <w:color w:val="000000" w:themeColor="text1"/>
        </w:rPr>
        <w:t>This study was approved by SISSA’s Ethics Committee</w:t>
      </w:r>
      <w:r w:rsidR="002423DA" w:rsidRPr="000217C7">
        <w:rPr>
          <w:rFonts w:eastAsia="Times New Roman" w:cs="Times New Roman"/>
          <w:color w:val="000000" w:themeColor="text1"/>
          <w:lang w:eastAsia="en-GB"/>
        </w:rPr>
        <w:t xml:space="preserve"> (prot</w:t>
      </w:r>
      <w:r w:rsidR="005F2576" w:rsidRPr="000217C7">
        <w:rPr>
          <w:rFonts w:eastAsia="Times New Roman" w:cs="Times New Roman"/>
          <w:color w:val="000000" w:themeColor="text1"/>
          <w:lang w:eastAsia="en-GB"/>
        </w:rPr>
        <w:t>ocol number</w:t>
      </w:r>
      <w:r w:rsidR="002423DA" w:rsidRPr="000217C7">
        <w:rPr>
          <w:rFonts w:eastAsia="Times New Roman" w:cs="Times New Roman"/>
          <w:color w:val="000000" w:themeColor="text1"/>
          <w:lang w:eastAsia="en-GB"/>
        </w:rPr>
        <w:t xml:space="preserve"> 8414-III 13) </w:t>
      </w:r>
      <w:r w:rsidR="006F0A2E" w:rsidRPr="000217C7">
        <w:rPr>
          <w:color w:val="000000" w:themeColor="text1"/>
        </w:rPr>
        <w:t xml:space="preserve">and by </w:t>
      </w:r>
      <w:r w:rsidR="002A1F45" w:rsidRPr="000217C7">
        <w:rPr>
          <w:color w:val="000000" w:themeColor="text1"/>
        </w:rPr>
        <w:t xml:space="preserve">Friuli </w:t>
      </w:r>
      <w:r w:rsidR="006F0A2E" w:rsidRPr="000217C7">
        <w:rPr>
          <w:color w:val="000000" w:themeColor="text1"/>
        </w:rPr>
        <w:t>Venezia Giulia Ethics’ Committee</w:t>
      </w:r>
      <w:r w:rsidR="005F2576" w:rsidRPr="000217C7">
        <w:rPr>
          <w:color w:val="000000" w:themeColor="text1"/>
        </w:rPr>
        <w:t xml:space="preserve"> (protocol number 28311)</w:t>
      </w:r>
      <w:r w:rsidR="006F0A2E" w:rsidRPr="000217C7">
        <w:rPr>
          <w:color w:val="000000" w:themeColor="text1"/>
        </w:rPr>
        <w:t>.</w:t>
      </w:r>
      <w:r w:rsidRPr="000217C7">
        <w:rPr>
          <w:color w:val="000000" w:themeColor="text1"/>
        </w:rPr>
        <w:t xml:space="preserve"> All participants signed a consent form.</w:t>
      </w:r>
      <w:r w:rsidR="00B61EA4" w:rsidRPr="000217C7">
        <w:rPr>
          <w:color w:val="000000" w:themeColor="text1"/>
        </w:rPr>
        <w:t xml:space="preserve"> This study was carried out in accordance </w:t>
      </w:r>
      <w:r w:rsidR="002C0AB6" w:rsidRPr="000217C7">
        <w:rPr>
          <w:color w:val="000000" w:themeColor="text1"/>
        </w:rPr>
        <w:t>with the Code of Ethics of the World Medical Association</w:t>
      </w:r>
      <w:r w:rsidR="00B61EA4" w:rsidRPr="000217C7">
        <w:rPr>
          <w:color w:val="000000" w:themeColor="text1"/>
        </w:rPr>
        <w:t xml:space="preserve"> </w:t>
      </w:r>
      <w:r w:rsidR="002C0AB6" w:rsidRPr="000217C7">
        <w:rPr>
          <w:color w:val="000000" w:themeColor="text1"/>
        </w:rPr>
        <w:t>(</w:t>
      </w:r>
      <w:r w:rsidR="00B61EA4" w:rsidRPr="000217C7">
        <w:rPr>
          <w:color w:val="000000" w:themeColor="text1"/>
        </w:rPr>
        <w:t>Declaration of Helsinki</w:t>
      </w:r>
      <w:r w:rsidR="002C0AB6" w:rsidRPr="000217C7">
        <w:rPr>
          <w:color w:val="000000" w:themeColor="text1"/>
        </w:rPr>
        <w:t>)</w:t>
      </w:r>
      <w:r w:rsidR="00B61EA4" w:rsidRPr="000217C7">
        <w:rPr>
          <w:color w:val="000000" w:themeColor="text1"/>
        </w:rPr>
        <w:t>.</w:t>
      </w:r>
    </w:p>
    <w:p w14:paraId="07F0DB6D" w14:textId="66F91882" w:rsidR="006F0A2E" w:rsidRPr="000217C7" w:rsidRDefault="006235A1" w:rsidP="003705CB">
      <w:pPr>
        <w:pStyle w:val="Heading2"/>
      </w:pPr>
      <w:bookmarkStart w:id="11" w:name="_Toc528590099"/>
      <w:r w:rsidRPr="000217C7">
        <w:t xml:space="preserve">2.2 </w:t>
      </w:r>
      <w:r w:rsidR="0086212A" w:rsidRPr="000217C7">
        <w:t>Behavioral tasks</w:t>
      </w:r>
      <w:r w:rsidR="0086212A" w:rsidRPr="000217C7" w:rsidDel="0086212A">
        <w:t xml:space="preserve"> </w:t>
      </w:r>
      <w:bookmarkEnd w:id="11"/>
    </w:p>
    <w:p w14:paraId="379A389E" w14:textId="75A589B3" w:rsidR="007E7B22" w:rsidRPr="000217C7" w:rsidRDefault="00A502E3" w:rsidP="00A502E3">
      <w:pPr>
        <w:rPr>
          <w:color w:val="000000" w:themeColor="text1"/>
        </w:rPr>
      </w:pPr>
      <w:r w:rsidRPr="000217C7">
        <w:rPr>
          <w:color w:val="000000" w:themeColor="text1"/>
        </w:rPr>
        <w:t xml:space="preserve">The behavioral tasks were run outside of the scanner in a quiet dedicated room inside the hospital, on the same day that the acquisition of the imaging data took place. </w:t>
      </w:r>
      <w:r w:rsidR="007E7B22" w:rsidRPr="000217C7">
        <w:rPr>
          <w:color w:val="000000" w:themeColor="text1"/>
        </w:rPr>
        <w:t xml:space="preserve">All experimental </w:t>
      </w:r>
      <w:r w:rsidR="00EA5A29" w:rsidRPr="000217C7">
        <w:rPr>
          <w:color w:val="000000" w:themeColor="text1"/>
        </w:rPr>
        <w:t>task</w:t>
      </w:r>
      <w:r w:rsidR="006A6741" w:rsidRPr="000217C7">
        <w:rPr>
          <w:color w:val="000000" w:themeColor="text1"/>
        </w:rPr>
        <w:t>s</w:t>
      </w:r>
      <w:r w:rsidR="00EA5A29" w:rsidRPr="000217C7">
        <w:rPr>
          <w:color w:val="000000" w:themeColor="text1"/>
        </w:rPr>
        <w:t xml:space="preserve"> were run on a notebook computer with Windows XP. S</w:t>
      </w:r>
      <w:r w:rsidR="007E7B22" w:rsidRPr="000217C7">
        <w:rPr>
          <w:color w:val="000000" w:themeColor="text1"/>
        </w:rPr>
        <w:t>timuli were displayed on a 17” LCD monitor with a resolution of 1280 × 1024 pixels and a refresh rate of 60 Hz, positioned 50 cm away from participants</w:t>
      </w:r>
      <w:r w:rsidR="001A09A6" w:rsidRPr="000217C7">
        <w:rPr>
          <w:color w:val="000000" w:themeColor="text1"/>
        </w:rPr>
        <w:t>’ eyes</w:t>
      </w:r>
      <w:r w:rsidR="007E7B22" w:rsidRPr="000217C7">
        <w:rPr>
          <w:color w:val="000000" w:themeColor="text1"/>
        </w:rPr>
        <w:t>. A chin rest was used to minimize head movements.</w:t>
      </w:r>
      <w:r w:rsidR="00F743E0" w:rsidRPr="000217C7">
        <w:rPr>
          <w:color w:val="000000" w:themeColor="text1"/>
        </w:rPr>
        <w:t xml:space="preserve"> Participants completed the bCFS and the Go/No-Go task, always in this order</w:t>
      </w:r>
      <w:r w:rsidR="002423DA" w:rsidRPr="000217C7">
        <w:rPr>
          <w:color w:val="000000" w:themeColor="text1"/>
        </w:rPr>
        <w:t>. The order of the tasks was kept constant to avoid consciously viewing food stimuli in the Go/No-Go task to prime subliminal processing of food in the bCFS task</w:t>
      </w:r>
      <w:r w:rsidR="00F743E0" w:rsidRPr="000217C7">
        <w:rPr>
          <w:color w:val="000000" w:themeColor="text1"/>
        </w:rPr>
        <w:t>.</w:t>
      </w:r>
      <w:r w:rsidR="00D32CD6" w:rsidRPr="000217C7">
        <w:rPr>
          <w:color w:val="000000" w:themeColor="text1"/>
        </w:rPr>
        <w:t xml:space="preserve"> The tasks and stimuli were </w:t>
      </w:r>
      <w:r w:rsidR="001A09A6" w:rsidRPr="000217C7">
        <w:rPr>
          <w:color w:val="000000" w:themeColor="text1"/>
        </w:rPr>
        <w:t>taken from</w:t>
      </w:r>
      <w:r w:rsidR="00D32CD6" w:rsidRPr="000217C7">
        <w:rPr>
          <w:color w:val="000000" w:themeColor="text1"/>
        </w:rPr>
        <w:t xml:space="preserve"> Osimo et al. </w:t>
      </w:r>
      <w:r w:rsidR="00BC2CCF" w:rsidRPr="000217C7">
        <w:rPr>
          <w:color w:val="000000" w:themeColor="text1"/>
        </w:rPr>
        <w:fldChar w:fldCharType="begin"/>
      </w:r>
      <w:r w:rsidR="004E1BC4" w:rsidRPr="000217C7">
        <w:rPr>
          <w:color w:val="000000" w:themeColor="text1"/>
        </w:rPr>
        <w:instrText xml:space="preserve"> ADDIN ZOTERO_ITEM CSL_CITATION {"citationID":"a1oi856aue9","properties":{"formattedCitation":"(2019)","plainCitation":"(2019)","noteIndex":0},"citationItems":[{"id":1829,"uris":["http://zotero.org/users/local/ukz7dhIj/items/KF44F9QX"],"uri":["http://zotero.org/users/local/ukz7dhIj/items/KF44F9QX"],"itemData":{"id":1829,"type":"article-journal","abstract":"The prefrontal cortex (PFC) plays a central role in food choice, and may be partly dysfunctional in obesity – a condition linked to altered attention and inhibition processes, particularly in response to food-related stimuli. We investigated the role of the PFC in subliminal visual processing and response inhibition to food pictures using anodal, cathodal, or sham transcranial direct current stimulation (tDCS) in a sample of 53 normal weight, overweight, or obese participants. Subliminal processing was measured with a breaking continuous flash suppression task (bCFS), and inhibition with a Go/No-Go task. BMI was included in the analyses as a continuous predictor. Higher BMI was associated with prolonged subliminal processing for both food and nonfood pictures in the bCFS task, and with longer RTs in food Go trials in the Go/No-Go task. Therefore, higher BMI was associated with an attentional bias for food images during supraliminal, but not subliminal visual processing. Moreover, anodal tDCS resulted in shorter detection times in the bCFS task, especially in participants with higher BMI. We conclude that anodal tDCS affects subliminal perception and attentional processes, and speculate that these effects may explain previous reports of reduced craving and food intake after anodal tDCS.","container-title":"Behaviour Research and Therapy","DOI":"10.1016/j.brat.2019.05.005","ISSN":"0005-7967","journalAbbreviation":"Behaviour Research and Therapy","source":"ScienceDirect","title":"Obesity, subliminal perception and inhibition: Neuromodulation of the prefrontal cortex","title-short":"Obesity, subliminal perception and inhibition","URL":"http://www.sciencedirect.com/science/article/pii/S0005796719300889","author":[{"family":"Osimo","given":"Sofia Adelaide"},{"family":"Korb","given":"Sebastian"},{"family":"Aiello","given":"Marilena"}],"accessed":{"date-parts":[["2019",5,28]]},"issued":{"date-parts":[["2019",5,19]]}},"suppress-author":true}],"schema":"https://github.com/citation-style-language/schema/raw/master/csl-citation.json"} </w:instrText>
      </w:r>
      <w:r w:rsidR="00BC2CCF" w:rsidRPr="000217C7">
        <w:rPr>
          <w:color w:val="000000" w:themeColor="text1"/>
        </w:rPr>
        <w:fldChar w:fldCharType="separate"/>
      </w:r>
      <w:r w:rsidR="004E1BC4" w:rsidRPr="000217C7">
        <w:rPr>
          <w:rFonts w:cs="Times New Roman"/>
          <w:color w:val="000000" w:themeColor="text1"/>
          <w:lang w:val="en-GB"/>
        </w:rPr>
        <w:t>(2019)</w:t>
      </w:r>
      <w:r w:rsidR="00BC2CCF" w:rsidRPr="000217C7">
        <w:rPr>
          <w:color w:val="000000" w:themeColor="text1"/>
        </w:rPr>
        <w:fldChar w:fldCharType="end"/>
      </w:r>
      <w:r w:rsidR="00D32CD6" w:rsidRPr="000217C7">
        <w:rPr>
          <w:color w:val="000000" w:themeColor="text1"/>
        </w:rPr>
        <w:t>.</w:t>
      </w:r>
    </w:p>
    <w:p w14:paraId="2AACF8CE" w14:textId="353E1DCA" w:rsidR="0086212A" w:rsidRPr="000217C7" w:rsidRDefault="0086212A" w:rsidP="0086212A">
      <w:pPr>
        <w:pStyle w:val="Heading3"/>
      </w:pPr>
      <w:r w:rsidRPr="000217C7">
        <w:t xml:space="preserve">2.2.1 Procedure and experimental tasks </w:t>
      </w:r>
    </w:p>
    <w:p w14:paraId="327AD460" w14:textId="5940EC10" w:rsidR="007E7B22" w:rsidRPr="000217C7" w:rsidRDefault="006235A1" w:rsidP="00F743E0">
      <w:pPr>
        <w:pStyle w:val="Heading4"/>
      </w:pPr>
      <w:r w:rsidRPr="000217C7">
        <w:t>2.2.</w:t>
      </w:r>
      <w:r w:rsidR="00360F1F" w:rsidRPr="000217C7">
        <w:t xml:space="preserve">1.1 </w:t>
      </w:r>
      <w:r w:rsidR="00F743E0" w:rsidRPr="000217C7">
        <w:t xml:space="preserve">Breaking </w:t>
      </w:r>
      <w:r w:rsidR="007E7B22" w:rsidRPr="000217C7">
        <w:t>CFS and NoCFS tasks</w:t>
      </w:r>
    </w:p>
    <w:p w14:paraId="4E08D264" w14:textId="65C76F85" w:rsidR="002009D0" w:rsidRPr="000217C7" w:rsidRDefault="00F743E0" w:rsidP="00C4104D">
      <w:pPr>
        <w:rPr>
          <w:color w:val="000000" w:themeColor="text1"/>
        </w:rPr>
      </w:pPr>
      <w:r w:rsidRPr="000217C7">
        <w:rPr>
          <w:color w:val="000000" w:themeColor="text1"/>
        </w:rPr>
        <w:t xml:space="preserve">Breaking CFS task is a binocular rivalry task, during which participants are instructed to </w:t>
      </w:r>
      <w:r w:rsidR="00B724F5" w:rsidRPr="000217C7">
        <w:rPr>
          <w:color w:val="000000" w:themeColor="text1"/>
        </w:rPr>
        <w:t>detect and respond</w:t>
      </w:r>
      <w:r w:rsidRPr="000217C7">
        <w:rPr>
          <w:color w:val="000000" w:themeColor="text1"/>
        </w:rPr>
        <w:t xml:space="preserve"> to static (suppressed) images while ignoring distractors. To achieve suppression, s</w:t>
      </w:r>
      <w:r w:rsidR="00783ECF" w:rsidRPr="000217C7">
        <w:rPr>
          <w:color w:val="000000" w:themeColor="text1"/>
        </w:rPr>
        <w:t xml:space="preserve">timuli and distracters were each embedded in separate squared frames and shown side by side on the screen. Stimuli were displayed in one of the quadrants of </w:t>
      </w:r>
      <w:r w:rsidR="00620CA5" w:rsidRPr="000217C7">
        <w:rPr>
          <w:color w:val="000000" w:themeColor="text1"/>
        </w:rPr>
        <w:t>one</w:t>
      </w:r>
      <w:r w:rsidR="00783ECF" w:rsidRPr="000217C7">
        <w:rPr>
          <w:color w:val="000000" w:themeColor="text1"/>
        </w:rPr>
        <w:t xml:space="preserve"> square, while the distractors were displayed over the whole </w:t>
      </w:r>
      <w:r w:rsidR="00620CA5" w:rsidRPr="000217C7">
        <w:rPr>
          <w:color w:val="000000" w:themeColor="text1"/>
        </w:rPr>
        <w:t xml:space="preserve">other </w:t>
      </w:r>
      <w:r w:rsidR="00783ECF" w:rsidRPr="000217C7">
        <w:rPr>
          <w:color w:val="000000" w:themeColor="text1"/>
        </w:rPr>
        <w:t>square. Participants looked at the screen through a mirror stereoscope, which was individually calibrated</w:t>
      </w:r>
      <w:r w:rsidR="008F1A43" w:rsidRPr="000217C7">
        <w:rPr>
          <w:color w:val="000000" w:themeColor="text1"/>
        </w:rPr>
        <w:t xml:space="preserve"> to show the two squares as superimposed. Therefore, </w:t>
      </w:r>
      <w:r w:rsidR="00783ECF" w:rsidRPr="000217C7">
        <w:rPr>
          <w:color w:val="000000" w:themeColor="text1"/>
        </w:rPr>
        <w:t xml:space="preserve">participants’ </w:t>
      </w:r>
      <w:r w:rsidR="00783ECF" w:rsidRPr="000217C7">
        <w:rPr>
          <w:color w:val="000000" w:themeColor="text1"/>
        </w:rPr>
        <w:lastRenderedPageBreak/>
        <w:t>perception was that of a single superimposed and perfectly aligned square</w:t>
      </w:r>
      <w:r w:rsidR="008F1A43" w:rsidRPr="000217C7">
        <w:rPr>
          <w:color w:val="000000" w:themeColor="text1"/>
        </w:rPr>
        <w:t xml:space="preserve">. This triggered binocular rivalry, as the two eyes received different inputs in the same field of view. </w:t>
      </w:r>
      <w:r w:rsidR="00831497" w:rsidRPr="000217C7">
        <w:rPr>
          <w:color w:val="000000" w:themeColor="text1"/>
        </w:rPr>
        <w:t xml:space="preserve">Participants were instructed to indicate </w:t>
      </w:r>
      <w:r w:rsidR="008F1A43" w:rsidRPr="000217C7">
        <w:rPr>
          <w:color w:val="000000" w:themeColor="text1"/>
        </w:rPr>
        <w:t xml:space="preserve">via keypress as fast and as accurately as possible </w:t>
      </w:r>
      <w:r w:rsidR="00831497" w:rsidRPr="000217C7">
        <w:rPr>
          <w:color w:val="000000" w:themeColor="text1"/>
        </w:rPr>
        <w:t xml:space="preserve">the position of the stimulus relative to </w:t>
      </w:r>
      <w:r w:rsidR="008F1A43" w:rsidRPr="000217C7">
        <w:rPr>
          <w:color w:val="000000" w:themeColor="text1"/>
        </w:rPr>
        <w:t>a</w:t>
      </w:r>
      <w:r w:rsidR="00831497" w:rsidRPr="000217C7">
        <w:rPr>
          <w:color w:val="000000" w:themeColor="text1"/>
        </w:rPr>
        <w:t xml:space="preserve"> central fixation cross. </w:t>
      </w:r>
      <w:r w:rsidR="007E7B22" w:rsidRPr="000217C7">
        <w:rPr>
          <w:color w:val="000000" w:themeColor="text1"/>
        </w:rPr>
        <w:t xml:space="preserve">Distractors were shown at 100% contrast and changed at a rate of 10 Hz, while the contrast of the stimuli increased linearly from 0% to 60% over one second, and then stayed at 60% until response. </w:t>
      </w:r>
      <w:r w:rsidR="00F12141" w:rsidRPr="000217C7">
        <w:rPr>
          <w:color w:val="000000" w:themeColor="text1"/>
        </w:rPr>
        <w:t xml:space="preserve">The order of the stimuli, the quadrant in which they were shown, and the eye they were shown to, were semi-randomized for each trial and each participant. Each participant saw each stimulus twice in all four quadrants in a different order and saw half of the stimuli with their right, and half with their </w:t>
      </w:r>
      <w:r w:rsidR="00A502E3" w:rsidRPr="000217C7">
        <w:rPr>
          <w:color w:val="000000" w:themeColor="text1"/>
        </w:rPr>
        <w:t>left</w:t>
      </w:r>
      <w:r w:rsidR="00831497" w:rsidRPr="000217C7">
        <w:rPr>
          <w:color w:val="000000" w:themeColor="text1"/>
        </w:rPr>
        <w:t>.</w:t>
      </w:r>
      <w:r w:rsidR="008F1A43" w:rsidRPr="000217C7">
        <w:rPr>
          <w:color w:val="000000" w:themeColor="text1"/>
        </w:rPr>
        <w:t xml:space="preserve"> Trials ended when a response was give</w:t>
      </w:r>
      <w:r w:rsidR="007E7B22" w:rsidRPr="000217C7">
        <w:rPr>
          <w:color w:val="000000" w:themeColor="text1"/>
        </w:rPr>
        <w:t>n</w:t>
      </w:r>
      <w:r w:rsidR="008F1A43" w:rsidRPr="000217C7">
        <w:rPr>
          <w:color w:val="000000" w:themeColor="text1"/>
        </w:rPr>
        <w:t>, or, in its absence, a</w:t>
      </w:r>
      <w:r w:rsidR="002C6D03" w:rsidRPr="000217C7">
        <w:rPr>
          <w:color w:val="000000" w:themeColor="text1"/>
        </w:rPr>
        <w:t>fter eight seconds</w:t>
      </w:r>
      <w:r w:rsidR="00831497" w:rsidRPr="000217C7">
        <w:rPr>
          <w:color w:val="000000" w:themeColor="text1"/>
        </w:rPr>
        <w:t>.</w:t>
      </w:r>
      <w:r w:rsidR="002C6D03" w:rsidRPr="000217C7">
        <w:rPr>
          <w:color w:val="000000" w:themeColor="text1"/>
        </w:rPr>
        <w:t xml:space="preserve"> Participants then performed an equivalent task without suppression</w:t>
      </w:r>
      <w:r w:rsidR="007E7B22" w:rsidRPr="000217C7">
        <w:rPr>
          <w:color w:val="000000" w:themeColor="text1"/>
        </w:rPr>
        <w:t xml:space="preserve">, hence </w:t>
      </w:r>
      <w:r w:rsidR="002C6D03" w:rsidRPr="000217C7">
        <w:rPr>
          <w:color w:val="000000" w:themeColor="text1"/>
        </w:rPr>
        <w:t xml:space="preserve">NoCFS. This </w:t>
      </w:r>
      <w:r w:rsidR="00020F2C" w:rsidRPr="000217C7">
        <w:rPr>
          <w:color w:val="000000" w:themeColor="text1"/>
        </w:rPr>
        <w:t>task</w:t>
      </w:r>
      <w:r w:rsidR="00661B8D" w:rsidRPr="000217C7">
        <w:rPr>
          <w:color w:val="000000" w:themeColor="text1"/>
        </w:rPr>
        <w:t xml:space="preserve"> </w:t>
      </w:r>
      <w:r w:rsidR="002C6D03" w:rsidRPr="000217C7">
        <w:rPr>
          <w:color w:val="000000" w:themeColor="text1"/>
        </w:rPr>
        <w:t xml:space="preserve">had the same instructions and stimuli as the bCFS </w:t>
      </w:r>
      <w:r w:rsidR="00020F2C" w:rsidRPr="000217C7">
        <w:rPr>
          <w:color w:val="000000" w:themeColor="text1"/>
        </w:rPr>
        <w:t>task</w:t>
      </w:r>
      <w:r w:rsidR="005728DE" w:rsidRPr="000217C7">
        <w:rPr>
          <w:color w:val="000000" w:themeColor="text1"/>
        </w:rPr>
        <w:t>,</w:t>
      </w:r>
      <w:r w:rsidR="00485A36" w:rsidRPr="000217C7">
        <w:rPr>
          <w:color w:val="000000" w:themeColor="text1"/>
        </w:rPr>
        <w:t xml:space="preserve"> but stimuli and distractors were superimposed </w:t>
      </w:r>
      <w:r w:rsidR="008F1A43" w:rsidRPr="000217C7">
        <w:rPr>
          <w:color w:val="000000" w:themeColor="text1"/>
        </w:rPr>
        <w:t>and shown to both eyes, and therefore they did not elicit binocular rivalry</w:t>
      </w:r>
      <w:r w:rsidR="00E70A5E" w:rsidRPr="000217C7">
        <w:rPr>
          <w:color w:val="000000" w:themeColor="text1"/>
        </w:rPr>
        <w:t xml:space="preserve"> and were immediately visible</w:t>
      </w:r>
      <w:r w:rsidR="002C6D03" w:rsidRPr="000217C7">
        <w:rPr>
          <w:color w:val="000000" w:themeColor="text1"/>
        </w:rPr>
        <w:t>. Participants performed</w:t>
      </w:r>
      <w:r w:rsidR="00831497" w:rsidRPr="000217C7">
        <w:rPr>
          <w:color w:val="000000" w:themeColor="text1"/>
        </w:rPr>
        <w:t xml:space="preserve"> 40 trials of training</w:t>
      </w:r>
      <w:r w:rsidR="00D0422C" w:rsidRPr="000217C7">
        <w:rPr>
          <w:color w:val="000000" w:themeColor="text1"/>
        </w:rPr>
        <w:t>, during which a dedicated set of images was displayed</w:t>
      </w:r>
      <w:r w:rsidR="00831497" w:rsidRPr="000217C7">
        <w:rPr>
          <w:color w:val="000000" w:themeColor="text1"/>
        </w:rPr>
        <w:t xml:space="preserve">, and 320 trials of the bCFS </w:t>
      </w:r>
      <w:r w:rsidR="00020F2C" w:rsidRPr="000217C7">
        <w:rPr>
          <w:color w:val="000000" w:themeColor="text1"/>
        </w:rPr>
        <w:t>task</w:t>
      </w:r>
      <w:r w:rsidR="00661B8D" w:rsidRPr="000217C7">
        <w:rPr>
          <w:color w:val="000000" w:themeColor="text1"/>
        </w:rPr>
        <w:t xml:space="preserve"> </w:t>
      </w:r>
      <w:r w:rsidR="002C6D03" w:rsidRPr="000217C7">
        <w:rPr>
          <w:color w:val="000000" w:themeColor="text1"/>
        </w:rPr>
        <w:t xml:space="preserve">and NoCFS </w:t>
      </w:r>
      <w:r w:rsidR="00020F2C" w:rsidRPr="000217C7">
        <w:rPr>
          <w:color w:val="000000" w:themeColor="text1"/>
        </w:rPr>
        <w:t>task</w:t>
      </w:r>
      <w:r w:rsidR="00661B8D" w:rsidRPr="000217C7">
        <w:rPr>
          <w:color w:val="000000" w:themeColor="text1"/>
        </w:rPr>
        <w:t xml:space="preserve"> </w:t>
      </w:r>
      <w:r w:rsidR="00485A36" w:rsidRPr="000217C7">
        <w:rPr>
          <w:color w:val="000000" w:themeColor="text1"/>
        </w:rPr>
        <w:t>each, with a break every 30 trials</w:t>
      </w:r>
      <w:r w:rsidR="00831497" w:rsidRPr="000217C7">
        <w:rPr>
          <w:color w:val="000000" w:themeColor="text1"/>
        </w:rPr>
        <w:t>. The total testing time was of about one hour and 15 minutes.</w:t>
      </w:r>
      <w:r w:rsidR="002C6D03" w:rsidRPr="000217C7">
        <w:rPr>
          <w:color w:val="000000" w:themeColor="text1"/>
        </w:rPr>
        <w:t xml:space="preserve"> </w:t>
      </w:r>
      <w:r w:rsidR="00831497" w:rsidRPr="000217C7">
        <w:rPr>
          <w:color w:val="000000" w:themeColor="text1"/>
        </w:rPr>
        <w:t>Example trials of the bCFS and NoCFS tasks are shown in</w:t>
      </w:r>
      <w:r w:rsidR="003B7C1B" w:rsidRPr="000217C7">
        <w:rPr>
          <w:color w:val="000000" w:themeColor="text1"/>
        </w:rPr>
        <w:t xml:space="preserve"> Figure 1A and 1B</w:t>
      </w:r>
      <w:r w:rsidR="00831497" w:rsidRPr="000217C7">
        <w:rPr>
          <w:color w:val="000000" w:themeColor="text1"/>
        </w:rPr>
        <w:t xml:space="preserve">. </w:t>
      </w:r>
      <w:r w:rsidR="002009D0" w:rsidRPr="000217C7">
        <w:rPr>
          <w:color w:val="000000" w:themeColor="text1"/>
        </w:rPr>
        <w:t xml:space="preserve">The tasks were programmed in and presented with Python using the </w:t>
      </w:r>
      <w:proofErr w:type="spellStart"/>
      <w:r w:rsidR="002009D0" w:rsidRPr="000217C7">
        <w:rPr>
          <w:color w:val="000000" w:themeColor="text1"/>
        </w:rPr>
        <w:t>Psychopy</w:t>
      </w:r>
      <w:proofErr w:type="spellEnd"/>
      <w:r w:rsidR="002009D0" w:rsidRPr="000217C7">
        <w:rPr>
          <w:color w:val="000000" w:themeColor="text1"/>
        </w:rPr>
        <w:t xml:space="preserve"> library </w:t>
      </w:r>
      <w:r w:rsidR="00BC2CCF" w:rsidRPr="000217C7">
        <w:rPr>
          <w:color w:val="000000" w:themeColor="text1"/>
        </w:rPr>
        <w:fldChar w:fldCharType="begin"/>
      </w:r>
      <w:r w:rsidR="003F3C87" w:rsidRPr="000217C7">
        <w:rPr>
          <w:color w:val="000000" w:themeColor="text1"/>
        </w:rPr>
        <w:instrText xml:space="preserve"> ADDIN ZOTERO_ITEM CSL_CITATION {"citationID":"1q9p6ec8ru","properties":{"formattedCitation":"(Peirce, 2007)","plainCitation":"(Peirce, 2007)","noteIndex":0},"citationItems":[{"id":11,"uris":["http://zotero.org/users/local/ukz7dhIj/items/3V5TG7KX"],"uri":["http://zotero.org/users/local/ukz7dhIj/items/3V5TG7KX"],"itemData":{"id":11,"type":"article-journal","abstract":"The vast majority of studies into visual processing are conducted using computer display technology. The current paper describes a new free suite of software tools designed to make this task easier, using the latest advances in hardware and software. PsychoPy is a platform-independent experimental control system written in the Python interpreted language using entirely free libraries. PsychoPy scripts are designed to be extremely easy to read and write, while retaining complete power for the user to customize the stimuli and environment. Tools are provided within the package to allow everything from stimulus presentation and response collection (from a wide range of devices) to simple data analysis such as psychometric function fitting. Most importantly, PsychoPy is highly extensible and the whole system can evolve via user contributions. If a user wants to add support for a particular stimulus, analysis or hardware device they can look at the code for existing examples, modify them and submit the modifications back into the package so that the whole community benefits.","container-title":"Journal of Neuroscience Methods","DOI":"10.1016/j.jneumeth.2006.11.017","ISSN":"0165-0270","issue":"1","journalAbbreviation":"Journal of Neuroscience Methods","page":"8-13","source":"ScienceDirect","title":"PsychoPy—Psychophysics software in Python","volume":"162","author":[{"family":"Peirce","given":"Jonathan W."}],"issued":{"date-parts":[["2007",5,15]]}}}],"schema":"https://github.com/citation-style-language/schema/raw/master/csl-citation.json"} </w:instrText>
      </w:r>
      <w:r w:rsidR="00BC2CCF" w:rsidRPr="000217C7">
        <w:rPr>
          <w:color w:val="000000" w:themeColor="text1"/>
        </w:rPr>
        <w:fldChar w:fldCharType="separate"/>
      </w:r>
      <w:r w:rsidR="002009D0" w:rsidRPr="000217C7">
        <w:rPr>
          <w:noProof/>
          <w:color w:val="000000" w:themeColor="text1"/>
        </w:rPr>
        <w:t>(Peirce, 2007)</w:t>
      </w:r>
      <w:r w:rsidR="00BC2CCF" w:rsidRPr="000217C7">
        <w:rPr>
          <w:color w:val="000000" w:themeColor="text1"/>
        </w:rPr>
        <w:fldChar w:fldCharType="end"/>
      </w:r>
      <w:r w:rsidR="00EA5A29" w:rsidRPr="000217C7">
        <w:rPr>
          <w:color w:val="000000" w:themeColor="text1"/>
        </w:rPr>
        <w:t>.</w:t>
      </w:r>
      <w:r w:rsidR="00FC5A72" w:rsidRPr="000217C7">
        <w:rPr>
          <w:color w:val="000000" w:themeColor="text1"/>
        </w:rPr>
        <w:t xml:space="preserve"> </w:t>
      </w:r>
      <w:r w:rsidR="00041E94" w:rsidRPr="000217C7">
        <w:rPr>
          <w:color w:val="000000" w:themeColor="text1"/>
        </w:rPr>
        <w:t>Stimuli consisted of 20 images of food and 20 images of nonfood items (e.g. animals, man-made objects</w:t>
      </w:r>
      <w:r w:rsidR="002306CC" w:rsidRPr="000217C7">
        <w:rPr>
          <w:color w:val="000000" w:themeColor="text1"/>
        </w:rPr>
        <w:t>,</w:t>
      </w:r>
      <w:r w:rsidR="00041E94" w:rsidRPr="000217C7">
        <w:rPr>
          <w:color w:val="000000" w:themeColor="text1"/>
        </w:rPr>
        <w:t xml:space="preserve"> etc.), selected from the </w:t>
      </w:r>
      <w:proofErr w:type="spellStart"/>
      <w:r w:rsidR="00041E94" w:rsidRPr="000217C7">
        <w:rPr>
          <w:color w:val="000000" w:themeColor="text1"/>
        </w:rPr>
        <w:t>FRIDa</w:t>
      </w:r>
      <w:proofErr w:type="spellEnd"/>
      <w:r w:rsidR="00041E94" w:rsidRPr="000217C7">
        <w:rPr>
          <w:color w:val="000000" w:themeColor="text1"/>
        </w:rPr>
        <w:t xml:space="preserve"> database </w:t>
      </w:r>
      <w:r w:rsidR="00BC2CCF" w:rsidRPr="000217C7">
        <w:rPr>
          <w:color w:val="000000" w:themeColor="text1"/>
        </w:rPr>
        <w:fldChar w:fldCharType="begin"/>
      </w:r>
      <w:r w:rsidR="003F3C87" w:rsidRPr="000217C7">
        <w:rPr>
          <w:color w:val="000000" w:themeColor="text1"/>
        </w:rPr>
        <w:instrText xml:space="preserve"> ADDIN ZOTERO_ITEM CSL_CITATION {"citationID":"wpnpCh0l","properties":{"formattedCitation":"(Foroni et al., 2013)","plainCitation":"(Foroni et al., 2013)","noteIndex":0},"citationItems":[{"id":626,"uris":["http://zotero.org/users/local/ukz7dhIj/items/4F6PS7QJ"],"uri":["http://zotero.org/users/local/ukz7dhIj/items/4F6PS7QJ"],"itemData":{"id":626,"type":"article-journal","abstract":"In recent years we have witnessed an increasing interest in food processing and eating behaviors. This is probably due to several reasons. The biological relevance of food choices, the complexity of the food-rich environment in which we presently live (making food-intake regulation difficult), and the increasing health care cost due to illness associated with food (food hazards, food contamination, and aberrant food-intake). Despite the importance of the issues and the relevance of this research, comprehensive and validated databases of stimuli are rather limited, outdated, or not available for non-commercial purposes to independent researchers who aim at developing their own research program. The FoodCast Research Image Database (FRIDa) we present here includes 877 images belonging to eight different categories: natural-food (e.g., strawberry), transformed-food (e.g., french fries), rotten-food (e.g., moldy banana), natural-non-food items (e.g., pinecone), artificial food-related objects (e.g., teacup), artificial objects (e.g., guitar), animals (e.g., camel), and scenes (e.g., airport). FRIDa has been validated on a sample of healthy participants (N = 73) on standard variables (e.g., valence, familiarity, etc.) as well as on other variables specifically related to food items (e.g., perceived calorie content); it also includes data on the visual features of the stimuli (e.g., brightness, high frequency power, etc.). FRIDa is a well-controlled, flexible, validated, and freely available (http://foodcast.sissa.it/neuroscience/) tool for researchers in a wide range of academic fields and industry.","container-title":"Frontiers in Human Neuroscience","DOI":"10.3389/fnhum.2013.00051","ISSN":"1662-5161","journalAbbreviation":"Front Hum Neurosci","language":"eng","note":"PMID: 23459781\nPMCID: PMC3585434","page":"51","source":"PubMed","title":"The FoodCast research image database (FRIDa)","volume":"7","author":[{"family":"Foroni","given":"Francesco"},{"family":"Pergola","given":"Giulio"},{"family":"Argiris","given":"Georgette"},{"family":"Rumiati","given":"Raffaella I."}],"issued":{"date-parts":[["2013"]]}}}],"schema":"https://github.com/citation-style-language/schema/raw/master/csl-citation.json"} </w:instrText>
      </w:r>
      <w:r w:rsidR="00BC2CCF" w:rsidRPr="000217C7">
        <w:rPr>
          <w:color w:val="000000" w:themeColor="text1"/>
        </w:rPr>
        <w:fldChar w:fldCharType="separate"/>
      </w:r>
      <w:r w:rsidR="00080C34" w:rsidRPr="000217C7">
        <w:rPr>
          <w:noProof/>
          <w:color w:val="000000" w:themeColor="text1"/>
        </w:rPr>
        <w:t>(Foroni et al., 2013)</w:t>
      </w:r>
      <w:r w:rsidR="00BC2CCF" w:rsidRPr="000217C7">
        <w:rPr>
          <w:color w:val="000000" w:themeColor="text1"/>
        </w:rPr>
        <w:fldChar w:fldCharType="end"/>
      </w:r>
      <w:r w:rsidR="00041E94" w:rsidRPr="000217C7">
        <w:rPr>
          <w:color w:val="000000" w:themeColor="text1"/>
        </w:rPr>
        <w:t xml:space="preserve">. </w:t>
      </w:r>
      <w:r w:rsidR="008B0E87" w:rsidRPr="000217C7">
        <w:rPr>
          <w:color w:val="000000" w:themeColor="text1"/>
        </w:rPr>
        <w:t>Half of the food stimuli depicted highly caloric food (i.e. cookies), and the other half low-calorie foods (i.e. strawberries); in each group, half of the depicted foods were highly transformed (ice</w:t>
      </w:r>
      <w:r w:rsidR="00D1361E" w:rsidRPr="000217C7">
        <w:rPr>
          <w:color w:val="000000" w:themeColor="text1"/>
        </w:rPr>
        <w:t xml:space="preserve"> </w:t>
      </w:r>
      <w:r w:rsidR="008B0E87" w:rsidRPr="000217C7">
        <w:rPr>
          <w:color w:val="000000" w:themeColor="text1"/>
        </w:rPr>
        <w:t xml:space="preserve">cream, fruit salad) and the other half was comprised of natural foods (almonds, cherries). </w:t>
      </w:r>
      <w:r w:rsidR="00E70A5E" w:rsidRPr="000217C7">
        <w:rPr>
          <w:color w:val="000000" w:themeColor="text1"/>
        </w:rPr>
        <w:t>F</w:t>
      </w:r>
      <w:r w:rsidR="00041E94" w:rsidRPr="000217C7">
        <w:rPr>
          <w:color w:val="000000" w:themeColor="text1"/>
        </w:rPr>
        <w:t>ood and nonfood items were matched for brightness [</w:t>
      </w:r>
      <w:r w:rsidR="00041E94" w:rsidRPr="000217C7">
        <w:rPr>
          <w:i/>
          <w:color w:val="000000" w:themeColor="text1"/>
        </w:rPr>
        <w:t>p</w:t>
      </w:r>
      <w:r w:rsidR="00041E94" w:rsidRPr="000217C7">
        <w:rPr>
          <w:color w:val="000000" w:themeColor="text1"/>
        </w:rPr>
        <w:t>= 0.82] and spatial frequency [</w:t>
      </w:r>
      <w:r w:rsidR="00041E94" w:rsidRPr="000217C7">
        <w:rPr>
          <w:i/>
          <w:color w:val="000000" w:themeColor="text1"/>
        </w:rPr>
        <w:t>p</w:t>
      </w:r>
      <w:r w:rsidR="00041E94" w:rsidRPr="000217C7">
        <w:rPr>
          <w:color w:val="000000" w:themeColor="text1"/>
        </w:rPr>
        <w:t xml:space="preserve"> = 0.09] since low-level visual features can influence suppression times </w:t>
      </w:r>
      <w:r w:rsidR="00BC2CCF" w:rsidRPr="000217C7">
        <w:rPr>
          <w:color w:val="000000" w:themeColor="text1"/>
        </w:rPr>
        <w:fldChar w:fldCharType="begin"/>
      </w:r>
      <w:r w:rsidR="009456C2" w:rsidRPr="000217C7">
        <w:rPr>
          <w:color w:val="000000" w:themeColor="text1"/>
        </w:rPr>
        <w:instrText xml:space="preserve"> ADDIN ZOTERO_ITEM CSL_CITATION {"citationID":"2cp0alot0i","properties":{"formattedCitation":"(Gayet et al., 2014; Gray et al., 2013; Yang and Blake, 2012)","plainCitation":"(Gayet et al., 2014; Gray et al., 2013; Yang and Blake, 2012)","noteIndex":0},"citationItems":[{"id":405,"uris":["http://zotero.org/users/local/ukz7dhIj/items/8TR2H7X2"],"uri":["http://zotero.org/users/local/ukz7dhIj/items/8TR2H7X2"],"itemData":{"id":405,"type":"article-journal","abstract":"Traditionally, interocular suppression is believed to disrupt high-level (i.e., semantic or conceptual) processing of the suppressed visual input. The development of a new experimental paradigm, breaking continuous flash suppression (b-CFS), has caused a resurgence of studies demonstrating high-level processing of visual information in the absence of visual awareness. In this method the time it takes for interocularly suppressed stimuli to breach the threshold of visibility, is regarded as a measure of access to awareness. The aim of the current review is twofold. First, we provide an overview of the literature using this b-CFS method, while making a distinction between two types of studies: those in which suppression durations are compared between different stimulus classes (such as upright faces versus inverted faces), and those in which suppression durations are compared for stimuli that either match or mismatch concurrently available information (such as a colored target that either matches or mismatches a color retained in working memory). Second, we aim at dissociating high-level processing from low-level (i.e., crude visual) processing of the suppressed stimuli. For this purpose, we include a thorough review of the control conditions that are used in these experiments. Additionally, we provide recommendations for proper control conditions that we deem crucial for disentangling high-level from low-level effects. Based on this review, we argue that crude visual processing suffices for explaining differences in breakthrough times reported using b-CFS. As such, we conclude that there is as yet no reason to assume that interocularly suppressed stimuli receive full semantic analysis.","container-title":"Frontiers in Psychology","DOI":"10.3389/fpsyg.2014.00460","ISSN":"1664-1078","journalAbbreviation":"Front Psychol","note":"PMID: 24904476\nPMCID: PMC4033185","source":"PubMed Central","title":"Breaking continuous flash suppression: competing for consciousness on the pre-semantic battlefield","title-short":"Breaking continuous flash suppression","URL":"https://www.ncbi.nlm.nih.gov/pmc/articles/PMC4033185/","volume":"5","author":[{"family":"Gayet","given":"Surya"},{"family":"Van der Stigchel","given":"Stefan"},{"family":"Paffen","given":"Chris L. E."}],"issued":{"date-parts":[["2014",5,23]]}}},{"id":708,"uris":["http://zotero.org/users/local/ukz7dhIj/items/6P2CES9F"],"uri":["http://zotero.org/users/local/ukz7dhIj/items/6P2CES9F"],"itemData":{"id":708,"type":"article-journal","abstract":"Threat-relevant stimuli such as fear faces are prioritized by the human visual system. Recent research suggests that this prioritization begins during unconscious processing: A specialized (possibly subcortical) pathway evaluates the threat relevance of visual input, resulting in preferential access to awareness for threat stimuli. Our data challenge this claim. We used a continuous flash suppression (CFS) paradigm to present emotional face stimuli outside of awareness. It has been shown using CFS that salient (e.g., high contrast) and recognizable stimuli (faces, words) become visible more quickly than less salient or less recognizable stimuli. We found that although fearful faces emerge from suppression faster than other faces, this was wholly explained by their low-level visual properties, rather than their emotional content. We conclude that, in the competition for visual awareness, the visual system prefers and promotes unconscious stimuli that are more \"face-like,\" but the emotional content of a face has no effect on stimulus salience.","container-title":"Emotion (Washington, D.C.)","DOI":"10.1037/a0031403","ISSN":"1931-1516","issue":"3","journalAbbreviation":"Emotion","language":"eng","note":"PMID: 23398580","page":"537-544","source":"PubMed","title":"Faces and awareness: low-level, not emotional factors determine perceptual dominance","title-short":"Faces and awareness","volume":"13","author":[{"family":"Gray","given":"Katie L. H."},{"family":"Adams","given":"Wendy J."},{"family":"Hedger","given":"Nicholas"},{"family":"Newton","given":"Kristiana E."},{"family":"Garner","given":"Matthew"}],"issued":{"date-parts":[["2013",6]]}}},{"id":399,"uris":["http://zotero.org/users/local/ukz7dhIj/items/JZ6N6SQV"],"uri":["http://zotero.org/users/local/ukz7dhIj/items/JZ6N6SQV"],"itemData":{"id":399,"type":"article-journal","abstract":"In this paper, we asked to what extent the depth of interocular suppression engendered by continuous flash suppression (CFS) varies depending on spatiotemporal properties of the suppressed stimulus and CFS suppressor. An answer to this question could have implications for interpreting the results in which CFS influences the processing of different categories of stimuli to different extents. In a series of experiments, we measured the selectivity and depth of suppression (i.e., elevation in contrast detection thresholds) as a function of the visual features of the stimulus being suppressed and the stimulus evoking suppression, namely, the popular “Mondrian” CFS stimulus (). First, we found that CFS differentially suppresses the spatial components of the suppressed stimulus: Observers' sensitivity for stimuli of relatively low spatial frequency or cardinally oriented features was more strongly impaired in comparison to high spatial frequency or obliquely oriented stimuli. Second, we discovered that this feature-selective bias primarily arises from the spatiotemporal structure of the CFS stimulus, particularly within information residing in the low spatial frequency range and within the smooth rather than abrupt luminance changes over time. These results imply that this CFS stimulus operates by selectively attenuating certain classes of low-level signals while leaving others to be potentially encoded during suppression. These findings underscore the importance of considering the contribution of low-level features in stimulus-driven effects that are reported under CFS.","container-title":"Journal of Vision","DOI":"10.1167/12.3.8","ISSN":"1534-7362","issue":"3","journalAbbreviation":"J Vis","note":"PMID: 22408039\nPMCID: PMC3365563","page":"8","source":"PubMed Central","title":"Deconstructing continuous flash suppression","volume":"12","author":[{"family":"Yang","given":"Eunice"},{"family":"Blake","given":"Randolph"}],"issued":{"date-parts":[["2012"]]}}}],"schema":"https://github.com/citation-style-language/schema/raw/master/csl-citation.json"} </w:instrText>
      </w:r>
      <w:r w:rsidR="00BC2CCF" w:rsidRPr="000217C7">
        <w:rPr>
          <w:color w:val="000000" w:themeColor="text1"/>
        </w:rPr>
        <w:fldChar w:fldCharType="separate"/>
      </w:r>
      <w:r w:rsidR="009456C2" w:rsidRPr="000217C7">
        <w:rPr>
          <w:rFonts w:eastAsia="Times New Roman"/>
          <w:color w:val="000000" w:themeColor="text1"/>
        </w:rPr>
        <w:t>(Gayet et al., 2014; Gray et al., 2013; Yang and Blake, 2012)</w:t>
      </w:r>
      <w:r w:rsidR="00BC2CCF" w:rsidRPr="000217C7">
        <w:rPr>
          <w:color w:val="000000" w:themeColor="text1"/>
        </w:rPr>
        <w:fldChar w:fldCharType="end"/>
      </w:r>
      <w:r w:rsidR="00041E94" w:rsidRPr="000217C7">
        <w:rPr>
          <w:color w:val="000000" w:themeColor="text1"/>
        </w:rPr>
        <w:t>. Food and nonfood items also did not differ in valence, familiarity, typicality</w:t>
      </w:r>
      <w:r w:rsidR="00A33EE4" w:rsidRPr="000217C7">
        <w:rPr>
          <w:color w:val="000000" w:themeColor="text1"/>
        </w:rPr>
        <w:t>,</w:t>
      </w:r>
      <w:r w:rsidR="00041E94" w:rsidRPr="000217C7">
        <w:rPr>
          <w:color w:val="000000" w:themeColor="text1"/>
        </w:rPr>
        <w:t xml:space="preserve"> or arousal</w:t>
      </w:r>
      <w:r w:rsidR="00E70A5E" w:rsidRPr="000217C7">
        <w:rPr>
          <w:color w:val="000000" w:themeColor="text1"/>
        </w:rPr>
        <w:t xml:space="preserve"> according to the </w:t>
      </w:r>
      <w:r w:rsidR="002306CC" w:rsidRPr="000217C7">
        <w:rPr>
          <w:color w:val="000000" w:themeColor="text1"/>
        </w:rPr>
        <w:t>database-</w:t>
      </w:r>
      <w:r w:rsidR="00E70A5E" w:rsidRPr="000217C7">
        <w:rPr>
          <w:color w:val="000000" w:themeColor="text1"/>
        </w:rPr>
        <w:t>independent ratings</w:t>
      </w:r>
      <w:r w:rsidR="00041E94" w:rsidRPr="000217C7">
        <w:rPr>
          <w:color w:val="000000" w:themeColor="text1"/>
        </w:rPr>
        <w:t xml:space="preserve"> [</w:t>
      </w:r>
      <w:proofErr w:type="spellStart"/>
      <w:r w:rsidR="00041E94" w:rsidRPr="000217C7">
        <w:rPr>
          <w:i/>
          <w:color w:val="000000" w:themeColor="text1"/>
        </w:rPr>
        <w:t>ps</w:t>
      </w:r>
      <w:proofErr w:type="spellEnd"/>
      <w:r w:rsidR="00041E94" w:rsidRPr="000217C7">
        <w:rPr>
          <w:color w:val="000000" w:themeColor="text1"/>
        </w:rPr>
        <w:t xml:space="preserve"> &gt; 0.15]. </w:t>
      </w:r>
      <w:r w:rsidR="00941C8F" w:rsidRPr="000217C7">
        <w:rPr>
          <w:color w:val="000000" w:themeColor="text1"/>
        </w:rPr>
        <w:t xml:space="preserve">A subset of the stimuli is depicted in Supplementary Figure 1. </w:t>
      </w:r>
      <w:r w:rsidR="00041E94" w:rsidRPr="000217C7">
        <w:rPr>
          <w:color w:val="000000" w:themeColor="text1"/>
        </w:rPr>
        <w:t>The distractor images consisted of a set of 100 pictures with colorful oval shapes of different sizes creating random patterns.</w:t>
      </w:r>
    </w:p>
    <w:p w14:paraId="0B9A66EB" w14:textId="7547F062" w:rsidR="007E7B22" w:rsidRPr="000217C7" w:rsidRDefault="00360F1F" w:rsidP="00360F1F">
      <w:pPr>
        <w:pStyle w:val="Heading4"/>
      </w:pPr>
      <w:bookmarkStart w:id="12" w:name="_Toc528590101"/>
      <w:r w:rsidRPr="000217C7">
        <w:t xml:space="preserve">2.2.1.2 </w:t>
      </w:r>
      <w:r w:rsidR="007E7B22" w:rsidRPr="000217C7">
        <w:t xml:space="preserve">Go/No-Go </w:t>
      </w:r>
      <w:r w:rsidR="00020F2C" w:rsidRPr="000217C7">
        <w:t>task</w:t>
      </w:r>
      <w:r w:rsidR="00661B8D" w:rsidRPr="000217C7">
        <w:t xml:space="preserve"> </w:t>
      </w:r>
    </w:p>
    <w:p w14:paraId="3D6AF8B3" w14:textId="49C052A0" w:rsidR="00A40A8A" w:rsidRPr="000217C7" w:rsidRDefault="007E7B22" w:rsidP="00D0422C">
      <w:pPr>
        <w:rPr>
          <w:color w:val="000000" w:themeColor="text1"/>
        </w:rPr>
      </w:pPr>
      <w:r w:rsidRPr="000217C7">
        <w:rPr>
          <w:color w:val="000000" w:themeColor="text1"/>
        </w:rPr>
        <w:t>Participants were instructed</w:t>
      </w:r>
      <w:r w:rsidR="002009D0" w:rsidRPr="000217C7">
        <w:rPr>
          <w:color w:val="000000" w:themeColor="text1"/>
        </w:rPr>
        <w:t xml:space="preserve"> to respond as quickly as possible to Go stimuli and to refrain from responding when a No-Go stimulus was presented. In half of the blocks, </w:t>
      </w:r>
      <w:proofErr w:type="gramStart"/>
      <w:r w:rsidR="002009D0" w:rsidRPr="000217C7">
        <w:rPr>
          <w:color w:val="000000" w:themeColor="text1"/>
        </w:rPr>
        <w:t>Go</w:t>
      </w:r>
      <w:proofErr w:type="gramEnd"/>
      <w:r w:rsidR="002009D0" w:rsidRPr="000217C7">
        <w:rPr>
          <w:color w:val="000000" w:themeColor="text1"/>
        </w:rPr>
        <w:t xml:space="preserve"> cues consisted of food images and No-Go cues of nonfood images</w:t>
      </w:r>
      <w:r w:rsidR="00B83CF6" w:rsidRPr="000217C7">
        <w:rPr>
          <w:color w:val="000000" w:themeColor="text1"/>
        </w:rPr>
        <w:t xml:space="preserve"> (depicting kitchen utensils)</w:t>
      </w:r>
      <w:r w:rsidR="002009D0" w:rsidRPr="000217C7">
        <w:rPr>
          <w:color w:val="000000" w:themeColor="text1"/>
        </w:rPr>
        <w:t xml:space="preserve">, while in the other half the assignment was reversed. There were four blocks of 40 trials each. In each block, 12 out of 40 trials </w:t>
      </w:r>
      <w:r w:rsidR="002009D0" w:rsidRPr="000217C7">
        <w:rPr>
          <w:color w:val="000000" w:themeColor="text1"/>
        </w:rPr>
        <w:lastRenderedPageBreak/>
        <w:t>(30%) were No-Go trials. The Go/No-Go task and the stimuli were the same as those used by</w:t>
      </w:r>
      <w:r w:rsidR="00B83CF6" w:rsidRPr="000217C7">
        <w:rPr>
          <w:color w:val="000000" w:themeColor="text1"/>
        </w:rPr>
        <w:t xml:space="preserve"> Aiello et al.</w:t>
      </w:r>
      <w:r w:rsidR="002009D0" w:rsidRPr="000217C7">
        <w:rPr>
          <w:color w:val="000000" w:themeColor="text1"/>
        </w:rPr>
        <w:t xml:space="preserve"> </w:t>
      </w:r>
      <w:r w:rsidR="00BC2CCF" w:rsidRPr="000217C7">
        <w:rPr>
          <w:color w:val="000000" w:themeColor="text1"/>
        </w:rPr>
        <w:fldChar w:fldCharType="begin"/>
      </w:r>
      <w:r w:rsidR="003F3C87" w:rsidRPr="000217C7">
        <w:rPr>
          <w:color w:val="000000" w:themeColor="text1"/>
        </w:rPr>
        <w:instrText xml:space="preserve"> ADDIN ZOTERO_ITEM CSL_CITATION {"citationID":"1eY6pNq3","properties":{"formattedCitation":"(2017)","plainCitation":"(2017)","noteIndex":0},"citationItems":[{"id":278,"uris":["http://zotero.org/users/local/ukz7dhIj/items/N2VWXPJH"],"uri":["http://zotero.org/users/local/ukz7dhIj/items/N2VWXPJH"],"itemData":{"id":278,"type":"article-journal","abstract":"Weight gain has been reported after deep brain stimulation of the subthalamic nucleus (STN-DBS), a widely used treatment for Parkinson's disease (PD). This nucleus has been repeatedly found to be linked both to reward and to inhibitory control, two key aspects in the control of food intake. In this study, we assessed whether weight gain experienced by patients with PD after STN-DBS, might be due to an alteration of reward and inhibitory functions. Eighteen patients with PD were compared to eighteen healthy controls and tested three times: before surgery, in ON medication and after surgery, respectively five days after the implantation in ON medication/OFF stimulation and at least three months after surgery in ON medication/ON stimulation. All participants were assessed for depression (Beck Depression Inventory), anhedonia (Snaith-Hamilton Pleasure Scale) and impulsiveness (Barratt Impulsiveness Scale). They performed a battery of tests assessing food reward sensitivity (Liking, Wanting and Preference) and a food go/no-go task. Results showed that body weight significantly increased after STN-DBS. A few days after surgery, patients were slower and more impulsive in the go/no-go task, showed a higher preference for high calorie (HC) foods and rated foods as less tasty. Months after subthalamic stimulation, the performance on the go/no-go task improved while no differences were observed in reward sensitivity. Interestingly, weight gain resulted greater in patients with higher levels of attentional impulsiveness pre-surgery, higher wanting for low calorie (LC) foods and impulsivity in the go/no-go task in ON medication/ON stimulation. However, only wanting and attentional impulsivity significantly predicted weight change. Furthermore, weight gain resulted associated with the reduction of l-Dopa after surgery and disease's duration. In conclusion, our findings are consistent with the view that weight gain in PD after STN-DBS has a multifactorial nature, which reflects the complex functional organization of the STN.","container-title":"Cortex","DOI":"10.1016/j.cortex.2017.04.005","ISSN":"1973-8102","journalAbbreviation":"Cortex","language":"eng","note":"PMID: 28494345","page":"150-161","source":"PubMed","title":"Weight gain after STN-DBS: The role of reward sensitivity and impulsivity","title-short":"Weight gain after STN-DBS","volume":"92","author":[{"family":"Aiello","given":"Marilena"},{"family":"Eleopra","given":"Roberto"},{"family":"Foroni","given":"Francesco"},{"family":"Rinaldo","given":"Sara"},{"family":"Rumiati","given":"Raffaella I."}],"issued":{"date-parts":[["2017"]]}},"suppress-author":true}],"schema":"https://github.com/citation-style-language/schema/raw/master/csl-citation.json"} </w:instrText>
      </w:r>
      <w:r w:rsidR="00BC2CCF" w:rsidRPr="000217C7">
        <w:rPr>
          <w:color w:val="000000" w:themeColor="text1"/>
        </w:rPr>
        <w:fldChar w:fldCharType="separate"/>
      </w:r>
      <w:r w:rsidR="00B83CF6" w:rsidRPr="000217C7">
        <w:rPr>
          <w:noProof/>
          <w:color w:val="000000" w:themeColor="text1"/>
        </w:rPr>
        <w:t>(2017)</w:t>
      </w:r>
      <w:r w:rsidR="00BC2CCF" w:rsidRPr="000217C7">
        <w:rPr>
          <w:color w:val="000000" w:themeColor="text1"/>
        </w:rPr>
        <w:fldChar w:fldCharType="end"/>
      </w:r>
      <w:r w:rsidR="002009D0" w:rsidRPr="000217C7">
        <w:rPr>
          <w:color w:val="000000" w:themeColor="text1"/>
        </w:rPr>
        <w:t>. The order of the blocks was semi-random (ABAB or BABA</w:t>
      </w:r>
      <w:r w:rsidR="006A6741" w:rsidRPr="000217C7">
        <w:rPr>
          <w:color w:val="000000" w:themeColor="text1"/>
        </w:rPr>
        <w:t>) and</w:t>
      </w:r>
      <w:r w:rsidR="002009D0" w:rsidRPr="000217C7">
        <w:rPr>
          <w:color w:val="000000" w:themeColor="text1"/>
        </w:rPr>
        <w:t xml:space="preserve"> changed across sessions and participants. An example trial is depicted in </w:t>
      </w:r>
      <w:r w:rsidR="003B7C1B" w:rsidRPr="000217C7">
        <w:rPr>
          <w:color w:val="000000" w:themeColor="text1"/>
        </w:rPr>
        <w:t>Figure 1C</w:t>
      </w:r>
      <w:r w:rsidR="00D0422C" w:rsidRPr="000217C7">
        <w:rPr>
          <w:color w:val="000000" w:themeColor="text1"/>
        </w:rPr>
        <w:t>.</w:t>
      </w:r>
    </w:p>
    <w:p w14:paraId="4BD3AEC3" w14:textId="26A15451" w:rsidR="00876CF3" w:rsidRPr="000217C7" w:rsidRDefault="00876CF3" w:rsidP="00876CF3">
      <w:pPr>
        <w:pStyle w:val="Heading5"/>
        <w:rPr>
          <w:color w:val="000000" w:themeColor="text1"/>
        </w:rPr>
      </w:pPr>
      <w:bookmarkStart w:id="13" w:name="_Ref532290130"/>
      <w:r w:rsidRPr="000217C7">
        <w:rPr>
          <w:color w:val="000000" w:themeColor="text1"/>
        </w:rPr>
        <w:t xml:space="preserve">Figure </w:t>
      </w:r>
      <w:r w:rsidR="003B7C1B" w:rsidRPr="000217C7">
        <w:rPr>
          <w:color w:val="000000" w:themeColor="text1"/>
        </w:rPr>
        <w:t>1</w:t>
      </w:r>
      <w:bookmarkEnd w:id="13"/>
    </w:p>
    <w:p w14:paraId="12E45079" w14:textId="601716DE" w:rsidR="002009D0" w:rsidRPr="000217C7" w:rsidRDefault="00C4104D" w:rsidP="00D44A2E">
      <w:pPr>
        <w:pStyle w:val="Figures"/>
        <w:rPr>
          <w:color w:val="000000" w:themeColor="text1"/>
        </w:rPr>
      </w:pPr>
      <w:r w:rsidRPr="000217C7">
        <w:rPr>
          <w:noProof/>
          <w:color w:val="000000" w:themeColor="text1"/>
          <w:lang w:val="en-GB" w:eastAsia="en-GB"/>
        </w:rPr>
        <w:drawing>
          <wp:inline distT="0" distB="0" distL="0" distR="0" wp14:anchorId="5F76255E" wp14:editId="101D0292">
            <wp:extent cx="6116320" cy="1807845"/>
            <wp:effectExtent l="0" t="0" r="5080" b="0"/>
            <wp:docPr id="4" name="Picture 4"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arrow&#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6320" cy="1807845"/>
                    </a:xfrm>
                    <a:prstGeom prst="rect">
                      <a:avLst/>
                    </a:prstGeom>
                  </pic:spPr>
                </pic:pic>
              </a:graphicData>
            </a:graphic>
          </wp:inline>
        </w:drawing>
      </w:r>
    </w:p>
    <w:p w14:paraId="5BEFFF6E" w14:textId="473BB212" w:rsidR="002009D0" w:rsidRPr="000217C7" w:rsidRDefault="00761741" w:rsidP="00761741">
      <w:pPr>
        <w:pStyle w:val="Caption"/>
        <w:jc w:val="left"/>
        <w:rPr>
          <w:color w:val="000000" w:themeColor="text1"/>
        </w:rPr>
      </w:pPr>
      <w:r w:rsidRPr="000217C7">
        <w:rPr>
          <w:color w:val="000000" w:themeColor="text1"/>
        </w:rPr>
        <w:t>An example trial of the bCFS task (A), of the NoCFS task (B), and of the</w:t>
      </w:r>
      <w:r w:rsidR="002009D0" w:rsidRPr="000217C7">
        <w:rPr>
          <w:color w:val="000000" w:themeColor="text1"/>
        </w:rPr>
        <w:t xml:space="preserve"> Go/No-Go task in a block using food images as Go cues (</w:t>
      </w:r>
      <w:r w:rsidRPr="000217C7">
        <w:rPr>
          <w:color w:val="000000" w:themeColor="text1"/>
        </w:rPr>
        <w:t>above</w:t>
      </w:r>
      <w:r w:rsidR="002009D0" w:rsidRPr="000217C7">
        <w:rPr>
          <w:color w:val="000000" w:themeColor="text1"/>
        </w:rPr>
        <w:t>) and in a block using nonfood pictures as Go cues (</w:t>
      </w:r>
      <w:r w:rsidRPr="000217C7">
        <w:rPr>
          <w:color w:val="000000" w:themeColor="text1"/>
        </w:rPr>
        <w:t>below</w:t>
      </w:r>
      <w:r w:rsidR="002009D0" w:rsidRPr="000217C7">
        <w:rPr>
          <w:color w:val="000000" w:themeColor="text1"/>
        </w:rPr>
        <w:t xml:space="preserve">). </w:t>
      </w:r>
      <w:r w:rsidRPr="000217C7">
        <w:rPr>
          <w:color w:val="000000" w:themeColor="text1"/>
        </w:rPr>
        <w:t>Panel C</w:t>
      </w:r>
      <w:r w:rsidR="002009D0" w:rsidRPr="000217C7">
        <w:rPr>
          <w:color w:val="000000" w:themeColor="text1"/>
        </w:rPr>
        <w:t xml:space="preserve"> is adapted from Aiello et al. 2017.</w:t>
      </w:r>
    </w:p>
    <w:p w14:paraId="2C004A75" w14:textId="221245E9" w:rsidR="0086212A" w:rsidRPr="000217C7" w:rsidRDefault="00360F1F" w:rsidP="003705CB">
      <w:pPr>
        <w:pStyle w:val="Heading3"/>
      </w:pPr>
      <w:r w:rsidRPr="000217C7">
        <w:t xml:space="preserve">2.2.2 </w:t>
      </w:r>
      <w:r w:rsidR="0086212A" w:rsidRPr="000217C7">
        <w:t>Analyses</w:t>
      </w:r>
    </w:p>
    <w:p w14:paraId="46545BD6" w14:textId="5DD074FA" w:rsidR="0086212A" w:rsidRPr="000217C7" w:rsidRDefault="0086212A" w:rsidP="0086212A">
      <w:pPr>
        <w:pStyle w:val="Heading4"/>
      </w:pPr>
      <w:r w:rsidRPr="000217C7">
        <w:t>2.2.2.1 Breaking Continuous Flash Suppression</w:t>
      </w:r>
    </w:p>
    <w:p w14:paraId="2D54054C" w14:textId="24877286" w:rsidR="0086212A" w:rsidRPr="000217C7" w:rsidRDefault="0086212A" w:rsidP="0086212A">
      <w:pPr>
        <w:rPr>
          <w:color w:val="000000" w:themeColor="text1"/>
        </w:rPr>
      </w:pPr>
      <w:r w:rsidRPr="000217C7">
        <w:rPr>
          <w:color w:val="000000" w:themeColor="text1"/>
        </w:rPr>
        <w:t xml:space="preserve">We investigated the effect of the participants’ BMI on RTs in the bCFS and NoCFS tasks using linear mixed-effects models (LMMs). All analyses were run using the software R </w:t>
      </w:r>
      <w:r w:rsidRPr="000217C7">
        <w:rPr>
          <w:color w:val="000000" w:themeColor="text1"/>
        </w:rPr>
        <w:fldChar w:fldCharType="begin"/>
      </w:r>
      <w:r w:rsidRPr="000217C7">
        <w:rPr>
          <w:color w:val="000000" w:themeColor="text1"/>
        </w:rPr>
        <w:instrText xml:space="preserve"> ADDIN ZOTERO_ITEM CSL_CITATION {"citationID":"DuWD3lGX","properties":{"formattedCitation":"(version 3.6.2, R Core Team, 2017)","plainCitation":"(version 3.6.2, R Core Team, 2017)","noteIndex":0},"citationItems":[{"id":1229,"uris":["http://zotero.org/users/local/ukz7dhIj/items/9APAKEKI"],"uri":["http://zotero.org/users/local/ukz7dhIj/items/9APAKEKI"],"itemData":{"id":1229,"type":"book","event-place":"Vienna, Austria","publisher":"R Foundation for Statistical Computing","publisher-place":"Vienna, Austria","title":"R: A language and environment for statistical computing","URL":"www.r-project.org/","version":"3.4.3","author":[{"family":"R Core Team","given":""}],"issued":{"date-parts":[["2017"]]}},"prefix":"version 3.6.2, "}],"schema":"https://github.com/citation-style-language/schema/raw/master/csl-citation.json"} </w:instrText>
      </w:r>
      <w:r w:rsidRPr="000217C7">
        <w:rPr>
          <w:color w:val="000000" w:themeColor="text1"/>
        </w:rPr>
        <w:fldChar w:fldCharType="separate"/>
      </w:r>
      <w:r w:rsidRPr="000217C7">
        <w:rPr>
          <w:noProof/>
          <w:color w:val="000000" w:themeColor="text1"/>
        </w:rPr>
        <w:t>(version 3.6.2, R Core Team, 2017)</w:t>
      </w:r>
      <w:r w:rsidRPr="000217C7">
        <w:rPr>
          <w:color w:val="000000" w:themeColor="text1"/>
        </w:rPr>
        <w:fldChar w:fldCharType="end"/>
      </w:r>
      <w:r w:rsidRPr="000217C7">
        <w:rPr>
          <w:color w:val="000000" w:themeColor="text1"/>
        </w:rPr>
        <w:t>. LMMs were tested using the “</w:t>
      </w:r>
      <w:proofErr w:type="spellStart"/>
      <w:r w:rsidRPr="000217C7">
        <w:rPr>
          <w:color w:val="000000" w:themeColor="text1"/>
        </w:rPr>
        <w:t>lmer</w:t>
      </w:r>
      <w:proofErr w:type="spellEnd"/>
      <w:r w:rsidRPr="000217C7">
        <w:rPr>
          <w:color w:val="000000" w:themeColor="text1"/>
        </w:rPr>
        <w:t xml:space="preserve">” function </w:t>
      </w:r>
      <w:r w:rsidRPr="000217C7">
        <w:rPr>
          <w:color w:val="000000" w:themeColor="text1"/>
        </w:rPr>
        <w:fldChar w:fldCharType="begin"/>
      </w:r>
      <w:r w:rsidRPr="000217C7">
        <w:rPr>
          <w:color w:val="000000" w:themeColor="text1"/>
        </w:rPr>
        <w:instrText xml:space="preserve"> ADDIN ZOTERO_ITEM CSL_CITATION {"citationID":"138svskm51","properties":{"formattedCitation":"(lme4 package, Bates et al., 2015)","plainCitation":"(lme4 package, Bates et al., 2015)","noteIndex":0},"citationItems":[{"id":1231,"uris":["http://zotero.org/users/local/ukz7dhIj/items/NXD32H73"],"uri":["http://zotero.org/users/local/ukz7dhIj/items/NXD32H73"],"itemData":{"id":1231,"type":"article-journal","abstract":"Maximum likelihood or restricted maximum likelihood (REML) estimates of the parameters in linear mixed-effects models can be determined using the lmer function in the lme4 package for R. As for most model-fitting functions in R, the model is described in an lmer call by a formula, in this case including both fixed- and random-effects terms. The formula and data together determine a numerical representation of the model from which the profiled deviance or the profiled REML criterion can be evaluated as a function of some of the model parameters. The appropriate criterion is optimized, using one of the constrained optimization functions in R, to provide the parameter estimates. We describe the structure of the model, the steps in evaluating the profiled deviance or REML criterion, and the structure of classes or types that represents such a model. Sufficient detail is included to allow specialization of these structures by users who wish to write functions to fit specialized linear mixed models, such as models incorporating pedigrees or smoothing splines, that are not easily expressible in the formula language used by lmer.","container-title":"Journal of Statistical Software","DOI":"10.18637/jss.v067.i01","issue":"1","language":"en-US","source":"www.jstatsoft.org","title":"Fitting Linear Mixed-Effects Models Using lme4","URL":"https://www.jstatsoft.org/article/view/v067i01/0","volume":"67","author":[{"family":"Bates","given":"Douglas"},{"family":"Mächler","given":"Martin"},{"family":"Bolker","given":"Ben"},{"family":"Walker","given":"Steve"}],"accessed":{"date-parts":[["2018",10,15]]},"issued":{"date-parts":[["2015"]]}},"prefix":"lme4 package, "}],"schema":"https://github.com/citation-style-language/schema/raw/master/csl-citation.json"} </w:instrText>
      </w:r>
      <w:r w:rsidRPr="000217C7">
        <w:rPr>
          <w:color w:val="000000" w:themeColor="text1"/>
        </w:rPr>
        <w:fldChar w:fldCharType="separate"/>
      </w:r>
      <w:r w:rsidRPr="000217C7">
        <w:rPr>
          <w:noProof/>
          <w:color w:val="000000" w:themeColor="text1"/>
        </w:rPr>
        <w:t>(lme4 package, Bates et al., 2015)</w:t>
      </w:r>
      <w:r w:rsidRPr="000217C7">
        <w:rPr>
          <w:color w:val="000000" w:themeColor="text1"/>
        </w:rPr>
        <w:fldChar w:fldCharType="end"/>
      </w:r>
      <w:r w:rsidRPr="000217C7">
        <w:rPr>
          <w:color w:val="000000" w:themeColor="text1"/>
        </w:rPr>
        <w:t>. Reaction times were cleaned by removing trials with no responses (</w:t>
      </w:r>
      <w:r w:rsidR="00A958C6" w:rsidRPr="000217C7">
        <w:rPr>
          <w:color w:val="000000" w:themeColor="text1"/>
        </w:rPr>
        <w:t>12.79</w:t>
      </w:r>
      <w:r w:rsidRPr="000217C7">
        <w:rPr>
          <w:color w:val="000000" w:themeColor="text1"/>
        </w:rPr>
        <w:t>% across all participants), wrong responses (1.</w:t>
      </w:r>
      <w:r w:rsidR="00A958C6" w:rsidRPr="000217C7">
        <w:rPr>
          <w:color w:val="000000" w:themeColor="text1"/>
        </w:rPr>
        <w:t>35</w:t>
      </w:r>
      <w:r w:rsidRPr="000217C7">
        <w:rPr>
          <w:color w:val="000000" w:themeColor="text1"/>
        </w:rPr>
        <w:t xml:space="preserve">%), with RTs below 500 </w:t>
      </w:r>
      <w:proofErr w:type="spellStart"/>
      <w:r w:rsidRPr="000217C7">
        <w:rPr>
          <w:color w:val="000000" w:themeColor="text1"/>
        </w:rPr>
        <w:t>ms</w:t>
      </w:r>
      <w:proofErr w:type="spellEnd"/>
      <w:r w:rsidRPr="000217C7">
        <w:rPr>
          <w:color w:val="000000" w:themeColor="text1"/>
        </w:rPr>
        <w:t xml:space="preserve"> (0.1</w:t>
      </w:r>
      <w:r w:rsidR="00A958C6" w:rsidRPr="000217C7">
        <w:rPr>
          <w:color w:val="000000" w:themeColor="text1"/>
        </w:rPr>
        <w:t>9</w:t>
      </w:r>
      <w:r w:rsidRPr="000217C7">
        <w:rPr>
          <w:color w:val="000000" w:themeColor="text1"/>
        </w:rPr>
        <w:t xml:space="preserve">%), and with RTs that were more than 2.5 SD from the mean of each subject (0.02%). RTs were log-transformed, and BMI and EAT-26 scores were </w:t>
      </w:r>
      <w:r w:rsidR="002306CC" w:rsidRPr="000217C7">
        <w:rPr>
          <w:color w:val="000000" w:themeColor="text1"/>
        </w:rPr>
        <w:t>mean-</w:t>
      </w:r>
      <w:r w:rsidRPr="000217C7">
        <w:rPr>
          <w:color w:val="000000" w:themeColor="text1"/>
        </w:rPr>
        <w:t>centered.</w:t>
      </w:r>
      <w:r w:rsidR="00486AAA" w:rsidRPr="000217C7">
        <w:rPr>
          <w:color w:val="000000" w:themeColor="text1"/>
        </w:rPr>
        <w:t xml:space="preserve"> </w:t>
      </w:r>
      <w:r w:rsidR="00800717" w:rsidRPr="000217C7">
        <w:rPr>
          <w:color w:val="000000" w:themeColor="text1"/>
        </w:rPr>
        <w:t xml:space="preserve">Summary statistics on the included and excluded trials are reported in Supplementary Table </w:t>
      </w:r>
      <w:r w:rsidR="00AE7C9F" w:rsidRPr="000217C7">
        <w:rPr>
          <w:color w:val="000000" w:themeColor="text1"/>
        </w:rPr>
        <w:t>1</w:t>
      </w:r>
      <w:r w:rsidR="00800717" w:rsidRPr="000217C7">
        <w:rPr>
          <w:color w:val="000000" w:themeColor="text1"/>
        </w:rPr>
        <w:t>.</w:t>
      </w:r>
    </w:p>
    <w:p w14:paraId="0B5C0550" w14:textId="6FD6ED2C" w:rsidR="0086212A" w:rsidRPr="000217C7" w:rsidRDefault="0086212A" w:rsidP="0086212A">
      <w:pPr>
        <w:rPr>
          <w:color w:val="000000" w:themeColor="text1"/>
        </w:rPr>
      </w:pPr>
      <w:r w:rsidRPr="000217C7">
        <w:rPr>
          <w:color w:val="000000" w:themeColor="text1"/>
        </w:rPr>
        <w:t xml:space="preserve">The initial model investigating the effect of participants’ BMI on the reaction times of the bCFS and NoCFS tasks, derived from the experimental hypothesis, included Task (bCFS, NoCFS), Stimulus Type (Food, </w:t>
      </w:r>
      <w:proofErr w:type="spellStart"/>
      <w:r w:rsidRPr="000217C7">
        <w:rPr>
          <w:color w:val="000000" w:themeColor="text1"/>
        </w:rPr>
        <w:t>NonFood</w:t>
      </w:r>
      <w:proofErr w:type="spellEnd"/>
      <w:r w:rsidRPr="000217C7">
        <w:rPr>
          <w:color w:val="000000" w:themeColor="text1"/>
        </w:rPr>
        <w:t xml:space="preserve">), BMI as predictors, and Participant, Image, Stimulus Location an Age as random intercepts. To control for the effect of dysfunctional eating habits on attentional bias and inhibition, EAT-26 scores were covaried in all models. To verify that all predictors and all interactions significantly improved the model fit, non-significant interactions and predictors were removed from the model, and the resulting model and the initial one were compared, on the basis of the </w:t>
      </w:r>
      <w:r w:rsidRPr="000217C7">
        <w:rPr>
          <w:rFonts w:eastAsia="Times New Roman"/>
          <w:color w:val="000000" w:themeColor="text1"/>
        </w:rPr>
        <w:t xml:space="preserve">AIC criterion </w:t>
      </w:r>
      <w:r w:rsidRPr="000217C7">
        <w:rPr>
          <w:rFonts w:eastAsia="Times New Roman"/>
          <w:color w:val="000000" w:themeColor="text1"/>
        </w:rPr>
        <w:fldChar w:fldCharType="begin"/>
      </w:r>
      <w:r w:rsidRPr="000217C7">
        <w:rPr>
          <w:rFonts w:eastAsia="Times New Roman"/>
          <w:color w:val="000000" w:themeColor="text1"/>
        </w:rPr>
        <w:instrText xml:space="preserve"> ADDIN ZOTERO_ITEM CSL_CITATION {"citationID":"OixSskva","properties":{"formattedCitation":"(Bolker et al., 2009)","plainCitation":"(Bolker et al., 2009)","noteIndex":0},"citationItems":[{"id":285,"uris":["http://zotero.org/users/local/ukz7dhIj/items/XZTG3UNF"],"uri":["http://zotero.org/users/local/ukz7dhIj/items/XZTG3UNF"],"itemData":{"id":285,"type":"article-journal","abstract":"How should ecologists and evolutionary biologists analyze nonnormal data that involve random effects? Nonnormal data such as counts or proportions often defy classical statistical procedures. Generalized linear mixed models (GLMMs) provide a more flexible approach for analyzing nonnormal data when random effects are present. The explosion of research on GLMMs in the last decade has generated considerable uncertainty for practitioners in ecology and evolution. Despite the availability of accurate techniques for estimating GLMM parameters in simple cases, complex GLMMs are challenging to fit and statistical inference such as hypothesis testing remains difficult. We review the use (and misuse) of GLMMs in ecology and evolution, discuss estimation and inference and summarize ‘best-practice’ data analysis procedures for scientists facing this challenge.","container-title":"Trends in Ecology &amp; Evolution","DOI":"10.1016/j.tree.2008.10.008","ISSN":"0169-5347","issue":"3","journalAbbreviation":"Trends in Ecology &amp; Evolution","page":"127-135","source":"ScienceDirect","title":"Generalized linear mixed models: a practical guide for ecology and evolution","title-short":"Generalized linear mixed models","volume":"24","author":[{"family":"Bolker","given":"Benjamin M."},{"family":"Brooks","given":"Mollie E."},{"family":"Clark","given":"Connie J."},{"family":"Geange","given":"Shane W."},{"family":"Poulsen","given":"John R."},{"family":"Stevens","given":"M. Henry H."},{"family":"White","given":"Jada-Simone S."}],"issued":{"date-parts":[["2009",3,1]]}}}],"schema":"https://github.com/citation-style-language/schema/raw/master/csl-citation.json"} </w:instrText>
      </w:r>
      <w:r w:rsidRPr="000217C7">
        <w:rPr>
          <w:rFonts w:eastAsia="Times New Roman"/>
          <w:color w:val="000000" w:themeColor="text1"/>
        </w:rPr>
        <w:fldChar w:fldCharType="separate"/>
      </w:r>
      <w:r w:rsidRPr="000217C7">
        <w:rPr>
          <w:rFonts w:eastAsia="Times New Roman"/>
          <w:noProof/>
          <w:color w:val="000000" w:themeColor="text1"/>
        </w:rPr>
        <w:t>(Bolker et al., 2009)</w:t>
      </w:r>
      <w:r w:rsidRPr="000217C7">
        <w:rPr>
          <w:rFonts w:eastAsia="Times New Roman"/>
          <w:color w:val="000000" w:themeColor="text1"/>
        </w:rPr>
        <w:fldChar w:fldCharType="end"/>
      </w:r>
      <w:r w:rsidRPr="000217C7">
        <w:rPr>
          <w:rFonts w:eastAsia="Times New Roman"/>
          <w:color w:val="000000" w:themeColor="text1"/>
        </w:rPr>
        <w:t xml:space="preserve">, using </w:t>
      </w:r>
      <w:r w:rsidRPr="000217C7">
        <w:rPr>
          <w:color w:val="000000" w:themeColor="text1"/>
        </w:rPr>
        <w:t>the</w:t>
      </w:r>
      <w:r w:rsidRPr="000217C7">
        <w:rPr>
          <w:rFonts w:eastAsia="Times New Roman"/>
          <w:color w:val="000000" w:themeColor="text1"/>
        </w:rPr>
        <w:t xml:space="preserve"> “</w:t>
      </w:r>
      <w:proofErr w:type="spellStart"/>
      <w:r w:rsidRPr="000217C7">
        <w:rPr>
          <w:color w:val="000000" w:themeColor="text1"/>
        </w:rPr>
        <w:t>anova</w:t>
      </w:r>
      <w:proofErr w:type="spellEnd"/>
      <w:r w:rsidRPr="000217C7">
        <w:rPr>
          <w:color w:val="000000" w:themeColor="text1"/>
        </w:rPr>
        <w:t xml:space="preserve">” function </w:t>
      </w:r>
      <w:r w:rsidRPr="000217C7">
        <w:rPr>
          <w:color w:val="000000" w:themeColor="text1"/>
        </w:rPr>
        <w:fldChar w:fldCharType="begin"/>
      </w:r>
      <w:r w:rsidRPr="000217C7">
        <w:rPr>
          <w:color w:val="000000" w:themeColor="text1"/>
        </w:rPr>
        <w:instrText xml:space="preserve"> ADDIN ZOTERO_ITEM CSL_CITATION {"citationID":"1d8tiao649","properties":{"formattedCitation":"(lmerTest package, Kuznetsova et al., 2017)","plainCitation":"(lmerTest package, Kuznetsova et al., 2017)","noteIndex":0},"citationItems":[{"id":1233,"uris":["http://zotero.org/users/local/ukz7dhIj/items/H58V5X3N"],"uri":["http://zotero.org/users/local/ukz7dhIj/items/H58V5X3N"],"itemData":{"id":1233,"type":"article-journal","container-title":"Journal of Statistical Software","DOI":"10.18637/jss.v082.i13","issue":"13","language":"en-US","source":"www.jstatsoft.org","title":"lmerTest Package: Tests in Linear Mixed Effects Models","title-short":"lmerTest Package","URL":"https://www.jstatsoft.org/article/view/v082i13","volume":"82","author":[{"family":"Kuznetsova","given":"Aleksandra"},{"family":"Brockhoff","given":"Per B."},{"family":"Christensen","given":"Rune H. B."}],"accessed":{"date-parts":[["2018",10,15]]},"issued":{"date-parts":[["2017"]]}},"prefix":"lmerTest package, "}],"schema":"https://github.com/citation-style-language/schema/raw/master/csl-citation.json"} </w:instrText>
      </w:r>
      <w:r w:rsidRPr="000217C7">
        <w:rPr>
          <w:color w:val="000000" w:themeColor="text1"/>
        </w:rPr>
        <w:fldChar w:fldCharType="separate"/>
      </w:r>
      <w:r w:rsidRPr="000217C7">
        <w:rPr>
          <w:noProof/>
          <w:color w:val="000000" w:themeColor="text1"/>
        </w:rPr>
        <w:t xml:space="preserve">(lmerTest package, Kuznetsova et </w:t>
      </w:r>
      <w:r w:rsidRPr="000217C7">
        <w:rPr>
          <w:noProof/>
          <w:color w:val="000000" w:themeColor="text1"/>
        </w:rPr>
        <w:lastRenderedPageBreak/>
        <w:t>al., 2017)</w:t>
      </w:r>
      <w:r w:rsidRPr="000217C7">
        <w:rPr>
          <w:color w:val="000000" w:themeColor="text1"/>
        </w:rPr>
        <w:fldChar w:fldCharType="end"/>
      </w:r>
      <w:r w:rsidRPr="000217C7">
        <w:rPr>
          <w:rFonts w:eastAsia="Times New Roman"/>
          <w:color w:val="000000" w:themeColor="text1"/>
        </w:rPr>
        <w:t>. All factors and interactions that did not significantly improve the initial model were pruned. To</w:t>
      </w:r>
      <w:r w:rsidRPr="000217C7">
        <w:rPr>
          <w:color w:val="000000" w:themeColor="text1"/>
        </w:rPr>
        <w:t xml:space="preserve"> confirm that high-level interactions explained more variance than the combination of the lower-level interactions between, we compared the AIC of models with and of models without the high-level interactions, and only included high-level interactions that improved the models’ fit.</w:t>
      </w:r>
    </w:p>
    <w:p w14:paraId="50A040C7" w14:textId="5390A4AF" w:rsidR="00C541F7" w:rsidRPr="000217C7" w:rsidRDefault="00C541F7" w:rsidP="00C541F7">
      <w:pPr>
        <w:rPr>
          <w:color w:val="000000" w:themeColor="text1"/>
        </w:rPr>
      </w:pPr>
      <w:r w:rsidRPr="000217C7">
        <w:rPr>
          <w:color w:val="000000" w:themeColor="text1"/>
        </w:rPr>
        <w:t xml:space="preserve">To </w:t>
      </w:r>
      <w:r w:rsidRPr="000217C7">
        <w:rPr>
          <w:rFonts w:eastAsia="Times New Roman" w:cs="Times New Roman"/>
          <w:color w:val="000000" w:themeColor="text1"/>
          <w:lang w:eastAsia="en-GB"/>
        </w:rPr>
        <w:t>make sure our predictors were not correlated between themselves, we computed the variance inflation factor (VIF) for the predictors of the final model</w:t>
      </w:r>
      <w:r w:rsidR="0007084B" w:rsidRPr="000217C7">
        <w:rPr>
          <w:rFonts w:eastAsia="Times New Roman" w:cs="Times New Roman"/>
          <w:color w:val="000000" w:themeColor="text1"/>
          <w:lang w:eastAsia="en-GB"/>
        </w:rPr>
        <w:t xml:space="preserve"> using the </w:t>
      </w:r>
      <w:proofErr w:type="spellStart"/>
      <w:r w:rsidR="0007084B" w:rsidRPr="000217C7">
        <w:rPr>
          <w:rFonts w:eastAsia="Times New Roman" w:cs="Times New Roman"/>
          <w:color w:val="000000" w:themeColor="text1"/>
          <w:lang w:eastAsia="en-GB"/>
        </w:rPr>
        <w:t>vif</w:t>
      </w:r>
      <w:proofErr w:type="spellEnd"/>
      <w:r w:rsidR="0007084B" w:rsidRPr="000217C7">
        <w:rPr>
          <w:rFonts w:eastAsia="Times New Roman" w:cs="Times New Roman"/>
          <w:color w:val="000000" w:themeColor="text1"/>
          <w:lang w:eastAsia="en-GB"/>
        </w:rPr>
        <w:t xml:space="preserve"> function of the car package </w:t>
      </w:r>
      <w:r w:rsidR="0007084B" w:rsidRPr="000217C7">
        <w:rPr>
          <w:rFonts w:eastAsia="Times New Roman" w:cs="Times New Roman"/>
          <w:color w:val="000000" w:themeColor="text1"/>
          <w:lang w:eastAsia="en-GB"/>
        </w:rPr>
        <w:fldChar w:fldCharType="begin"/>
      </w:r>
      <w:r w:rsidR="0007084B" w:rsidRPr="000217C7">
        <w:rPr>
          <w:rFonts w:eastAsia="Times New Roman" w:cs="Times New Roman"/>
          <w:color w:val="000000" w:themeColor="text1"/>
          <w:lang w:eastAsia="en-GB"/>
        </w:rPr>
        <w:instrText xml:space="preserve"> ADDIN ZOTERO_ITEM CSL_CITATION {"citationID":"a17sc256ssd","properties":{"formattedCitation":"\\uldash{(Fox and Weisberg, 2019)}","plainCitation":"(Fox and Weisberg, 2019)","noteIndex":0},"citationItems":[{"id":2887,"uris":["http://zotero.org/users/local/ukz7dhIj/items/JNZIJIW5"],"uri":["http://zotero.org/users/local/ukz7dhIj/items/JNZIJIW5"],"itemData":{"id":2887,"type":"book","edition":"Third Edition","event-place":"Thousand Oaks CA","publisher":"Sage","publisher-place":"Thousand Oaks CA","title":"An {R} Companion to Applied Regression","URL":"https://socialsciences.mcmaster.ca/jfox/Books/Companion/","author":[{"family":"Fox","given":"John"},{"family":"Weisberg","given":"Sanford"}],"issued":{"date-parts":[["2019"]]}}}],"schema":"https://github.com/citation-style-language/schema/raw/master/csl-citation.json"} </w:instrText>
      </w:r>
      <w:r w:rsidR="0007084B" w:rsidRPr="000217C7">
        <w:rPr>
          <w:rFonts w:eastAsia="Times New Roman" w:cs="Times New Roman"/>
          <w:color w:val="000000" w:themeColor="text1"/>
          <w:lang w:eastAsia="en-GB"/>
        </w:rPr>
        <w:fldChar w:fldCharType="separate"/>
      </w:r>
      <w:r w:rsidR="0007084B" w:rsidRPr="000217C7">
        <w:rPr>
          <w:rFonts w:cs="Times New Roman"/>
          <w:color w:val="000000" w:themeColor="text1"/>
          <w:u w:val="dash"/>
          <w:lang w:val="en-GB"/>
        </w:rPr>
        <w:t>(Fox and Weisberg, 2019)</w:t>
      </w:r>
      <w:r w:rsidR="0007084B" w:rsidRPr="000217C7">
        <w:rPr>
          <w:rFonts w:eastAsia="Times New Roman" w:cs="Times New Roman"/>
          <w:color w:val="000000" w:themeColor="text1"/>
          <w:lang w:eastAsia="en-GB"/>
        </w:rPr>
        <w:fldChar w:fldCharType="end"/>
      </w:r>
      <w:r w:rsidRPr="000217C7">
        <w:rPr>
          <w:rFonts w:eastAsia="Times New Roman" w:cs="Times New Roman"/>
          <w:color w:val="000000" w:themeColor="text1"/>
          <w:lang w:eastAsia="en-GB"/>
        </w:rPr>
        <w:t>. All VIF values were between 1 and 4, indicating low collinearity between predictors.</w:t>
      </w:r>
    </w:p>
    <w:p w14:paraId="6444733A" w14:textId="259CF113" w:rsidR="0086212A" w:rsidRPr="000217C7" w:rsidRDefault="0086212A" w:rsidP="0086212A">
      <w:pPr>
        <w:rPr>
          <w:color w:val="000000" w:themeColor="text1"/>
        </w:rPr>
      </w:pPr>
      <w:r w:rsidRPr="000217C7">
        <w:rPr>
          <w:color w:val="000000" w:themeColor="text1"/>
        </w:rPr>
        <w:t xml:space="preserve"> The final model included Task, BMI, and Stimulus Type as predictors, and the interactions between Task and BMI and Task and Stimulus Type. The comparison between the initial and final model is reported in Supplementary </w:t>
      </w:r>
      <w:r w:rsidR="002306CC" w:rsidRPr="000217C7">
        <w:rPr>
          <w:color w:val="000000" w:themeColor="text1"/>
        </w:rPr>
        <w:t xml:space="preserve">Table </w:t>
      </w:r>
      <w:r w:rsidR="00AE7C9F" w:rsidRPr="000217C7">
        <w:rPr>
          <w:color w:val="000000" w:themeColor="text1"/>
        </w:rPr>
        <w:t>2</w:t>
      </w:r>
      <w:r w:rsidRPr="000217C7">
        <w:rPr>
          <w:color w:val="000000" w:themeColor="text1"/>
        </w:rPr>
        <w:t>.</w:t>
      </w:r>
    </w:p>
    <w:p w14:paraId="31055582" w14:textId="67977FED" w:rsidR="0086212A" w:rsidRPr="000217C7" w:rsidRDefault="0086212A" w:rsidP="0086212A">
      <w:pPr>
        <w:pStyle w:val="Heading4"/>
      </w:pPr>
      <w:r w:rsidRPr="000217C7">
        <w:t>2.2.2.2 Go/No-Go task</w:t>
      </w:r>
    </w:p>
    <w:p w14:paraId="34AE231C" w14:textId="776F84B6" w:rsidR="0086212A" w:rsidRPr="000217C7" w:rsidRDefault="0086212A" w:rsidP="0086212A">
      <w:pPr>
        <w:rPr>
          <w:color w:val="000000" w:themeColor="text1"/>
        </w:rPr>
      </w:pPr>
      <w:r w:rsidRPr="000217C7">
        <w:rPr>
          <w:color w:val="000000" w:themeColor="text1"/>
        </w:rPr>
        <w:t>As in the bCFS and NoCFS tasks, we used linear mixed-effects models (LMMs) to calculate the effect of the participants’ BMI on RTs in the Go/No-Go task. One participant was excluded from the analyses omitting to respond in a fourth of the trials. To calculate the effect of the participants’ BMI on accuracy, we used a general linear mixed model (GLMM) fitted on binomial data. LMMs were tested using the “</w:t>
      </w:r>
      <w:proofErr w:type="spellStart"/>
      <w:r w:rsidRPr="000217C7">
        <w:rPr>
          <w:color w:val="000000" w:themeColor="text1"/>
        </w:rPr>
        <w:t>lmer</w:t>
      </w:r>
      <w:proofErr w:type="spellEnd"/>
      <w:r w:rsidRPr="000217C7">
        <w:rPr>
          <w:color w:val="000000" w:themeColor="text1"/>
        </w:rPr>
        <w:t>” function, and the GLMM using the “</w:t>
      </w:r>
      <w:proofErr w:type="spellStart"/>
      <w:r w:rsidRPr="000217C7">
        <w:rPr>
          <w:color w:val="000000" w:themeColor="text1"/>
        </w:rPr>
        <w:t>glmer</w:t>
      </w:r>
      <w:proofErr w:type="spellEnd"/>
      <w:r w:rsidRPr="000217C7">
        <w:rPr>
          <w:color w:val="000000" w:themeColor="text1"/>
        </w:rPr>
        <w:t xml:space="preserve">” function </w:t>
      </w:r>
      <w:r w:rsidRPr="000217C7">
        <w:rPr>
          <w:color w:val="000000" w:themeColor="text1"/>
        </w:rPr>
        <w:fldChar w:fldCharType="begin"/>
      </w:r>
      <w:r w:rsidRPr="000217C7">
        <w:rPr>
          <w:color w:val="000000" w:themeColor="text1"/>
        </w:rPr>
        <w:instrText xml:space="preserve"> ADDIN ZOTERO_ITEM CSL_CITATION {"citationID":"GnmiNvo9","properties":{"formattedCitation":"(lme4 package, Bates et al., 2015)","plainCitation":"(lme4 package, Bates et al., 2015)","noteIndex":0},"citationItems":[{"id":1231,"uris":["http://zotero.org/users/local/ukz7dhIj/items/NXD32H73"],"uri":["http://zotero.org/users/local/ukz7dhIj/items/NXD32H73"],"itemData":{"id":1231,"type":"article-journal","abstract":"Maximum likelihood or restricted maximum likelihood (REML) estimates of the parameters in linear mixed-effects models can be determined using the lmer function in the lme4 package for R. As for most model-fitting functions in R, the model is described in an lmer call by a formula, in this case including both fixed- and random-effects terms. The formula and data together determine a numerical representation of the model from which the profiled deviance or the profiled REML criterion can be evaluated as a function of some of the model parameters. The appropriate criterion is optimized, using one of the constrained optimization functions in R, to provide the parameter estimates. We describe the structure of the model, the steps in evaluating the profiled deviance or REML criterion, and the structure of classes or types that represents such a model. Sufficient detail is included to allow specialization of these structures by users who wish to write functions to fit specialized linear mixed models, such as models incorporating pedigrees or smoothing splines, that are not easily expressible in the formula language used by lmer.","container-title":"Journal of Statistical Software","DOI":"10.18637/jss.v067.i01","issue":"1","language":"en-US","source":"www.jstatsoft.org","title":"Fitting Linear Mixed-Effects Models Using lme4","URL":"https://www.jstatsoft.org/article/view/v067i01/0","volume":"67","author":[{"family":"Bates","given":"Douglas"},{"family":"Mächler","given":"Martin"},{"family":"Bolker","given":"Ben"},{"family":"Walker","given":"Steve"}],"accessed":{"date-parts":[["2018",10,15]]},"issued":{"date-parts":[["2015"]]}},"prefix":"lme4 package, "}],"schema":"https://github.com/citation-style-language/schema/raw/master/csl-citation.json"} </w:instrText>
      </w:r>
      <w:r w:rsidRPr="000217C7">
        <w:rPr>
          <w:color w:val="000000" w:themeColor="text1"/>
        </w:rPr>
        <w:fldChar w:fldCharType="separate"/>
      </w:r>
      <w:r w:rsidRPr="000217C7">
        <w:rPr>
          <w:noProof/>
          <w:color w:val="000000" w:themeColor="text1"/>
        </w:rPr>
        <w:t>(lme4 package, Bates et al., 2015)</w:t>
      </w:r>
      <w:r w:rsidRPr="000217C7">
        <w:rPr>
          <w:color w:val="000000" w:themeColor="text1"/>
        </w:rPr>
        <w:fldChar w:fldCharType="end"/>
      </w:r>
      <w:r w:rsidRPr="000217C7">
        <w:rPr>
          <w:color w:val="000000" w:themeColor="text1"/>
        </w:rPr>
        <w:t xml:space="preserve">. In the analysis of the RTs of the Go trials, only correct responses that did not deviate more than 2.5 SD from each participants’ mean were included (wrong responses = 1,89%, outlier responses = 0.03%). RTs were log-transformed, and BMI and EAT-26 scores were </w:t>
      </w:r>
      <w:r w:rsidR="002306CC" w:rsidRPr="000217C7">
        <w:rPr>
          <w:color w:val="000000" w:themeColor="text1"/>
        </w:rPr>
        <w:t>mean-</w:t>
      </w:r>
      <w:r w:rsidRPr="000217C7">
        <w:rPr>
          <w:color w:val="000000" w:themeColor="text1"/>
        </w:rPr>
        <w:t>centered. Accuracy in the Go/No-Go task was coded as a binomial variable (1 = correct response, 0 = wrong response).</w:t>
      </w:r>
      <w:r w:rsidR="00800717" w:rsidRPr="000217C7">
        <w:rPr>
          <w:color w:val="000000" w:themeColor="text1"/>
        </w:rPr>
        <w:t xml:space="preserve"> Summary statistics on the included and excluded trials are reported in Supplementary Table </w:t>
      </w:r>
      <w:r w:rsidR="00AE7C9F" w:rsidRPr="000217C7">
        <w:rPr>
          <w:color w:val="000000" w:themeColor="text1"/>
        </w:rPr>
        <w:t>1</w:t>
      </w:r>
      <w:r w:rsidR="00800717" w:rsidRPr="000217C7">
        <w:rPr>
          <w:color w:val="000000" w:themeColor="text1"/>
        </w:rPr>
        <w:t>.</w:t>
      </w:r>
    </w:p>
    <w:p w14:paraId="46E83145" w14:textId="19CB720E" w:rsidR="00C541F7" w:rsidRPr="000217C7" w:rsidRDefault="0086212A" w:rsidP="0007084B">
      <w:pPr>
        <w:rPr>
          <w:color w:val="000000" w:themeColor="text1"/>
        </w:rPr>
      </w:pPr>
      <w:r w:rsidRPr="000217C7">
        <w:rPr>
          <w:color w:val="000000" w:themeColor="text1"/>
        </w:rPr>
        <w:t xml:space="preserve">In the analysis regarding the effect of BMI on the RTs in the Go/No-Go task, the initial model included Stimulus Type and BMI as predictors, and Participant, Image, and Age as random intercepts. EAT-26 scores were covaried. The same stepwise procedure used in the analyses of RTs in the bCFS and NoCFS tasks was adopted to make sure all factors increased the models’ fit. The final model included only Stimulus Type, BMI, and their interaction as predictors. In the analysis on accuracy, the initial model included Trial Type (Go, </w:t>
      </w:r>
      <w:proofErr w:type="spellStart"/>
      <w:r w:rsidRPr="000217C7">
        <w:rPr>
          <w:color w:val="000000" w:themeColor="text1"/>
        </w:rPr>
        <w:t>NoGo</w:t>
      </w:r>
      <w:proofErr w:type="spellEnd"/>
      <w:r w:rsidRPr="000217C7">
        <w:rPr>
          <w:color w:val="000000" w:themeColor="text1"/>
        </w:rPr>
        <w:t>), Stimulus Type and BMI as predictors, EAT-26 scores as a covariate, and Participant, Image, and Age as random intercepts. The final model only included Trial Type as a predictor and EAT-26 scores as a covariate.</w:t>
      </w:r>
      <w:r w:rsidR="0007084B" w:rsidRPr="000217C7">
        <w:rPr>
          <w:color w:val="000000" w:themeColor="text1"/>
        </w:rPr>
        <w:t xml:space="preserve"> </w:t>
      </w:r>
      <w:r w:rsidR="0007084B" w:rsidRPr="000217C7">
        <w:rPr>
          <w:rFonts w:eastAsia="Times New Roman" w:cs="Times New Roman"/>
          <w:color w:val="000000" w:themeColor="text1"/>
          <w:lang w:eastAsia="en-GB"/>
        </w:rPr>
        <w:t>V</w:t>
      </w:r>
      <w:r w:rsidR="00C541F7" w:rsidRPr="000217C7">
        <w:rPr>
          <w:rFonts w:eastAsia="Times New Roman" w:cs="Times New Roman"/>
          <w:color w:val="000000" w:themeColor="text1"/>
          <w:lang w:eastAsia="en-GB"/>
        </w:rPr>
        <w:t>ariance inflation factor</w:t>
      </w:r>
      <w:r w:rsidR="002306CC" w:rsidRPr="000217C7">
        <w:rPr>
          <w:rFonts w:eastAsia="Times New Roman" w:cs="Times New Roman"/>
          <w:color w:val="000000" w:themeColor="text1"/>
          <w:lang w:eastAsia="en-GB"/>
        </w:rPr>
        <w:t>s</w:t>
      </w:r>
      <w:r w:rsidR="00C541F7" w:rsidRPr="000217C7">
        <w:rPr>
          <w:rFonts w:eastAsia="Times New Roman" w:cs="Times New Roman"/>
          <w:color w:val="000000" w:themeColor="text1"/>
          <w:lang w:eastAsia="en-GB"/>
        </w:rPr>
        <w:t xml:space="preserve"> (VIF) </w:t>
      </w:r>
      <w:r w:rsidR="00C541F7" w:rsidRPr="000217C7">
        <w:rPr>
          <w:rFonts w:eastAsia="Times New Roman" w:cs="Times New Roman"/>
          <w:color w:val="000000" w:themeColor="text1"/>
          <w:lang w:eastAsia="en-GB"/>
        </w:rPr>
        <w:lastRenderedPageBreak/>
        <w:t>for the predictors of the final model</w:t>
      </w:r>
      <w:r w:rsidR="0007084B" w:rsidRPr="000217C7">
        <w:rPr>
          <w:rFonts w:eastAsia="Times New Roman" w:cs="Times New Roman"/>
          <w:color w:val="000000" w:themeColor="text1"/>
          <w:lang w:eastAsia="en-GB"/>
        </w:rPr>
        <w:t>s</w:t>
      </w:r>
      <w:r w:rsidR="00C541F7" w:rsidRPr="000217C7">
        <w:rPr>
          <w:rFonts w:eastAsia="Times New Roman" w:cs="Times New Roman"/>
          <w:color w:val="000000" w:themeColor="text1"/>
          <w:lang w:eastAsia="en-GB"/>
        </w:rPr>
        <w:t xml:space="preserve"> were between 1 and 2, indicating low collinearity between predictors.</w:t>
      </w:r>
    </w:p>
    <w:p w14:paraId="009FE6E3" w14:textId="0AC2264C" w:rsidR="0086212A" w:rsidRPr="000217C7" w:rsidRDefault="0086212A" w:rsidP="0086212A">
      <w:pPr>
        <w:rPr>
          <w:color w:val="000000" w:themeColor="text1"/>
        </w:rPr>
      </w:pPr>
      <w:r w:rsidRPr="000217C7">
        <w:rPr>
          <w:color w:val="000000" w:themeColor="text1"/>
        </w:rPr>
        <w:t xml:space="preserve">All comparisons between initial and final models are reported in Supplementary </w:t>
      </w:r>
      <w:r w:rsidR="002306CC" w:rsidRPr="000217C7">
        <w:rPr>
          <w:color w:val="000000" w:themeColor="text1"/>
        </w:rPr>
        <w:t xml:space="preserve">Table </w:t>
      </w:r>
      <w:r w:rsidR="00AE7C9F" w:rsidRPr="000217C7">
        <w:rPr>
          <w:color w:val="000000" w:themeColor="text1"/>
        </w:rPr>
        <w:t>2</w:t>
      </w:r>
      <w:r w:rsidRPr="000217C7">
        <w:rPr>
          <w:color w:val="000000" w:themeColor="text1"/>
        </w:rPr>
        <w:t>.</w:t>
      </w:r>
    </w:p>
    <w:p w14:paraId="7DE2346F" w14:textId="37D277F3" w:rsidR="003E69AC" w:rsidRPr="000217C7" w:rsidRDefault="00360F1F" w:rsidP="00826018">
      <w:pPr>
        <w:pStyle w:val="Heading2"/>
      </w:pPr>
      <w:bookmarkStart w:id="14" w:name="_Toc528590102"/>
      <w:bookmarkEnd w:id="12"/>
      <w:r w:rsidRPr="000217C7">
        <w:t xml:space="preserve">2.3 </w:t>
      </w:r>
      <w:bookmarkEnd w:id="14"/>
      <w:r w:rsidR="0086212A" w:rsidRPr="000217C7">
        <w:t>Imaging</w:t>
      </w:r>
    </w:p>
    <w:p w14:paraId="6A02712B" w14:textId="1C5F2D7D" w:rsidR="00B15924" w:rsidRPr="000217C7" w:rsidRDefault="00360F1F" w:rsidP="003705CB">
      <w:pPr>
        <w:pStyle w:val="Heading3"/>
      </w:pPr>
      <w:bookmarkStart w:id="15" w:name="_Toc528590103"/>
      <w:r w:rsidRPr="000217C7">
        <w:t xml:space="preserve">2.3.1 </w:t>
      </w:r>
      <w:bookmarkEnd w:id="15"/>
      <w:r w:rsidR="00826018" w:rsidRPr="000217C7">
        <w:t>Data acquisition and preprocessing</w:t>
      </w:r>
    </w:p>
    <w:p w14:paraId="33BE3CCB" w14:textId="76B1B229" w:rsidR="0086212A" w:rsidRPr="000217C7" w:rsidRDefault="0086212A" w:rsidP="0086212A">
      <w:pPr>
        <w:rPr>
          <w:color w:val="000000" w:themeColor="text1"/>
        </w:rPr>
      </w:pPr>
      <w:r w:rsidRPr="000217C7">
        <w:rPr>
          <w:color w:val="000000" w:themeColor="text1"/>
        </w:rPr>
        <w:t xml:space="preserve">A 3 Tesla Philips </w:t>
      </w:r>
      <w:proofErr w:type="spellStart"/>
      <w:r w:rsidRPr="000217C7">
        <w:rPr>
          <w:color w:val="000000" w:themeColor="text1"/>
        </w:rPr>
        <w:t>Achieva</w:t>
      </w:r>
      <w:proofErr w:type="spellEnd"/>
      <w:r w:rsidRPr="000217C7">
        <w:rPr>
          <w:color w:val="000000" w:themeColor="text1"/>
        </w:rPr>
        <w:t xml:space="preserve"> scanner was used to acquire the anatomical and functional images. Anatomical images consisted of high-resolution T1-weighted images [brain scan acquired along the AC-PC plane, 170 sagittal slices, FOV = 176 × 240 × 240 mm, voxel size = 1 × 1 × 1 mm, reconstruction matrix = 256 x 256, flip angle = 12°, TR = 8.1 </w:t>
      </w:r>
      <w:proofErr w:type="spellStart"/>
      <w:r w:rsidRPr="000217C7">
        <w:rPr>
          <w:color w:val="000000" w:themeColor="text1"/>
        </w:rPr>
        <w:t>ms</w:t>
      </w:r>
      <w:proofErr w:type="spellEnd"/>
      <w:r w:rsidRPr="000217C7">
        <w:rPr>
          <w:color w:val="000000" w:themeColor="text1"/>
        </w:rPr>
        <w:t xml:space="preserve">, TE = 3.7 </w:t>
      </w:r>
      <w:proofErr w:type="spellStart"/>
      <w:r w:rsidRPr="000217C7">
        <w:rPr>
          <w:color w:val="000000" w:themeColor="text1"/>
        </w:rPr>
        <w:t>ms</w:t>
      </w:r>
      <w:proofErr w:type="spellEnd"/>
      <w:r w:rsidRPr="000217C7">
        <w:rPr>
          <w:color w:val="000000" w:themeColor="text1"/>
        </w:rPr>
        <w:t xml:space="preserve">]. </w:t>
      </w:r>
      <w:r w:rsidR="000431E5" w:rsidRPr="000217C7">
        <w:rPr>
          <w:color w:val="000000" w:themeColor="text1"/>
        </w:rPr>
        <w:t xml:space="preserve">For the functional data acquisition, participants were asked to relax and keep their eyes open. No stimulus was displayed during this time. The scan lasted 8 minutes. </w:t>
      </w:r>
      <w:r w:rsidRPr="000217C7">
        <w:rPr>
          <w:color w:val="000000" w:themeColor="text1"/>
        </w:rPr>
        <w:t xml:space="preserve">Functional T2*-weighted echo planar images were acquired over 36 transverse slices of 3 mm slice thickness using a single-shot pulse sequence [slice order interleaved, FOV = 230 × 230 × 108 mm, acquired voxel size = 3.59 × 3.71 × 3.00 mm, acquisition matrix = 64 x 62, flip angle = 90°, TR = 2500 </w:t>
      </w:r>
      <w:proofErr w:type="spellStart"/>
      <w:r w:rsidRPr="000217C7">
        <w:rPr>
          <w:color w:val="000000" w:themeColor="text1"/>
        </w:rPr>
        <w:t>ms</w:t>
      </w:r>
      <w:proofErr w:type="spellEnd"/>
      <w:r w:rsidRPr="000217C7">
        <w:rPr>
          <w:color w:val="000000" w:themeColor="text1"/>
        </w:rPr>
        <w:t xml:space="preserve">, TE = 35 </w:t>
      </w:r>
      <w:proofErr w:type="spellStart"/>
      <w:r w:rsidRPr="000217C7">
        <w:rPr>
          <w:color w:val="000000" w:themeColor="text1"/>
        </w:rPr>
        <w:t>ms</w:t>
      </w:r>
      <w:proofErr w:type="spellEnd"/>
      <w:r w:rsidRPr="000217C7">
        <w:rPr>
          <w:color w:val="000000" w:themeColor="text1"/>
        </w:rPr>
        <w:t>].</w:t>
      </w:r>
    </w:p>
    <w:p w14:paraId="11242C25" w14:textId="0C049857" w:rsidR="0086212A" w:rsidRPr="000217C7" w:rsidRDefault="0086212A" w:rsidP="00892870">
      <w:pPr>
        <w:rPr>
          <w:color w:val="000000" w:themeColor="text1"/>
        </w:rPr>
      </w:pPr>
      <w:r w:rsidRPr="000217C7">
        <w:rPr>
          <w:color w:val="000000" w:themeColor="text1"/>
        </w:rPr>
        <w:t xml:space="preserve">In the VBM analyses, preprocessing was done using the SPM12 </w:t>
      </w:r>
      <w:r w:rsidRPr="000217C7">
        <w:rPr>
          <w:color w:val="000000" w:themeColor="text1"/>
        </w:rPr>
        <w:fldChar w:fldCharType="begin"/>
      </w:r>
      <w:r w:rsidRPr="000217C7">
        <w:rPr>
          <w:color w:val="000000" w:themeColor="text1"/>
        </w:rPr>
        <w:instrText xml:space="preserve"> ADDIN ZOTERO_ITEM CSL_CITATION {"citationID":"SNgSOK4P","properties":{"formattedCitation":"(version 7219, Friston et al., 2017)","plainCitation":"(version 7219, Friston et al., 2017)","noteIndex":0},"citationItems":[{"id":1222,"uris":["http://zotero.org/users/local/ukz7dhIj/items/2TZGRBAQ"],"uri":["http://zotero.org/users/local/ukz7dhIj/items/2TZGRBAQ"],"itemData":{"id":1222,"type":"book","event-place":"Natick, Massachusetts, United States","publisher":"The MathWorks, Inc.","publisher-place":"Natick, Massachusetts, United States","title":"SPM - Statistical Parametric Mapping","URL":"https://www.fil.ion.ucl.ac.uk/spm/","version":"12","author":[{"family":"Friston","given":"Karl J."},{"family":"Ashburner","given":"John"},{"family":"Heather","given":"Jon"},{"family":"Holmes","given":"Andrew"},{"family":"Poline","given":"Jean-Baptiste"}],"accessed":{"date-parts":[["2018",10,11]]},"issued":{"date-parts":[["2017"]]}},"prefix":"version 7219, "}],"schema":"https://github.com/citation-style-language/schema/raw/master/csl-citation.json"} </w:instrText>
      </w:r>
      <w:r w:rsidRPr="000217C7">
        <w:rPr>
          <w:color w:val="000000" w:themeColor="text1"/>
        </w:rPr>
        <w:fldChar w:fldCharType="separate"/>
      </w:r>
      <w:r w:rsidRPr="000217C7">
        <w:rPr>
          <w:noProof/>
          <w:color w:val="000000" w:themeColor="text1"/>
        </w:rPr>
        <w:t>(version 7219, Friston et al., 2017)</w:t>
      </w:r>
      <w:r w:rsidRPr="000217C7">
        <w:rPr>
          <w:color w:val="000000" w:themeColor="text1"/>
        </w:rPr>
        <w:fldChar w:fldCharType="end"/>
      </w:r>
      <w:r w:rsidRPr="000217C7">
        <w:rPr>
          <w:color w:val="000000" w:themeColor="text1"/>
        </w:rPr>
        <w:t xml:space="preserve"> and CAT12 </w:t>
      </w:r>
      <w:r w:rsidRPr="000217C7">
        <w:rPr>
          <w:color w:val="000000" w:themeColor="text1"/>
        </w:rPr>
        <w:fldChar w:fldCharType="begin"/>
      </w:r>
      <w:r w:rsidRPr="000217C7">
        <w:rPr>
          <w:color w:val="000000" w:themeColor="text1"/>
        </w:rPr>
        <w:instrText xml:space="preserve"> ADDIN ZOTERO_ITEM CSL_CITATION {"citationID":"bJVMQSEy","properties":{"formattedCitation":"(version 12.3, r1318; Gaser and Danhke, 2016)","plainCitation":"(version 12.3, r1318; Gaser and Danhke, 2016)","noteIndex":0},"citationItems":[{"id":1221,"uris":["http://zotero.org/users/local/ukz7dhIj/items/MWW8TP2W"],"uri":["http://zotero.org/users/local/ukz7dhIj/items/MWW8TP2W"],"itemData":{"id":1221,"type":"book","event-place":"Natick, Massachusetts, United States.","publisher":"The MathWorks, Inc.","publisher-place":"Natick, Massachusetts, United States.","title":"CAT - Computational Anatomy Toolbox for SPM","URL":"http://dbm.neuro.uni-jena.de/cat/","version":"12","author":[{"family":"Gaser","given":"Christian"},{"family":"Danhke","given":"Robert"}],"accessed":{"date-parts":[["2018",10,11]]},"issued":{"date-parts":[["2016"]]}},"prefix":"version 12.3, r1318; "}],"schema":"https://github.com/citation-style-language/schema/raw/master/csl-citation.json"} </w:instrText>
      </w:r>
      <w:r w:rsidRPr="000217C7">
        <w:rPr>
          <w:color w:val="000000" w:themeColor="text1"/>
        </w:rPr>
        <w:fldChar w:fldCharType="separate"/>
      </w:r>
      <w:r w:rsidRPr="000217C7">
        <w:rPr>
          <w:noProof/>
          <w:color w:val="000000" w:themeColor="text1"/>
        </w:rPr>
        <w:t>(version 12.3, r1318; Gaser and Danhke, 2016)</w:t>
      </w:r>
      <w:r w:rsidRPr="000217C7">
        <w:rPr>
          <w:color w:val="000000" w:themeColor="text1"/>
        </w:rPr>
        <w:fldChar w:fldCharType="end"/>
      </w:r>
      <w:r w:rsidRPr="000217C7">
        <w:rPr>
          <w:color w:val="000000" w:themeColor="text1"/>
        </w:rPr>
        <w:t xml:space="preserve"> toolboxes in </w:t>
      </w:r>
      <w:proofErr w:type="spellStart"/>
      <w:r w:rsidRPr="000217C7">
        <w:rPr>
          <w:color w:val="000000" w:themeColor="text1"/>
        </w:rPr>
        <w:t>Matlab</w:t>
      </w:r>
      <w:proofErr w:type="spellEnd"/>
      <w:r w:rsidRPr="000217C7">
        <w:rPr>
          <w:color w:val="000000" w:themeColor="text1"/>
        </w:rPr>
        <w:t xml:space="preserve"> (version 2017a 9.2.0 www.mathworks.com/products/matlab.html). Scans were spatially normalized using the DARTEL algorithm and SPM12 tissue probability maps were used to segment the scans into grey matter (GW), white matter (WM), and cerebrospinal fluid (CSF) and for spatial registration, after which the Total Intracranial Volume (TIV) was calculated. Data were then smoothed with an 8 mm full width at half maximum (FWHM) gaussian kernel. The final </w:t>
      </w:r>
      <w:r w:rsidRPr="000217C7">
        <w:rPr>
          <w:rFonts w:eastAsia="Times New Roman" w:cs="Times New Roman"/>
          <w:color w:val="000000" w:themeColor="text1"/>
          <w:lang w:eastAsia="en-GB"/>
        </w:rPr>
        <w:t xml:space="preserve">voxel size was of </w:t>
      </w:r>
      <w:r w:rsidRPr="000217C7">
        <w:rPr>
          <w:color w:val="000000" w:themeColor="text1"/>
        </w:rPr>
        <w:t xml:space="preserve">1.5 × 1.5 × 1.5 mm. For the resting state analyses, data were preprocessed and analyzed using the CONN toolbox </w:t>
      </w:r>
      <w:r w:rsidRPr="000217C7">
        <w:rPr>
          <w:color w:val="000000" w:themeColor="text1"/>
        </w:rPr>
        <w:fldChar w:fldCharType="begin"/>
      </w:r>
      <w:r w:rsidRPr="000217C7">
        <w:rPr>
          <w:color w:val="000000" w:themeColor="text1"/>
        </w:rPr>
        <w:instrText xml:space="preserve"> ADDIN ZOTERO_ITEM CSL_CITATION {"citationID":"UWOrVwo2","properties":{"formattedCitation":"(version 17; Whitfield-Gabrieli and Nieto-Castanon, 2012)","plainCitation":"(version 17; Whitfield-Gabrieli and Nieto-Castanon, 2012)","noteIndex":0},"citationItems":[{"id":1815,"uris":["http://zotero.org/users/local/ukz7dhIj/items/3PCAWU64"],"uri":["http://zotero.org/users/local/ukz7dhIj/items/3PCAWU64"],"itemData":{"id":1815,"type":"article-journal","abstract":"Resting state functional connectivity reveals intrinsic, spontaneous networks that elucidate the functional architecture of the human brain. However, valid statistical analysis used to identify such networks must address sources of noise in order to avoid possible confounds such as spurious correlations based on non-neuronal sources. We have developed a functional connectivity toolbox Conn ( www.nitrc.org/projects/conn ) that implements the component-based noise correction method (CompCor) strategy for physiological and other noise source reduction, additional removal of movement, and temporal covariates, temporal filtering and windowing of the residual blood oxygen level-dependent (BOLD) contrast signal, first-level estimation of multiple standard functional connectivity magnetic resonance imaging (fcMRI) measures, and second-level random-effect analysis for resting state as well as task-related data. Compared to methods that rely on global signal regression, the CompCor noise reduction method allows for interpretation of anticorrelations as there is no regression of the global signal. The toolbox implements fcMRI measures, such as estimation of seed-to-voxel and region of interest (ROI)-to-ROI functional correlations, as well as semipartial correlation and bivariate/multivariate regression analysis for multiple ROI sources, graph theoretical analysis, and novel voxel-to-voxel analysis of functional connectivity. We describe the methods implemented in the Conn toolbox for the analysis of fcMRI data, together with examples of use and interscan reliability estimates of all the implemented fcMRI measures. The results indicate that the CompCor method increases the sensitivity and selectivity of fcMRI analysis, and show a high degree of interscan reliability for many fcMRI measures.","container-title":"Brain Connectivity","DOI":"10.1089/brain.2012.0073","ISSN":"2158-0022","issue":"3","journalAbbreviation":"Brain Connect","language":"eng","note":"PMID: 22642651","page":"125-141","source":"PubMed","title":"Conn: a functional connectivity toolbox for correlated and anticorrelated brain networks","title-short":"Conn","volume":"2","author":[{"family":"Whitfield-Gabrieli","given":"Susan"},{"family":"Nieto-Castanon","given":"Alfonso"}],"issued":{"date-parts":[["2012"]]}},"prefix":"version 17; "}],"schema":"https://github.com/citation-style-language/schema/raw/master/csl-citation.json"} </w:instrText>
      </w:r>
      <w:r w:rsidRPr="000217C7">
        <w:rPr>
          <w:color w:val="000000" w:themeColor="text1"/>
        </w:rPr>
        <w:fldChar w:fldCharType="separate"/>
      </w:r>
      <w:r w:rsidRPr="000217C7">
        <w:rPr>
          <w:noProof/>
          <w:color w:val="000000" w:themeColor="text1"/>
        </w:rPr>
        <w:t>(version 17; Whitfield-Gabrieli and Nieto-Castanon, 2012)</w:t>
      </w:r>
      <w:r w:rsidRPr="000217C7">
        <w:rPr>
          <w:color w:val="000000" w:themeColor="text1"/>
        </w:rPr>
        <w:fldChar w:fldCharType="end"/>
      </w:r>
      <w:r w:rsidRPr="000217C7">
        <w:rPr>
          <w:color w:val="000000" w:themeColor="text1"/>
        </w:rPr>
        <w:t xml:space="preserve">. The preprocessing was done following CONN’s default processing pipeline. Raw functional images were realigned and </w:t>
      </w:r>
      <w:proofErr w:type="spellStart"/>
      <w:r w:rsidRPr="000217C7">
        <w:rPr>
          <w:color w:val="000000" w:themeColor="text1"/>
        </w:rPr>
        <w:t>unwarped</w:t>
      </w:r>
      <w:proofErr w:type="spellEnd"/>
      <w:r w:rsidRPr="000217C7">
        <w:rPr>
          <w:color w:val="000000" w:themeColor="text1"/>
        </w:rPr>
        <w:t>, time-slice corrected</w:t>
      </w:r>
      <w:r w:rsidR="002306CC" w:rsidRPr="000217C7">
        <w:rPr>
          <w:color w:val="000000" w:themeColor="text1"/>
        </w:rPr>
        <w:t>,</w:t>
      </w:r>
      <w:r w:rsidRPr="000217C7">
        <w:rPr>
          <w:color w:val="000000" w:themeColor="text1"/>
        </w:rPr>
        <w:t xml:space="preserve"> and </w:t>
      </w:r>
      <w:proofErr w:type="spellStart"/>
      <w:r w:rsidRPr="000217C7">
        <w:rPr>
          <w:color w:val="000000" w:themeColor="text1"/>
        </w:rPr>
        <w:t>coregistered</w:t>
      </w:r>
      <w:proofErr w:type="spellEnd"/>
      <w:r w:rsidRPr="000217C7">
        <w:rPr>
          <w:color w:val="000000" w:themeColor="text1"/>
        </w:rPr>
        <w:t xml:space="preserve"> to T1 weighted image. Images were then normalized in MNI space and spatially smoothed with an 8 mm FWHM kernel. Data were processed by removing movement parameters by covarying the 6 rotation/translation movement, as well </w:t>
      </w:r>
      <w:r w:rsidR="002306CC" w:rsidRPr="000217C7">
        <w:rPr>
          <w:color w:val="000000" w:themeColor="text1"/>
        </w:rPr>
        <w:t xml:space="preserve">as </w:t>
      </w:r>
      <w:r w:rsidRPr="000217C7">
        <w:rPr>
          <w:color w:val="000000" w:themeColor="text1"/>
        </w:rPr>
        <w:t xml:space="preserve">regressing motion outliers using the ART package (Artifact Detection Tools, </w:t>
      </w:r>
      <w:hyperlink r:id="rId12" w:history="1">
        <w:r w:rsidRPr="000217C7">
          <w:rPr>
            <w:rStyle w:val="Hyperlink"/>
            <w:color w:val="000000" w:themeColor="text1"/>
          </w:rPr>
          <w:t>https://www.nitrc.org/projects/artifact_detect</w:t>
        </w:r>
      </w:hyperlink>
      <w:r w:rsidRPr="000217C7">
        <w:rPr>
          <w:color w:val="000000" w:themeColor="text1"/>
        </w:rPr>
        <w:t>)</w:t>
      </w:r>
      <w:r w:rsidR="00892870" w:rsidRPr="000217C7">
        <w:rPr>
          <w:color w:val="000000" w:themeColor="text1"/>
        </w:rPr>
        <w:t xml:space="preserve">. Following the standard settings implemented in CONN, no participant was discarded from the analysis, since acquisition's frame-wise displacements were below 0.9mm and global BOLD signal </w:t>
      </w:r>
      <w:r w:rsidR="00892870" w:rsidRPr="000217C7">
        <w:rPr>
          <w:color w:val="000000" w:themeColor="text1"/>
        </w:rPr>
        <w:lastRenderedPageBreak/>
        <w:t>changes were below 5 SD for all participants</w:t>
      </w:r>
      <w:r w:rsidRPr="000217C7">
        <w:rPr>
          <w:color w:val="000000" w:themeColor="text1"/>
        </w:rPr>
        <w:t xml:space="preserve">. In addition, other sources of noise were estimated by extracting the average BOLD time series from seeds located within the white matter and CSF areas, and the first five components of the signal were regressed out, following CONN’s default processing pipeline </w:t>
      </w:r>
      <w:r w:rsidRPr="000217C7">
        <w:rPr>
          <w:color w:val="000000" w:themeColor="text1"/>
        </w:rPr>
        <w:fldChar w:fldCharType="begin"/>
      </w:r>
      <w:r w:rsidRPr="000217C7">
        <w:rPr>
          <w:color w:val="000000" w:themeColor="text1"/>
        </w:rPr>
        <w:instrText xml:space="preserve"> ADDIN ZOTERO_ITEM CSL_CITATION {"citationID":"fJobNWJ1","properties":{"formattedCitation":"(Whitfield-Gabrieli and Nieto-Castanon, 2012)","plainCitation":"(Whitfield-Gabrieli and Nieto-Castanon, 2012)","noteIndex":0},"citationItems":[{"id":1815,"uris":["http://zotero.org/users/local/ukz7dhIj/items/3PCAWU64"],"uri":["http://zotero.org/users/local/ukz7dhIj/items/3PCAWU64"],"itemData":{"id":1815,"type":"article-journal","abstract":"Resting state functional connectivity reveals intrinsic, spontaneous networks that elucidate the functional architecture of the human brain. However, valid statistical analysis used to identify such networks must address sources of noise in order to avoid possible confounds such as spurious correlations based on non-neuronal sources. We have developed a functional connectivity toolbox Conn ( www.nitrc.org/projects/conn ) that implements the component-based noise correction method (CompCor) strategy for physiological and other noise source reduction, additional removal of movement, and temporal covariates, temporal filtering and windowing of the residual blood oxygen level-dependent (BOLD) contrast signal, first-level estimation of multiple standard functional connectivity magnetic resonance imaging (fcMRI) measures, and second-level random-effect analysis for resting state as well as task-related data. Compared to methods that rely on global signal regression, the CompCor noise reduction method allows for interpretation of anticorrelations as there is no regression of the global signal. The toolbox implements fcMRI measures, such as estimation of seed-to-voxel and region of interest (ROI)-to-ROI functional correlations, as well as semipartial correlation and bivariate/multivariate regression analysis for multiple ROI sources, graph theoretical analysis, and novel voxel-to-voxel analysis of functional connectivity. We describe the methods implemented in the Conn toolbox for the analysis of fcMRI data, together with examples of use and interscan reliability estimates of all the implemented fcMRI measures. The results indicate that the CompCor method increases the sensitivity and selectivity of fcMRI analysis, and show a high degree of interscan reliability for many fcMRI measures.","container-title":"Brain Connectivity","DOI":"10.1089/brain.2012.0073","ISSN":"2158-0022","issue":"3","journalAbbreviation":"Brain Connect","language":"eng","note":"PMID: 22642651","page":"125-141","source":"PubMed","title":"Conn: a functional connectivity toolbox for correlated and anticorrelated brain networks","title-short":"Conn","volume":"2","author":[{"family":"Whitfield-Gabrieli","given":"Susan"},{"family":"Nieto-Castanon","given":"Alfonso"}],"issued":{"date-parts":[["2012"]]}}}],"schema":"https://github.com/citation-style-language/schema/raw/master/csl-citation.json"} </w:instrText>
      </w:r>
      <w:r w:rsidRPr="000217C7">
        <w:rPr>
          <w:color w:val="000000" w:themeColor="text1"/>
        </w:rPr>
        <w:fldChar w:fldCharType="separate"/>
      </w:r>
      <w:r w:rsidRPr="000217C7">
        <w:rPr>
          <w:noProof/>
          <w:color w:val="000000" w:themeColor="text1"/>
        </w:rPr>
        <w:t>(Whitfield-Gabrieli and Nieto-Castanon, 2012)</w:t>
      </w:r>
      <w:r w:rsidRPr="000217C7">
        <w:rPr>
          <w:color w:val="000000" w:themeColor="text1"/>
        </w:rPr>
        <w:fldChar w:fldCharType="end"/>
      </w:r>
      <w:r w:rsidRPr="000217C7">
        <w:rPr>
          <w:color w:val="000000" w:themeColor="text1"/>
        </w:rPr>
        <w:t xml:space="preserve">. Finally, the BOLD signal was band-pass filtered (.008Hz–.09 Hz). </w:t>
      </w:r>
    </w:p>
    <w:p w14:paraId="6877D501" w14:textId="771BC3B9" w:rsidR="00B15924" w:rsidRPr="000217C7" w:rsidRDefault="00360F1F" w:rsidP="003705CB">
      <w:pPr>
        <w:pStyle w:val="Heading3"/>
      </w:pPr>
      <w:bookmarkStart w:id="16" w:name="_Toc528590104"/>
      <w:r w:rsidRPr="000217C7">
        <w:t xml:space="preserve">2.3.2 </w:t>
      </w:r>
      <w:r w:rsidR="00B15924" w:rsidRPr="000217C7">
        <w:t>V</w:t>
      </w:r>
      <w:r w:rsidR="002F7C74" w:rsidRPr="000217C7">
        <w:t>BM</w:t>
      </w:r>
      <w:r w:rsidR="00B15924" w:rsidRPr="000217C7">
        <w:t xml:space="preserve"> analyses</w:t>
      </w:r>
      <w:bookmarkEnd w:id="16"/>
    </w:p>
    <w:p w14:paraId="58337941" w14:textId="685B2D6C" w:rsidR="00CF2B5E" w:rsidRPr="000217C7" w:rsidRDefault="00B428CC" w:rsidP="004B16CA">
      <w:pPr>
        <w:rPr>
          <w:color w:val="000000" w:themeColor="text1"/>
        </w:rPr>
      </w:pPr>
      <w:r w:rsidRPr="000217C7">
        <w:rPr>
          <w:color w:val="000000" w:themeColor="text1"/>
        </w:rPr>
        <w:t xml:space="preserve">The VBM analyses were </w:t>
      </w:r>
      <w:r w:rsidR="00CF6355" w:rsidRPr="000217C7">
        <w:rPr>
          <w:color w:val="000000" w:themeColor="text1"/>
        </w:rPr>
        <w:t>designed</w:t>
      </w:r>
      <w:r w:rsidRPr="000217C7">
        <w:rPr>
          <w:color w:val="000000" w:themeColor="text1"/>
        </w:rPr>
        <w:t xml:space="preserve"> to investigate </w:t>
      </w:r>
      <w:r w:rsidR="00DF5EC2" w:rsidRPr="000217C7">
        <w:rPr>
          <w:color w:val="000000" w:themeColor="text1"/>
        </w:rPr>
        <w:t>three</w:t>
      </w:r>
      <w:r w:rsidRPr="000217C7">
        <w:rPr>
          <w:color w:val="000000" w:themeColor="text1"/>
        </w:rPr>
        <w:t xml:space="preserve"> main </w:t>
      </w:r>
      <w:r w:rsidR="009D2C2A" w:rsidRPr="000217C7">
        <w:rPr>
          <w:color w:val="000000" w:themeColor="text1"/>
        </w:rPr>
        <w:t xml:space="preserve">experimental </w:t>
      </w:r>
      <w:r w:rsidRPr="000217C7">
        <w:rPr>
          <w:color w:val="000000" w:themeColor="text1"/>
        </w:rPr>
        <w:t xml:space="preserve">questions. </w:t>
      </w:r>
      <w:r w:rsidR="00DF5EC2" w:rsidRPr="000217C7">
        <w:rPr>
          <w:color w:val="000000" w:themeColor="text1"/>
        </w:rPr>
        <w:t xml:space="preserve">The </w:t>
      </w:r>
      <w:r w:rsidR="00DF5EC2" w:rsidRPr="000217C7">
        <w:rPr>
          <w:i/>
          <w:color w:val="000000" w:themeColor="text1"/>
        </w:rPr>
        <w:t>first</w:t>
      </w:r>
      <w:r w:rsidR="00DF5EC2" w:rsidRPr="000217C7">
        <w:rPr>
          <w:color w:val="000000" w:themeColor="text1"/>
        </w:rPr>
        <w:t xml:space="preserve"> experimental question was whether</w:t>
      </w:r>
      <w:r w:rsidRPr="000217C7">
        <w:rPr>
          <w:color w:val="000000" w:themeColor="text1"/>
        </w:rPr>
        <w:t xml:space="preserve"> </w:t>
      </w:r>
      <w:r w:rsidR="002B0E04" w:rsidRPr="000217C7">
        <w:rPr>
          <w:color w:val="000000" w:themeColor="text1"/>
        </w:rPr>
        <w:t>GM</w:t>
      </w:r>
      <w:r w:rsidR="008B56EB" w:rsidRPr="000217C7">
        <w:rPr>
          <w:color w:val="000000" w:themeColor="text1"/>
        </w:rPr>
        <w:t xml:space="preserve"> density in specific brain areas significantly correlated with </w:t>
      </w:r>
      <w:r w:rsidR="009E2D5D" w:rsidRPr="000217C7">
        <w:rPr>
          <w:color w:val="000000" w:themeColor="text1"/>
        </w:rPr>
        <w:t xml:space="preserve">participants’ performance </w:t>
      </w:r>
      <w:r w:rsidR="00CF6355" w:rsidRPr="000217C7">
        <w:rPr>
          <w:color w:val="000000" w:themeColor="text1"/>
        </w:rPr>
        <w:t>o</w:t>
      </w:r>
      <w:r w:rsidR="009E2D5D" w:rsidRPr="000217C7">
        <w:rPr>
          <w:color w:val="000000" w:themeColor="text1"/>
        </w:rPr>
        <w:t>n the bCFS and Go/No-Go tasks</w:t>
      </w:r>
      <w:r w:rsidRPr="000217C7">
        <w:rPr>
          <w:color w:val="000000" w:themeColor="text1"/>
        </w:rPr>
        <w:t xml:space="preserve">. </w:t>
      </w:r>
      <w:r w:rsidR="0037226F" w:rsidRPr="000217C7">
        <w:rPr>
          <w:i/>
          <w:color w:val="000000" w:themeColor="text1"/>
        </w:rPr>
        <w:t>Secondly,</w:t>
      </w:r>
      <w:r w:rsidR="00E62BEB" w:rsidRPr="000217C7">
        <w:rPr>
          <w:color w:val="000000" w:themeColor="text1"/>
        </w:rPr>
        <w:t xml:space="preserve"> </w:t>
      </w:r>
      <w:r w:rsidR="005B6D24" w:rsidRPr="000217C7">
        <w:rPr>
          <w:color w:val="000000" w:themeColor="text1"/>
        </w:rPr>
        <w:t xml:space="preserve">we investigated </w:t>
      </w:r>
      <w:r w:rsidR="00006C45" w:rsidRPr="000217C7">
        <w:rPr>
          <w:color w:val="000000" w:themeColor="text1"/>
        </w:rPr>
        <w:t>whether</w:t>
      </w:r>
      <w:r w:rsidRPr="000217C7">
        <w:rPr>
          <w:color w:val="000000" w:themeColor="text1"/>
        </w:rPr>
        <w:t xml:space="preserve"> </w:t>
      </w:r>
      <w:r w:rsidR="008B56EB" w:rsidRPr="000217C7">
        <w:rPr>
          <w:color w:val="000000" w:themeColor="text1"/>
        </w:rPr>
        <w:t xml:space="preserve">GM concentration in </w:t>
      </w:r>
      <w:r w:rsidR="00CF6355" w:rsidRPr="000217C7">
        <w:rPr>
          <w:color w:val="000000" w:themeColor="text1"/>
        </w:rPr>
        <w:t>specific brain area</w:t>
      </w:r>
      <w:r w:rsidR="00E62BEB" w:rsidRPr="000217C7">
        <w:rPr>
          <w:color w:val="000000" w:themeColor="text1"/>
        </w:rPr>
        <w:t>s</w:t>
      </w:r>
      <w:r w:rsidR="002F0571" w:rsidRPr="000217C7">
        <w:rPr>
          <w:color w:val="000000" w:themeColor="text1"/>
        </w:rPr>
        <w:t xml:space="preserve"> </w:t>
      </w:r>
      <w:r w:rsidRPr="000217C7">
        <w:rPr>
          <w:color w:val="000000" w:themeColor="text1"/>
        </w:rPr>
        <w:t xml:space="preserve">correlated </w:t>
      </w:r>
      <w:r w:rsidR="008B56EB" w:rsidRPr="000217C7">
        <w:rPr>
          <w:color w:val="000000" w:themeColor="text1"/>
        </w:rPr>
        <w:t>with</w:t>
      </w:r>
      <w:r w:rsidRPr="000217C7">
        <w:rPr>
          <w:color w:val="000000" w:themeColor="text1"/>
        </w:rPr>
        <w:t xml:space="preserve"> participants’ </w:t>
      </w:r>
      <w:r w:rsidR="0076354D" w:rsidRPr="000217C7">
        <w:rPr>
          <w:color w:val="000000" w:themeColor="text1"/>
        </w:rPr>
        <w:t>BMI</w:t>
      </w:r>
      <w:r w:rsidR="002E6A9E" w:rsidRPr="000217C7">
        <w:rPr>
          <w:color w:val="000000" w:themeColor="text1"/>
        </w:rPr>
        <w:t xml:space="preserve">. </w:t>
      </w:r>
      <w:r w:rsidR="00DF5EC2" w:rsidRPr="000217C7">
        <w:rPr>
          <w:i/>
          <w:color w:val="000000" w:themeColor="text1"/>
        </w:rPr>
        <w:t>Finally</w:t>
      </w:r>
      <w:r w:rsidR="00DF5EC2" w:rsidRPr="000217C7">
        <w:rPr>
          <w:color w:val="000000" w:themeColor="text1"/>
        </w:rPr>
        <w:t>,</w:t>
      </w:r>
      <w:r w:rsidR="00E62BEB" w:rsidRPr="000217C7">
        <w:rPr>
          <w:color w:val="000000" w:themeColor="text1"/>
        </w:rPr>
        <w:t xml:space="preserve"> when BMI influenced participants’ performance, we aimed </w:t>
      </w:r>
      <w:r w:rsidR="00DF5EC2" w:rsidRPr="000217C7">
        <w:rPr>
          <w:color w:val="000000" w:themeColor="text1"/>
        </w:rPr>
        <w:t xml:space="preserve">to explore the connection between task performance and BMI, </w:t>
      </w:r>
      <w:r w:rsidR="00E62BEB" w:rsidRPr="000217C7">
        <w:rPr>
          <w:color w:val="000000" w:themeColor="text1"/>
        </w:rPr>
        <w:t xml:space="preserve">i.e. </w:t>
      </w:r>
      <w:r w:rsidR="00DF5EC2" w:rsidRPr="000217C7">
        <w:rPr>
          <w:color w:val="000000" w:themeColor="text1"/>
        </w:rPr>
        <w:t xml:space="preserve">whether participants’ performance in the </w:t>
      </w:r>
      <w:r w:rsidR="002B0E04" w:rsidRPr="000217C7">
        <w:rPr>
          <w:color w:val="000000" w:themeColor="text1"/>
        </w:rPr>
        <w:t>behavioral</w:t>
      </w:r>
      <w:r w:rsidR="00DF5EC2" w:rsidRPr="000217C7">
        <w:rPr>
          <w:color w:val="000000" w:themeColor="text1"/>
        </w:rPr>
        <w:t xml:space="preserve"> tasks predicted GM density differently in participants with a low</w:t>
      </w:r>
      <w:r w:rsidR="008417F2" w:rsidRPr="000217C7">
        <w:rPr>
          <w:color w:val="000000" w:themeColor="text1"/>
        </w:rPr>
        <w:t>er</w:t>
      </w:r>
      <w:r w:rsidR="00DF5EC2" w:rsidRPr="000217C7">
        <w:rPr>
          <w:color w:val="000000" w:themeColor="text1"/>
        </w:rPr>
        <w:t xml:space="preserve"> and with a high</w:t>
      </w:r>
      <w:r w:rsidR="008417F2" w:rsidRPr="000217C7">
        <w:rPr>
          <w:color w:val="000000" w:themeColor="text1"/>
        </w:rPr>
        <w:t>er</w:t>
      </w:r>
      <w:r w:rsidR="00DF5EC2" w:rsidRPr="000217C7">
        <w:rPr>
          <w:color w:val="000000" w:themeColor="text1"/>
        </w:rPr>
        <w:t xml:space="preserve"> BMI.</w:t>
      </w:r>
      <w:r w:rsidR="00CF2B5E" w:rsidRPr="000217C7">
        <w:rPr>
          <w:color w:val="000000" w:themeColor="text1"/>
        </w:rPr>
        <w:t xml:space="preserve"> </w:t>
      </w:r>
      <w:r w:rsidR="002E6A9E" w:rsidRPr="000217C7">
        <w:rPr>
          <w:color w:val="000000" w:themeColor="text1"/>
        </w:rPr>
        <w:t xml:space="preserve">To </w:t>
      </w:r>
      <w:r w:rsidR="006912EA" w:rsidRPr="000217C7">
        <w:rPr>
          <w:color w:val="000000" w:themeColor="text1"/>
        </w:rPr>
        <w:t xml:space="preserve">answer these experimental questions, we run a </w:t>
      </w:r>
      <w:r w:rsidR="004045FA" w:rsidRPr="000217C7">
        <w:rPr>
          <w:color w:val="000000" w:themeColor="text1"/>
        </w:rPr>
        <w:t>series</w:t>
      </w:r>
      <w:r w:rsidR="006912EA" w:rsidRPr="000217C7">
        <w:rPr>
          <w:color w:val="000000" w:themeColor="text1"/>
        </w:rPr>
        <w:t xml:space="preserve"> </w:t>
      </w:r>
      <w:r w:rsidR="00BE5E7B" w:rsidRPr="000217C7">
        <w:rPr>
          <w:color w:val="000000" w:themeColor="text1"/>
        </w:rPr>
        <w:t xml:space="preserve">of </w:t>
      </w:r>
      <w:r w:rsidR="006912EA" w:rsidRPr="000217C7">
        <w:rPr>
          <w:color w:val="000000" w:themeColor="text1"/>
        </w:rPr>
        <w:t xml:space="preserve">multiple regressions using SPM12 </w:t>
      </w:r>
      <w:r w:rsidR="00BC2CCF" w:rsidRPr="000217C7">
        <w:rPr>
          <w:color w:val="000000" w:themeColor="text1"/>
        </w:rPr>
        <w:fldChar w:fldCharType="begin"/>
      </w:r>
      <w:r w:rsidR="003F3C87" w:rsidRPr="000217C7">
        <w:rPr>
          <w:color w:val="000000" w:themeColor="text1"/>
        </w:rPr>
        <w:instrText xml:space="preserve"> ADDIN ZOTERO_ITEM CSL_CITATION {"citationID":"k1k89thc","properties":{"formattedCitation":"(Friston et al., 2017)","plainCitation":"(Friston et al., 2017)","noteIndex":0},"citationItems":[{"id":1222,"uris":["http://zotero.org/users/local/ukz7dhIj/items/2TZGRBAQ"],"uri":["http://zotero.org/users/local/ukz7dhIj/items/2TZGRBAQ"],"itemData":{"id":1222,"type":"book","event-place":"Natick, Massachusetts, United States","publisher":"The MathWorks, Inc.","publisher-place":"Natick, Massachusetts, United States","title":"SPM - Statistical Parametric Mapping","URL":"https://www.fil.ion.ucl.ac.uk/spm/","version":"12","author":[{"family":"Friston","given":"Karl J."},{"family":"Ashburner","given":"John"},{"family":"Heather","given":"Jon"},{"family":"Holmes","given":"Andrew"},{"family":"Poline","given":"Jean-Baptiste"}],"accessed":{"date-parts":[["2018",10,11]]},"issued":{"date-parts":[["2017"]]}}}],"schema":"https://github.com/citation-style-language/schema/raw/master/csl-citation.json"} </w:instrText>
      </w:r>
      <w:r w:rsidR="00BC2CCF" w:rsidRPr="000217C7">
        <w:rPr>
          <w:color w:val="000000" w:themeColor="text1"/>
        </w:rPr>
        <w:fldChar w:fldCharType="separate"/>
      </w:r>
      <w:r w:rsidR="006912EA" w:rsidRPr="000217C7">
        <w:rPr>
          <w:noProof/>
          <w:color w:val="000000" w:themeColor="text1"/>
        </w:rPr>
        <w:t>(Friston et al., 2017)</w:t>
      </w:r>
      <w:r w:rsidR="00BC2CCF" w:rsidRPr="000217C7">
        <w:rPr>
          <w:color w:val="000000" w:themeColor="text1"/>
        </w:rPr>
        <w:fldChar w:fldCharType="end"/>
      </w:r>
      <w:r w:rsidR="006912EA" w:rsidRPr="000217C7">
        <w:rPr>
          <w:color w:val="000000" w:themeColor="text1"/>
        </w:rPr>
        <w:t xml:space="preserve">. </w:t>
      </w:r>
      <w:r w:rsidR="0055218E" w:rsidRPr="000217C7">
        <w:rPr>
          <w:color w:val="000000" w:themeColor="text1"/>
        </w:rPr>
        <w:t>In the first level analyses, the preprocessed fMRI data were entered into a bivariate correlation. In all models, age, gender, and total intracranial volume (TIV) were covaried.</w:t>
      </w:r>
      <w:r w:rsidR="00BE5E7B" w:rsidRPr="000217C7">
        <w:rPr>
          <w:color w:val="000000" w:themeColor="text1"/>
        </w:rPr>
        <w:t xml:space="preserve"> </w:t>
      </w:r>
      <w:r w:rsidR="00BE5E7B" w:rsidRPr="000217C7">
        <w:rPr>
          <w:rFonts w:eastAsia="Times New Roman" w:cs="Times New Roman"/>
          <w:color w:val="000000" w:themeColor="text1"/>
          <w:lang w:eastAsia="en-GB"/>
        </w:rPr>
        <w:t>Regressors were mean</w:t>
      </w:r>
      <w:r w:rsidR="002306CC" w:rsidRPr="000217C7">
        <w:rPr>
          <w:rFonts w:eastAsia="Times New Roman" w:cs="Times New Roman"/>
          <w:color w:val="000000" w:themeColor="text1"/>
          <w:lang w:eastAsia="en-GB"/>
        </w:rPr>
        <w:t>-</w:t>
      </w:r>
      <w:r w:rsidR="00BE5E7B" w:rsidRPr="000217C7">
        <w:rPr>
          <w:rFonts w:eastAsia="Times New Roman" w:cs="Times New Roman"/>
          <w:color w:val="000000" w:themeColor="text1"/>
          <w:lang w:eastAsia="en-GB"/>
        </w:rPr>
        <w:t>centered.</w:t>
      </w:r>
    </w:p>
    <w:p w14:paraId="49BF900C" w14:textId="516AF112" w:rsidR="00EC5134" w:rsidRPr="000217C7" w:rsidRDefault="00CF2B5E" w:rsidP="003035DE">
      <w:pPr>
        <w:rPr>
          <w:color w:val="000000" w:themeColor="text1"/>
        </w:rPr>
      </w:pPr>
      <w:r w:rsidRPr="000217C7">
        <w:rPr>
          <w:color w:val="000000" w:themeColor="text1"/>
        </w:rPr>
        <w:t xml:space="preserve">In the model regarding the </w:t>
      </w:r>
      <w:r w:rsidR="00E62BEB" w:rsidRPr="000217C7">
        <w:rPr>
          <w:color w:val="000000" w:themeColor="text1"/>
        </w:rPr>
        <w:t xml:space="preserve">correlation between GM density and performance at </w:t>
      </w:r>
      <w:r w:rsidRPr="000217C7">
        <w:rPr>
          <w:color w:val="000000" w:themeColor="text1"/>
        </w:rPr>
        <w:t xml:space="preserve">bCFS </w:t>
      </w:r>
      <w:r w:rsidR="00020F2C" w:rsidRPr="000217C7">
        <w:rPr>
          <w:color w:val="000000" w:themeColor="text1"/>
        </w:rPr>
        <w:t>task</w:t>
      </w:r>
      <w:r w:rsidRPr="000217C7">
        <w:rPr>
          <w:color w:val="000000" w:themeColor="text1"/>
        </w:rPr>
        <w:t>, t</w:t>
      </w:r>
      <w:r w:rsidR="004045FA" w:rsidRPr="000217C7">
        <w:rPr>
          <w:color w:val="000000" w:themeColor="text1"/>
        </w:rPr>
        <w:t xml:space="preserve">he </w:t>
      </w:r>
      <w:r w:rsidR="0076354D" w:rsidRPr="000217C7">
        <w:rPr>
          <w:color w:val="000000" w:themeColor="text1"/>
        </w:rPr>
        <w:t>covariate</w:t>
      </w:r>
      <w:r w:rsidR="004045FA" w:rsidRPr="000217C7">
        <w:rPr>
          <w:color w:val="000000" w:themeColor="text1"/>
        </w:rPr>
        <w:t xml:space="preserve"> variable was calculated as </w:t>
      </w:r>
      <w:r w:rsidR="00400FE7" w:rsidRPr="000217C7">
        <w:rPr>
          <w:color w:val="000000" w:themeColor="text1"/>
        </w:rPr>
        <w:t xml:space="preserve">the mean suppression times in the bCFS </w:t>
      </w:r>
      <w:r w:rsidR="00020F2C" w:rsidRPr="000217C7">
        <w:rPr>
          <w:color w:val="000000" w:themeColor="text1"/>
        </w:rPr>
        <w:t>task</w:t>
      </w:r>
      <w:r w:rsidR="00661B8D" w:rsidRPr="000217C7">
        <w:rPr>
          <w:color w:val="000000" w:themeColor="text1"/>
        </w:rPr>
        <w:t xml:space="preserve"> </w:t>
      </w:r>
      <w:r w:rsidR="004045FA" w:rsidRPr="000217C7">
        <w:rPr>
          <w:color w:val="000000" w:themeColor="text1"/>
        </w:rPr>
        <w:t>for each participant</w:t>
      </w:r>
      <w:r w:rsidR="00400FE7" w:rsidRPr="000217C7">
        <w:rPr>
          <w:color w:val="000000" w:themeColor="text1"/>
        </w:rPr>
        <w:t>, normalized by</w:t>
      </w:r>
      <w:r w:rsidR="004045FA" w:rsidRPr="000217C7">
        <w:rPr>
          <w:color w:val="000000" w:themeColor="text1"/>
        </w:rPr>
        <w:t xml:space="preserve"> their</w:t>
      </w:r>
      <w:r w:rsidR="00400FE7" w:rsidRPr="000217C7">
        <w:rPr>
          <w:color w:val="000000" w:themeColor="text1"/>
        </w:rPr>
        <w:t xml:space="preserve"> </w:t>
      </w:r>
      <w:r w:rsidR="004045FA" w:rsidRPr="000217C7">
        <w:rPr>
          <w:color w:val="000000" w:themeColor="text1"/>
        </w:rPr>
        <w:t>RTs</w:t>
      </w:r>
      <w:r w:rsidR="00400FE7" w:rsidRPr="000217C7">
        <w:rPr>
          <w:color w:val="000000" w:themeColor="text1"/>
        </w:rPr>
        <w:t xml:space="preserve"> in the NoCFS </w:t>
      </w:r>
      <w:r w:rsidR="00020F2C" w:rsidRPr="000217C7">
        <w:rPr>
          <w:color w:val="000000" w:themeColor="text1"/>
        </w:rPr>
        <w:t>task</w:t>
      </w:r>
      <w:r w:rsidR="004045FA" w:rsidRPr="000217C7">
        <w:rPr>
          <w:color w:val="000000" w:themeColor="text1"/>
        </w:rPr>
        <w:t>, to account for differences in response times that are not due to longer suppression</w:t>
      </w:r>
      <w:r w:rsidR="00A40848" w:rsidRPr="000217C7">
        <w:rPr>
          <w:color w:val="000000" w:themeColor="text1"/>
        </w:rPr>
        <w:t>. In the model</w:t>
      </w:r>
      <w:r w:rsidR="00C4647A" w:rsidRPr="000217C7">
        <w:rPr>
          <w:color w:val="000000" w:themeColor="text1"/>
        </w:rPr>
        <w:t>s</w:t>
      </w:r>
      <w:r w:rsidR="00A40848" w:rsidRPr="000217C7">
        <w:rPr>
          <w:color w:val="000000" w:themeColor="text1"/>
        </w:rPr>
        <w:t xml:space="preserve"> of the Go/No-Go task, </w:t>
      </w:r>
      <w:r w:rsidR="00656512" w:rsidRPr="000217C7">
        <w:rPr>
          <w:color w:val="000000" w:themeColor="text1"/>
        </w:rPr>
        <w:t>we used as</w:t>
      </w:r>
      <w:r w:rsidR="00A40848" w:rsidRPr="000217C7">
        <w:rPr>
          <w:color w:val="000000" w:themeColor="text1"/>
        </w:rPr>
        <w:t xml:space="preserve"> </w:t>
      </w:r>
      <w:r w:rsidR="00C4647A" w:rsidRPr="000217C7">
        <w:rPr>
          <w:color w:val="000000" w:themeColor="text1"/>
        </w:rPr>
        <w:t xml:space="preserve">predictors </w:t>
      </w:r>
      <w:r w:rsidR="00656512" w:rsidRPr="000217C7">
        <w:rPr>
          <w:color w:val="000000" w:themeColor="text1"/>
        </w:rPr>
        <w:t xml:space="preserve">of general performance </w:t>
      </w:r>
      <w:r w:rsidR="00C4647A" w:rsidRPr="000217C7">
        <w:rPr>
          <w:color w:val="000000" w:themeColor="text1"/>
        </w:rPr>
        <w:t xml:space="preserve">the </w:t>
      </w:r>
      <w:r w:rsidR="00A40848" w:rsidRPr="000217C7">
        <w:rPr>
          <w:color w:val="000000" w:themeColor="text1"/>
        </w:rPr>
        <w:t xml:space="preserve">mean of the RTs </w:t>
      </w:r>
      <w:r w:rsidR="00656512" w:rsidRPr="000217C7">
        <w:rPr>
          <w:color w:val="000000" w:themeColor="text1"/>
        </w:rPr>
        <w:t>o</w:t>
      </w:r>
      <w:r w:rsidR="00A40848" w:rsidRPr="000217C7">
        <w:rPr>
          <w:color w:val="000000" w:themeColor="text1"/>
        </w:rPr>
        <w:t xml:space="preserve">n </w:t>
      </w:r>
      <w:r w:rsidR="00745B9B" w:rsidRPr="000217C7">
        <w:rPr>
          <w:color w:val="000000" w:themeColor="text1"/>
        </w:rPr>
        <w:t>Go</w:t>
      </w:r>
      <w:r w:rsidR="00A40848" w:rsidRPr="000217C7">
        <w:rPr>
          <w:color w:val="000000" w:themeColor="text1"/>
        </w:rPr>
        <w:t xml:space="preserve"> trials</w:t>
      </w:r>
      <w:r w:rsidR="00C4647A" w:rsidRPr="000217C7">
        <w:rPr>
          <w:color w:val="000000" w:themeColor="text1"/>
        </w:rPr>
        <w:t xml:space="preserve"> and the number of false alarms on No-Go trials</w:t>
      </w:r>
      <w:r w:rsidR="004045FA" w:rsidRPr="000217C7">
        <w:rPr>
          <w:color w:val="000000" w:themeColor="text1"/>
        </w:rPr>
        <w:t>.</w:t>
      </w:r>
      <w:r w:rsidR="00656512" w:rsidRPr="000217C7">
        <w:rPr>
          <w:color w:val="000000" w:themeColor="text1"/>
        </w:rPr>
        <w:t xml:space="preserve"> The models investigating a specific attentional bias towards food used the difference between the mean nonfood and food RTs on Go trials.</w:t>
      </w:r>
      <w:r w:rsidRPr="000217C7">
        <w:rPr>
          <w:color w:val="000000" w:themeColor="text1"/>
        </w:rPr>
        <w:t xml:space="preserve"> </w:t>
      </w:r>
      <w:r w:rsidR="00956CB5" w:rsidRPr="000217C7">
        <w:rPr>
          <w:color w:val="000000" w:themeColor="text1"/>
        </w:rPr>
        <w:t>Secondly, we investigated whether participants’ BMI significantly predicted GM density in any brain area.</w:t>
      </w:r>
      <w:r w:rsidR="004045FA" w:rsidRPr="000217C7">
        <w:rPr>
          <w:color w:val="000000" w:themeColor="text1"/>
        </w:rPr>
        <w:t xml:space="preserve"> </w:t>
      </w:r>
      <w:r w:rsidR="00DF5EC2" w:rsidRPr="000217C7">
        <w:rPr>
          <w:color w:val="000000" w:themeColor="text1"/>
        </w:rPr>
        <w:t>Finally, t</w:t>
      </w:r>
      <w:r w:rsidR="00900881" w:rsidRPr="000217C7">
        <w:rPr>
          <w:color w:val="000000" w:themeColor="text1"/>
        </w:rPr>
        <w:t>o assess whether in participants with a high</w:t>
      </w:r>
      <w:r w:rsidR="008417F2" w:rsidRPr="000217C7">
        <w:rPr>
          <w:color w:val="000000" w:themeColor="text1"/>
        </w:rPr>
        <w:t>er</w:t>
      </w:r>
      <w:r w:rsidR="00900881" w:rsidRPr="000217C7">
        <w:rPr>
          <w:color w:val="000000" w:themeColor="text1"/>
        </w:rPr>
        <w:t xml:space="preserve"> BMI, compared to participants with a low</w:t>
      </w:r>
      <w:r w:rsidR="008417F2" w:rsidRPr="000217C7">
        <w:rPr>
          <w:color w:val="000000" w:themeColor="text1"/>
        </w:rPr>
        <w:t>er</w:t>
      </w:r>
      <w:r w:rsidR="00900881" w:rsidRPr="000217C7">
        <w:rPr>
          <w:color w:val="000000" w:themeColor="text1"/>
        </w:rPr>
        <w:t xml:space="preserve"> BMI</w:t>
      </w:r>
      <w:r w:rsidR="003035DE" w:rsidRPr="000217C7">
        <w:rPr>
          <w:color w:val="000000" w:themeColor="text1"/>
        </w:rPr>
        <w:t>, performance in the behavioral tasks was connected to GM density in different areas, we formed two groups of participants, one with high</w:t>
      </w:r>
      <w:r w:rsidR="008417F2" w:rsidRPr="000217C7">
        <w:rPr>
          <w:color w:val="000000" w:themeColor="text1"/>
        </w:rPr>
        <w:t>er</w:t>
      </w:r>
      <w:r w:rsidR="003035DE" w:rsidRPr="000217C7">
        <w:rPr>
          <w:color w:val="000000" w:themeColor="text1"/>
        </w:rPr>
        <w:t xml:space="preserve"> BMI</w:t>
      </w:r>
      <w:r w:rsidR="008417F2" w:rsidRPr="000217C7">
        <w:rPr>
          <w:color w:val="000000" w:themeColor="text1"/>
        </w:rPr>
        <w:t>s</w:t>
      </w:r>
      <w:r w:rsidR="003035DE" w:rsidRPr="000217C7">
        <w:rPr>
          <w:color w:val="000000" w:themeColor="text1"/>
        </w:rPr>
        <w:t xml:space="preserve"> and one with low</w:t>
      </w:r>
      <w:r w:rsidR="008417F2" w:rsidRPr="000217C7">
        <w:rPr>
          <w:color w:val="000000" w:themeColor="text1"/>
        </w:rPr>
        <w:t>er</w:t>
      </w:r>
      <w:r w:rsidR="003035DE" w:rsidRPr="000217C7">
        <w:rPr>
          <w:color w:val="000000" w:themeColor="text1"/>
        </w:rPr>
        <w:t xml:space="preserve"> BMI</w:t>
      </w:r>
      <w:r w:rsidR="008417F2" w:rsidRPr="000217C7">
        <w:rPr>
          <w:color w:val="000000" w:themeColor="text1"/>
        </w:rPr>
        <w:t>s</w:t>
      </w:r>
      <w:r w:rsidR="003035DE" w:rsidRPr="000217C7">
        <w:rPr>
          <w:color w:val="000000" w:themeColor="text1"/>
        </w:rPr>
        <w:t xml:space="preserve">, based on a median split. </w:t>
      </w:r>
      <w:r w:rsidR="00997D9F" w:rsidRPr="000217C7">
        <w:rPr>
          <w:color w:val="000000" w:themeColor="text1"/>
        </w:rPr>
        <w:t>W</w:t>
      </w:r>
      <w:r w:rsidR="006C146C" w:rsidRPr="000217C7">
        <w:rPr>
          <w:color w:val="000000" w:themeColor="text1"/>
        </w:rPr>
        <w:t xml:space="preserve">e run </w:t>
      </w:r>
      <w:r w:rsidR="00C4647A" w:rsidRPr="000217C7">
        <w:rPr>
          <w:color w:val="000000" w:themeColor="text1"/>
        </w:rPr>
        <w:t>two</w:t>
      </w:r>
      <w:r w:rsidR="006C146C" w:rsidRPr="000217C7">
        <w:rPr>
          <w:color w:val="000000" w:themeColor="text1"/>
        </w:rPr>
        <w:t xml:space="preserve"> full factorial model with suppression times</w:t>
      </w:r>
      <w:r w:rsidR="00656512" w:rsidRPr="000217C7">
        <w:rPr>
          <w:color w:val="000000" w:themeColor="text1"/>
        </w:rPr>
        <w:t xml:space="preserve"> in the CFS task</w:t>
      </w:r>
      <w:r w:rsidR="006C146C" w:rsidRPr="000217C7">
        <w:rPr>
          <w:color w:val="000000" w:themeColor="text1"/>
        </w:rPr>
        <w:t xml:space="preserve"> </w:t>
      </w:r>
      <w:r w:rsidR="00C4647A" w:rsidRPr="000217C7">
        <w:rPr>
          <w:color w:val="000000" w:themeColor="text1"/>
        </w:rPr>
        <w:t>and</w:t>
      </w:r>
      <w:r w:rsidR="00656512" w:rsidRPr="000217C7">
        <w:rPr>
          <w:color w:val="000000" w:themeColor="text1"/>
        </w:rPr>
        <w:t xml:space="preserve"> the mean difference between nonfood and food</w:t>
      </w:r>
      <w:r w:rsidR="00C4647A" w:rsidRPr="000217C7">
        <w:rPr>
          <w:color w:val="000000" w:themeColor="text1"/>
        </w:rPr>
        <w:t xml:space="preserve"> RTs in Go trials</w:t>
      </w:r>
      <w:r w:rsidR="00656512" w:rsidRPr="000217C7">
        <w:rPr>
          <w:color w:val="000000" w:themeColor="text1"/>
        </w:rPr>
        <w:t xml:space="preserve"> in the Go/No-Go trials</w:t>
      </w:r>
      <w:r w:rsidR="00C4647A" w:rsidRPr="000217C7">
        <w:rPr>
          <w:color w:val="000000" w:themeColor="text1"/>
        </w:rPr>
        <w:t xml:space="preserve"> </w:t>
      </w:r>
      <w:r w:rsidR="006C146C" w:rsidRPr="000217C7">
        <w:rPr>
          <w:color w:val="000000" w:themeColor="text1"/>
        </w:rPr>
        <w:t>as behavioral covariate</w:t>
      </w:r>
      <w:r w:rsidR="00C4647A" w:rsidRPr="000217C7">
        <w:rPr>
          <w:color w:val="000000" w:themeColor="text1"/>
        </w:rPr>
        <w:t>s</w:t>
      </w:r>
      <w:r w:rsidR="006C146C" w:rsidRPr="000217C7">
        <w:rPr>
          <w:color w:val="000000" w:themeColor="text1"/>
        </w:rPr>
        <w:t>, to assess whether a significantly different regression slope predicted GM densit</w:t>
      </w:r>
      <w:r w:rsidR="000D60B2" w:rsidRPr="000217C7">
        <w:rPr>
          <w:color w:val="000000" w:themeColor="text1"/>
        </w:rPr>
        <w:t xml:space="preserve">y in </w:t>
      </w:r>
      <w:r w:rsidR="00997D9F" w:rsidRPr="000217C7">
        <w:rPr>
          <w:color w:val="000000" w:themeColor="text1"/>
        </w:rPr>
        <w:t xml:space="preserve">the two groups, based on their </w:t>
      </w:r>
      <w:r w:rsidR="00C4647A" w:rsidRPr="000217C7">
        <w:rPr>
          <w:color w:val="000000" w:themeColor="text1"/>
        </w:rPr>
        <w:t xml:space="preserve">behavioral </w:t>
      </w:r>
      <w:r w:rsidR="00997D9F" w:rsidRPr="000217C7">
        <w:rPr>
          <w:color w:val="000000" w:themeColor="text1"/>
        </w:rPr>
        <w:t>performance</w:t>
      </w:r>
      <w:r w:rsidR="00C4647A" w:rsidRPr="000217C7">
        <w:rPr>
          <w:color w:val="000000" w:themeColor="text1"/>
        </w:rPr>
        <w:t>.</w:t>
      </w:r>
      <w:r w:rsidR="00997D9F" w:rsidRPr="000217C7">
        <w:rPr>
          <w:color w:val="000000" w:themeColor="text1"/>
        </w:rPr>
        <w:t xml:space="preserve"> </w:t>
      </w:r>
      <w:r w:rsidR="00EC5134" w:rsidRPr="000217C7">
        <w:rPr>
          <w:color w:val="000000" w:themeColor="text1"/>
        </w:rPr>
        <w:t>The</w:t>
      </w:r>
      <w:r w:rsidR="00000F1D" w:rsidRPr="000217C7">
        <w:rPr>
          <w:color w:val="000000" w:themeColor="text1"/>
        </w:rPr>
        <w:t xml:space="preserve"> regression slopes</w:t>
      </w:r>
      <w:r w:rsidR="00EC5134" w:rsidRPr="000217C7">
        <w:rPr>
          <w:color w:val="000000" w:themeColor="text1"/>
        </w:rPr>
        <w:t>’ beta values</w:t>
      </w:r>
      <w:r w:rsidR="00000F1D" w:rsidRPr="000217C7">
        <w:rPr>
          <w:color w:val="000000" w:themeColor="text1"/>
        </w:rPr>
        <w:t xml:space="preserve"> </w:t>
      </w:r>
      <w:r w:rsidR="00EC5134" w:rsidRPr="000217C7">
        <w:rPr>
          <w:color w:val="000000" w:themeColor="text1"/>
        </w:rPr>
        <w:t>were</w:t>
      </w:r>
      <w:r w:rsidR="00000F1D" w:rsidRPr="000217C7">
        <w:rPr>
          <w:color w:val="000000" w:themeColor="text1"/>
        </w:rPr>
        <w:t xml:space="preserve"> extracted using th</w:t>
      </w:r>
      <w:r w:rsidR="00EC5134" w:rsidRPr="000217C7">
        <w:rPr>
          <w:color w:val="000000" w:themeColor="text1"/>
        </w:rPr>
        <w:t xml:space="preserve">e REX </w:t>
      </w:r>
      <w:proofErr w:type="spellStart"/>
      <w:r w:rsidR="00EC5134" w:rsidRPr="000217C7">
        <w:rPr>
          <w:color w:val="000000" w:themeColor="text1"/>
        </w:rPr>
        <w:t>MatLab</w:t>
      </w:r>
      <w:proofErr w:type="spellEnd"/>
      <w:r w:rsidR="00EC5134" w:rsidRPr="000217C7">
        <w:rPr>
          <w:color w:val="000000" w:themeColor="text1"/>
        </w:rPr>
        <w:t xml:space="preserve"> toolkit </w:t>
      </w:r>
      <w:r w:rsidR="00BC2CCF" w:rsidRPr="000217C7">
        <w:rPr>
          <w:color w:val="000000" w:themeColor="text1"/>
        </w:rPr>
        <w:fldChar w:fldCharType="begin"/>
      </w:r>
      <w:r w:rsidR="003F3C87" w:rsidRPr="000217C7">
        <w:rPr>
          <w:color w:val="000000" w:themeColor="text1"/>
        </w:rPr>
        <w:instrText xml:space="preserve"> ADDIN ZOTERO_ITEM CSL_CITATION {"citationID":"upSvybxG","properties":{"formattedCitation":"(Duff et al., 2007)","plainCitation":"(Duff et al., 2007)","noteIndex":0},"citationItems":[{"id":1819,"uris":["http://zotero.org/users/local/ukz7dhIj/items/QLSQ5D6I"],"uri":["http://zotero.org/users/local/ukz7dhIj/items/QLSQ5D6I"],"itemData":{"id":1819,"type":"article-journal","abstract":"Neuroimaging technologies produce large and complex datasets. The challenge of comprehensively analysing the recorded dynamics remains an important field of research. The whole-brain linear modelling of hypothesised response dynamics and experimental effects must utilise simple basis sets, which may not detect unexpected or complex signal effects. These unmodelled effects can influence statistical mapping results, and provide important additional clues to the underlying neural dynamics. They can be detected via exploration of the raw signal, however this can be difficult. Specialised visualisation tools are required to manage the huge number of voxels, events and scans. Many effects can be occluded by noise in individual voxel time-series. This paper describes a visualisation framework developed for the assessment of entire neuroimaging datasets. While currently available tools tend to be tied to a specific model of experimental effects, this framework includes a novel metadata schema that enables the rapid selection and processing of responses based on easily-adjusted classifications of scans, brain regions, and events. Flexible event-related averaging and process pipelining capabilities enable users to investigate the effects of preprocessing algorithms and to visualise power spectra and other transformations of the data. The framework has been implemented as a MATLAB package, REX (Response Exploration), which has been utilised within our lab and is now publicly available for download. Its interface enables the real-time control of data selection and processing, for very rapid visualisation. The concepts outlined in this paper have general applicability, and could provide significant further functionality to neuroimaging databasing and process pipeline environments.","container-title":"Neuroinformatics","DOI":"10.1007/s12021-007-9001-y","ISSN":"1539-2791","issue":"4","journalAbbreviation":"Neuroinformatics","language":"eng","note":"PMID: 17985253","page":"223-234","source":"PubMed","title":"REX: response exploration for neuroimaging datasets","title-short":"REX","volume":"5","author":[{"family":"Duff","given":"Eugene P."},{"family":"Cunnington","given":"Ross"},{"family":"Egan","given":"Gary F."}],"issued":{"date-parts":[["2007"]]}}}],"schema":"https://github.com/citation-style-language/schema/raw/master/csl-citation.json"} </w:instrText>
      </w:r>
      <w:r w:rsidR="00BC2CCF" w:rsidRPr="000217C7">
        <w:rPr>
          <w:color w:val="000000" w:themeColor="text1"/>
        </w:rPr>
        <w:fldChar w:fldCharType="separate"/>
      </w:r>
      <w:r w:rsidR="00EC5134" w:rsidRPr="000217C7">
        <w:rPr>
          <w:noProof/>
          <w:color w:val="000000" w:themeColor="text1"/>
        </w:rPr>
        <w:t>(Duff et al., 2007)</w:t>
      </w:r>
      <w:r w:rsidR="00BC2CCF" w:rsidRPr="000217C7">
        <w:rPr>
          <w:color w:val="000000" w:themeColor="text1"/>
        </w:rPr>
        <w:fldChar w:fldCharType="end"/>
      </w:r>
      <w:r w:rsidR="00EC5134" w:rsidRPr="000217C7">
        <w:rPr>
          <w:color w:val="000000" w:themeColor="text1"/>
        </w:rPr>
        <w:t xml:space="preserve">. </w:t>
      </w:r>
      <w:r w:rsidR="00EC5134" w:rsidRPr="000217C7">
        <w:rPr>
          <w:color w:val="000000" w:themeColor="text1"/>
        </w:rPr>
        <w:lastRenderedPageBreak/>
        <w:t>C</w:t>
      </w:r>
      <w:r w:rsidR="00246FA1" w:rsidRPr="000217C7">
        <w:rPr>
          <w:color w:val="000000" w:themeColor="text1"/>
        </w:rPr>
        <w:t>orrection</w:t>
      </w:r>
      <w:r w:rsidR="00EC5134" w:rsidRPr="000217C7">
        <w:rPr>
          <w:color w:val="000000" w:themeColor="text1"/>
        </w:rPr>
        <w:t>s</w:t>
      </w:r>
      <w:r w:rsidR="00246FA1" w:rsidRPr="000217C7">
        <w:rPr>
          <w:color w:val="000000" w:themeColor="text1"/>
        </w:rPr>
        <w:t xml:space="preserve"> for</w:t>
      </w:r>
      <w:r w:rsidR="00BC7AA3" w:rsidRPr="000217C7">
        <w:rPr>
          <w:color w:val="000000" w:themeColor="text1"/>
        </w:rPr>
        <w:t xml:space="preserve"> </w:t>
      </w:r>
      <w:r w:rsidR="00246FA1" w:rsidRPr="000217C7">
        <w:rPr>
          <w:color w:val="000000" w:themeColor="text1"/>
        </w:rPr>
        <w:t xml:space="preserve">multiple comparisons based on </w:t>
      </w:r>
      <w:r w:rsidR="00EC5134" w:rsidRPr="000217C7">
        <w:rPr>
          <w:color w:val="000000" w:themeColor="text1"/>
        </w:rPr>
        <w:t xml:space="preserve">uncorrected </w:t>
      </w:r>
      <w:r w:rsidR="00BC1218" w:rsidRPr="000217C7">
        <w:rPr>
          <w:color w:val="000000" w:themeColor="text1"/>
        </w:rPr>
        <w:t>voxel-</w:t>
      </w:r>
      <w:r w:rsidR="00EC5134" w:rsidRPr="000217C7">
        <w:rPr>
          <w:color w:val="000000" w:themeColor="text1"/>
        </w:rPr>
        <w:t xml:space="preserve">level (alpha = 0.001) and </w:t>
      </w:r>
      <w:r w:rsidR="0063233D" w:rsidRPr="000217C7">
        <w:rPr>
          <w:color w:val="000000" w:themeColor="text1"/>
        </w:rPr>
        <w:t>Family-Wise Error Rate</w:t>
      </w:r>
      <w:r w:rsidR="00246FA1" w:rsidRPr="000217C7">
        <w:rPr>
          <w:color w:val="000000" w:themeColor="text1"/>
        </w:rPr>
        <w:t xml:space="preserve"> (F</w:t>
      </w:r>
      <w:r w:rsidR="0063233D" w:rsidRPr="000217C7">
        <w:rPr>
          <w:color w:val="000000" w:themeColor="text1"/>
        </w:rPr>
        <w:t>WE</w:t>
      </w:r>
      <w:r w:rsidR="00246FA1" w:rsidRPr="000217C7">
        <w:rPr>
          <w:color w:val="000000" w:themeColor="text1"/>
        </w:rPr>
        <w:t>)</w:t>
      </w:r>
      <w:r w:rsidR="009E72B0" w:rsidRPr="000217C7">
        <w:rPr>
          <w:color w:val="000000" w:themeColor="text1"/>
        </w:rPr>
        <w:t xml:space="preserve"> at a cluster level</w:t>
      </w:r>
      <w:r w:rsidR="00246FA1" w:rsidRPr="000217C7">
        <w:rPr>
          <w:color w:val="000000" w:themeColor="text1"/>
        </w:rPr>
        <w:t xml:space="preserve"> </w:t>
      </w:r>
      <w:r w:rsidR="00EC5134" w:rsidRPr="000217C7">
        <w:rPr>
          <w:color w:val="000000" w:themeColor="text1"/>
        </w:rPr>
        <w:t xml:space="preserve">(alpha = 0.05) </w:t>
      </w:r>
      <w:r w:rsidR="00E86B1A" w:rsidRPr="000217C7">
        <w:rPr>
          <w:color w:val="000000" w:themeColor="text1"/>
        </w:rPr>
        <w:t>were</w:t>
      </w:r>
      <w:r w:rsidR="00246FA1" w:rsidRPr="000217C7">
        <w:rPr>
          <w:color w:val="000000" w:themeColor="text1"/>
        </w:rPr>
        <w:t xml:space="preserve"> applied to all regressions.</w:t>
      </w:r>
    </w:p>
    <w:p w14:paraId="5506099B" w14:textId="77777777" w:rsidR="00D90B87" w:rsidRPr="000217C7" w:rsidRDefault="00360F1F" w:rsidP="00627ED5">
      <w:pPr>
        <w:pStyle w:val="Heading3"/>
      </w:pPr>
      <w:r w:rsidRPr="000217C7">
        <w:t xml:space="preserve">2.3.3 </w:t>
      </w:r>
      <w:r w:rsidR="009F0B5F" w:rsidRPr="000217C7">
        <w:t>Resting State Analyses</w:t>
      </w:r>
    </w:p>
    <w:p w14:paraId="63AB52B4" w14:textId="42C680D3" w:rsidR="001F1C55" w:rsidRPr="000217C7" w:rsidRDefault="00EB4267" w:rsidP="001F1C55">
      <w:pPr>
        <w:rPr>
          <w:color w:val="000000" w:themeColor="text1"/>
        </w:rPr>
      </w:pPr>
      <w:r w:rsidRPr="000217C7">
        <w:rPr>
          <w:color w:val="000000" w:themeColor="text1"/>
        </w:rPr>
        <w:t xml:space="preserve">The </w:t>
      </w:r>
      <w:r w:rsidR="002306CC" w:rsidRPr="000217C7">
        <w:rPr>
          <w:color w:val="000000" w:themeColor="text1"/>
        </w:rPr>
        <w:t>resting-</w:t>
      </w:r>
      <w:r w:rsidRPr="000217C7">
        <w:rPr>
          <w:color w:val="000000" w:themeColor="text1"/>
        </w:rPr>
        <w:t xml:space="preserve">state analyses aimed at establishing whether the regions with altered GM density also showed connectivity patterns that correlated with participants’ BMI and task performance. </w:t>
      </w:r>
      <w:r w:rsidR="00D90B87" w:rsidRPr="000217C7">
        <w:rPr>
          <w:color w:val="000000" w:themeColor="text1"/>
        </w:rPr>
        <w:t xml:space="preserve">The peaks of </w:t>
      </w:r>
      <w:r w:rsidR="008B56EB" w:rsidRPr="000217C7">
        <w:rPr>
          <w:color w:val="000000" w:themeColor="text1"/>
        </w:rPr>
        <w:t>each resulting cluster</w:t>
      </w:r>
      <w:r w:rsidR="00D90B87" w:rsidRPr="000217C7">
        <w:rPr>
          <w:color w:val="000000" w:themeColor="text1"/>
        </w:rPr>
        <w:t xml:space="preserve"> of the VBM analys</w:t>
      </w:r>
      <w:r w:rsidR="008B56EB" w:rsidRPr="000217C7">
        <w:rPr>
          <w:color w:val="000000" w:themeColor="text1"/>
        </w:rPr>
        <w:t>e</w:t>
      </w:r>
      <w:r w:rsidR="00D90B87" w:rsidRPr="000217C7">
        <w:rPr>
          <w:color w:val="000000" w:themeColor="text1"/>
        </w:rPr>
        <w:t xml:space="preserve">s were used as </w:t>
      </w:r>
      <w:r w:rsidR="00541CA3" w:rsidRPr="000217C7">
        <w:rPr>
          <w:color w:val="000000" w:themeColor="text1"/>
        </w:rPr>
        <w:t>s</w:t>
      </w:r>
      <w:r w:rsidR="00D90B87" w:rsidRPr="000217C7">
        <w:rPr>
          <w:color w:val="000000" w:themeColor="text1"/>
        </w:rPr>
        <w:t>eed</w:t>
      </w:r>
      <w:r w:rsidR="00541CA3" w:rsidRPr="000217C7">
        <w:rPr>
          <w:color w:val="000000" w:themeColor="text1"/>
        </w:rPr>
        <w:t>s</w:t>
      </w:r>
      <w:r w:rsidR="00D90B87" w:rsidRPr="000217C7">
        <w:rPr>
          <w:color w:val="000000" w:themeColor="text1"/>
        </w:rPr>
        <w:t xml:space="preserve"> </w:t>
      </w:r>
      <w:r w:rsidR="008B56EB" w:rsidRPr="000217C7">
        <w:rPr>
          <w:color w:val="000000" w:themeColor="text1"/>
        </w:rPr>
        <w:t>for</w:t>
      </w:r>
      <w:r w:rsidR="00D90B87" w:rsidRPr="000217C7">
        <w:rPr>
          <w:color w:val="000000" w:themeColor="text1"/>
        </w:rPr>
        <w:t xml:space="preserve"> Seed-to-Voxel connectivity </w:t>
      </w:r>
      <w:r w:rsidR="00627ED5" w:rsidRPr="000217C7">
        <w:rPr>
          <w:color w:val="000000" w:themeColor="text1"/>
        </w:rPr>
        <w:t>a</w:t>
      </w:r>
      <w:r w:rsidR="00D90B87" w:rsidRPr="000217C7">
        <w:rPr>
          <w:color w:val="000000" w:themeColor="text1"/>
        </w:rPr>
        <w:t>nalyses.</w:t>
      </w:r>
      <w:r w:rsidR="0077654E" w:rsidRPr="000217C7">
        <w:rPr>
          <w:color w:val="000000" w:themeColor="text1"/>
        </w:rPr>
        <w:t xml:space="preserve"> </w:t>
      </w:r>
      <w:r w:rsidR="00927DB4" w:rsidRPr="000217C7">
        <w:rPr>
          <w:color w:val="000000" w:themeColor="text1"/>
        </w:rPr>
        <w:t xml:space="preserve">Custom spherical ROIs </w:t>
      </w:r>
      <w:r w:rsidR="005A03F0" w:rsidRPr="000217C7">
        <w:rPr>
          <w:color w:val="000000" w:themeColor="text1"/>
        </w:rPr>
        <w:t xml:space="preserve">with a radius of 8mm </w:t>
      </w:r>
      <w:r w:rsidR="00927DB4" w:rsidRPr="000217C7">
        <w:rPr>
          <w:color w:val="000000" w:themeColor="text1"/>
        </w:rPr>
        <w:t>were created</w:t>
      </w:r>
      <w:r w:rsidR="00541CA3" w:rsidRPr="000217C7">
        <w:rPr>
          <w:color w:val="000000" w:themeColor="text1"/>
        </w:rPr>
        <w:t xml:space="preserve"> centered on each peak </w:t>
      </w:r>
      <w:r w:rsidR="00927DB4" w:rsidRPr="000217C7">
        <w:rPr>
          <w:color w:val="000000" w:themeColor="text1"/>
        </w:rPr>
        <w:t xml:space="preserve">using the </w:t>
      </w:r>
      <w:proofErr w:type="spellStart"/>
      <w:r w:rsidR="00927DB4" w:rsidRPr="000217C7">
        <w:rPr>
          <w:color w:val="000000" w:themeColor="text1"/>
        </w:rPr>
        <w:t>MarsBa</w:t>
      </w:r>
      <w:r w:rsidR="005A03F0" w:rsidRPr="000217C7">
        <w:rPr>
          <w:color w:val="000000" w:themeColor="text1"/>
        </w:rPr>
        <w:t>R</w:t>
      </w:r>
      <w:proofErr w:type="spellEnd"/>
      <w:r w:rsidR="00927DB4" w:rsidRPr="000217C7">
        <w:rPr>
          <w:color w:val="000000" w:themeColor="text1"/>
        </w:rPr>
        <w:t xml:space="preserve"> toolbox in </w:t>
      </w:r>
      <w:proofErr w:type="spellStart"/>
      <w:r w:rsidR="00927DB4" w:rsidRPr="000217C7">
        <w:rPr>
          <w:color w:val="000000" w:themeColor="text1"/>
        </w:rPr>
        <w:t>Matlab</w:t>
      </w:r>
      <w:proofErr w:type="spellEnd"/>
      <w:r w:rsidR="005A03F0" w:rsidRPr="000217C7">
        <w:rPr>
          <w:color w:val="000000" w:themeColor="text1"/>
        </w:rPr>
        <w:t xml:space="preserve"> </w:t>
      </w:r>
      <w:r w:rsidR="00BC2CCF" w:rsidRPr="000217C7">
        <w:rPr>
          <w:color w:val="000000" w:themeColor="text1"/>
        </w:rPr>
        <w:fldChar w:fldCharType="begin"/>
      </w:r>
      <w:r w:rsidR="003F3C87" w:rsidRPr="000217C7">
        <w:rPr>
          <w:color w:val="000000" w:themeColor="text1"/>
        </w:rPr>
        <w:instrText xml:space="preserve"> ADDIN ZOTERO_ITEM CSL_CITATION {"citationID":"6Z8FtHRE","properties":{"formattedCitation":"(MARSeille Bo\\uc0\\u238{}te \\uc0\\u192{} R\\uc0\\u233{}gion d\\uc0\\u8217{}Int\\uc0\\u233{}r\\uc0\\u234{}t, Brett et al., 2002)","plainCitation":"(MARSeille Boîte À Région d’Intérêt, Brett et al., 2002)","noteIndex":0},"citationItems":[{"id":1818,"uris":["http://zotero.org/users/local/ukz7dhIj/items/W2YWZVY3"],"uri":["http://zotero.org/users/local/ukz7dhIj/items/W2YWZVY3"],"itemData":{"id":1818,"type":"paper-conference","event":"8th International Conference on Functional Mapping of the Human Brain","event-place":"Sendau, Japan","publisher":"NeuroImage","publisher-place":"Sendau, Japan","title":"Region of interest analysis using an SPM toolbox","URL":"http://marsbar.sourceforge.net/index.html","volume":"16-2","author":[{"family":"Brett","given":"Matthew"},{"family":"Anton","given":"Jean-Luc"},{"family":"Valabregue","given":"Romain"},{"family":"Poline","given":"Jean-Baptiste"}],"issued":{"date-parts":[["2002",6,2]]}},"prefix":"MARSeille Boîte À Région d’Intérêt, "}],"schema":"https://github.com/citation-style-language/schema/raw/master/csl-citation.json"} </w:instrText>
      </w:r>
      <w:r w:rsidR="00BC2CCF" w:rsidRPr="000217C7">
        <w:rPr>
          <w:color w:val="000000" w:themeColor="text1"/>
        </w:rPr>
        <w:fldChar w:fldCharType="separate"/>
      </w:r>
      <w:r w:rsidR="005A03F0" w:rsidRPr="000217C7">
        <w:rPr>
          <w:rFonts w:cs="Times New Roman"/>
          <w:color w:val="000000" w:themeColor="text1"/>
        </w:rPr>
        <w:t>(MARSeille Boîte À Région d’Intérêt, Brett</w:t>
      </w:r>
      <w:r w:rsidR="00D1361E" w:rsidRPr="000217C7">
        <w:rPr>
          <w:rFonts w:cs="Times New Roman"/>
          <w:color w:val="000000" w:themeColor="text1"/>
        </w:rPr>
        <w:t>,</w:t>
      </w:r>
      <w:r w:rsidR="005A03F0" w:rsidRPr="000217C7">
        <w:rPr>
          <w:rFonts w:cs="Times New Roman"/>
          <w:color w:val="000000" w:themeColor="text1"/>
        </w:rPr>
        <w:t xml:space="preserve"> et al., 2002)</w:t>
      </w:r>
      <w:r w:rsidR="00BC2CCF" w:rsidRPr="000217C7">
        <w:rPr>
          <w:color w:val="000000" w:themeColor="text1"/>
        </w:rPr>
        <w:fldChar w:fldCharType="end"/>
      </w:r>
      <w:r w:rsidR="00541CA3" w:rsidRPr="000217C7">
        <w:rPr>
          <w:color w:val="000000" w:themeColor="text1"/>
        </w:rPr>
        <w:t xml:space="preserve">. </w:t>
      </w:r>
      <w:r w:rsidR="000E7449" w:rsidRPr="000217C7">
        <w:rPr>
          <w:color w:val="000000" w:themeColor="text1"/>
        </w:rPr>
        <w:t>The behavioral variables that had led to the identification of each peak were used as regressor</w:t>
      </w:r>
      <w:r w:rsidR="0001735A" w:rsidRPr="000217C7">
        <w:rPr>
          <w:color w:val="000000" w:themeColor="text1"/>
        </w:rPr>
        <w:t>s</w:t>
      </w:r>
      <w:r w:rsidR="000E7449" w:rsidRPr="000217C7">
        <w:rPr>
          <w:color w:val="000000" w:themeColor="text1"/>
        </w:rPr>
        <w:t xml:space="preserve"> in the corresponding ROI connectivity analys</w:t>
      </w:r>
      <w:r w:rsidR="008B56EB" w:rsidRPr="000217C7">
        <w:rPr>
          <w:color w:val="000000" w:themeColor="text1"/>
        </w:rPr>
        <w:t>e</w:t>
      </w:r>
      <w:r w:rsidR="000E7449" w:rsidRPr="000217C7">
        <w:rPr>
          <w:color w:val="000000" w:themeColor="text1"/>
        </w:rPr>
        <w:t>s.</w:t>
      </w:r>
      <w:r w:rsidR="00F57D9F" w:rsidRPr="000217C7">
        <w:rPr>
          <w:color w:val="000000" w:themeColor="text1"/>
        </w:rPr>
        <w:t xml:space="preserve"> Therefore, for example, </w:t>
      </w:r>
      <w:r w:rsidR="00ED64CD" w:rsidRPr="000217C7">
        <w:rPr>
          <w:color w:val="000000" w:themeColor="text1"/>
        </w:rPr>
        <w:t xml:space="preserve">participants’ performance </w:t>
      </w:r>
      <w:r w:rsidR="002A0A70" w:rsidRPr="000217C7">
        <w:rPr>
          <w:color w:val="000000" w:themeColor="text1"/>
        </w:rPr>
        <w:t xml:space="preserve">on </w:t>
      </w:r>
      <w:r w:rsidR="00ED64CD" w:rsidRPr="000217C7">
        <w:rPr>
          <w:color w:val="000000" w:themeColor="text1"/>
        </w:rPr>
        <w:t xml:space="preserve">the bCFS </w:t>
      </w:r>
      <w:r w:rsidR="00020F2C" w:rsidRPr="000217C7">
        <w:rPr>
          <w:color w:val="000000" w:themeColor="text1"/>
        </w:rPr>
        <w:t>task</w:t>
      </w:r>
      <w:r w:rsidR="00661B8D" w:rsidRPr="000217C7">
        <w:rPr>
          <w:color w:val="000000" w:themeColor="text1"/>
        </w:rPr>
        <w:t xml:space="preserve"> </w:t>
      </w:r>
      <w:r w:rsidR="00ED64CD" w:rsidRPr="000217C7">
        <w:rPr>
          <w:color w:val="000000" w:themeColor="text1"/>
        </w:rPr>
        <w:t xml:space="preserve">was used as a regressor in the analysis of the connectivity of the ROIs </w:t>
      </w:r>
      <w:r w:rsidR="008B56EB" w:rsidRPr="000217C7">
        <w:rPr>
          <w:color w:val="000000" w:themeColor="text1"/>
        </w:rPr>
        <w:t>derived from the VBM</w:t>
      </w:r>
      <w:r w:rsidR="00ED64CD" w:rsidRPr="000217C7">
        <w:rPr>
          <w:color w:val="000000" w:themeColor="text1"/>
        </w:rPr>
        <w:t xml:space="preserve"> on the bCFS </w:t>
      </w:r>
      <w:r w:rsidR="00020F2C" w:rsidRPr="000217C7">
        <w:rPr>
          <w:color w:val="000000" w:themeColor="text1"/>
        </w:rPr>
        <w:t>task</w:t>
      </w:r>
      <w:r w:rsidR="00ED64CD" w:rsidRPr="000217C7">
        <w:rPr>
          <w:color w:val="000000" w:themeColor="text1"/>
        </w:rPr>
        <w:t>.</w:t>
      </w:r>
      <w:r w:rsidR="00FB439C" w:rsidRPr="000217C7">
        <w:rPr>
          <w:color w:val="000000" w:themeColor="text1"/>
        </w:rPr>
        <w:t xml:space="preserve"> </w:t>
      </w:r>
      <w:r w:rsidR="00000F1D" w:rsidRPr="000217C7">
        <w:rPr>
          <w:color w:val="000000" w:themeColor="text1"/>
        </w:rPr>
        <w:t>Following the same approach</w:t>
      </w:r>
      <w:r w:rsidR="00FB439C" w:rsidRPr="000217C7">
        <w:rPr>
          <w:color w:val="000000" w:themeColor="text1"/>
        </w:rPr>
        <w:t xml:space="preserve">, </w:t>
      </w:r>
      <w:r w:rsidR="00000F1D" w:rsidRPr="000217C7">
        <w:rPr>
          <w:color w:val="000000" w:themeColor="text1"/>
        </w:rPr>
        <w:t xml:space="preserve">the peaks resulting in the VBM analysis whose regression slope, based on participants’ performance in the bCFS </w:t>
      </w:r>
      <w:r w:rsidR="00020F2C" w:rsidRPr="000217C7">
        <w:rPr>
          <w:color w:val="000000" w:themeColor="text1"/>
        </w:rPr>
        <w:t>task</w:t>
      </w:r>
      <w:r w:rsidR="00000F1D" w:rsidRPr="000217C7">
        <w:rPr>
          <w:color w:val="000000" w:themeColor="text1"/>
        </w:rPr>
        <w:t xml:space="preserve">, significantly differed in the two groups were used as seeds in the Seed-to-voxel analysis of the difference in connectivity between high- and low-BMI groups, as predicted by participants’ performance at the bCFS </w:t>
      </w:r>
      <w:r w:rsidR="00020F2C" w:rsidRPr="000217C7">
        <w:rPr>
          <w:color w:val="000000" w:themeColor="text1"/>
        </w:rPr>
        <w:t>task</w:t>
      </w:r>
      <w:r w:rsidR="00000F1D" w:rsidRPr="000217C7">
        <w:rPr>
          <w:color w:val="000000" w:themeColor="text1"/>
        </w:rPr>
        <w:t>.</w:t>
      </w:r>
      <w:r w:rsidR="0064797D" w:rsidRPr="000217C7">
        <w:rPr>
          <w:color w:val="000000" w:themeColor="text1"/>
        </w:rPr>
        <w:t xml:space="preserve"> The same was done for ROIs resulting in the VBM analysis of Go/No-Go task performance.</w:t>
      </w:r>
      <w:r w:rsidR="00EC5134" w:rsidRPr="000217C7">
        <w:rPr>
          <w:color w:val="000000" w:themeColor="text1"/>
        </w:rPr>
        <w:t xml:space="preserve"> Beta values of the regression slopes were calculated using the REX </w:t>
      </w:r>
      <w:proofErr w:type="spellStart"/>
      <w:r w:rsidR="00EC5134" w:rsidRPr="000217C7">
        <w:rPr>
          <w:color w:val="000000" w:themeColor="text1"/>
        </w:rPr>
        <w:t>MatLab</w:t>
      </w:r>
      <w:proofErr w:type="spellEnd"/>
      <w:r w:rsidR="00EC5134" w:rsidRPr="000217C7">
        <w:rPr>
          <w:color w:val="000000" w:themeColor="text1"/>
        </w:rPr>
        <w:t xml:space="preserve"> toolkit </w:t>
      </w:r>
      <w:r w:rsidR="00BC2CCF" w:rsidRPr="000217C7">
        <w:rPr>
          <w:color w:val="000000" w:themeColor="text1"/>
        </w:rPr>
        <w:fldChar w:fldCharType="begin"/>
      </w:r>
      <w:r w:rsidR="003F3C87" w:rsidRPr="000217C7">
        <w:rPr>
          <w:color w:val="000000" w:themeColor="text1"/>
        </w:rPr>
        <w:instrText xml:space="preserve"> ADDIN ZOTERO_ITEM CSL_CITATION {"citationID":"BtgzS2Dl","properties":{"formattedCitation":"(Duff et al., 2007)","plainCitation":"(Duff et al., 2007)","noteIndex":0},"citationItems":[{"id":1819,"uris":["http://zotero.org/users/local/ukz7dhIj/items/QLSQ5D6I"],"uri":["http://zotero.org/users/local/ukz7dhIj/items/QLSQ5D6I"],"itemData":{"id":1819,"type":"article-journal","abstract":"Neuroimaging technologies produce large and complex datasets. The challenge of comprehensively analysing the recorded dynamics remains an important field of research. The whole-brain linear modelling of hypothesised response dynamics and experimental effects must utilise simple basis sets, which may not detect unexpected or complex signal effects. These unmodelled effects can influence statistical mapping results, and provide important additional clues to the underlying neural dynamics. They can be detected via exploration of the raw signal, however this can be difficult. Specialised visualisation tools are required to manage the huge number of voxels, events and scans. Many effects can be occluded by noise in individual voxel time-series. This paper describes a visualisation framework developed for the assessment of entire neuroimaging datasets. While currently available tools tend to be tied to a specific model of experimental effects, this framework includes a novel metadata schema that enables the rapid selection and processing of responses based on easily-adjusted classifications of scans, brain regions, and events. Flexible event-related averaging and process pipelining capabilities enable users to investigate the effects of preprocessing algorithms and to visualise power spectra and other transformations of the data. The framework has been implemented as a MATLAB package, REX (Response Exploration), which has been utilised within our lab and is now publicly available for download. Its interface enables the real-time control of data selection and processing, for very rapid visualisation. The concepts outlined in this paper have general applicability, and could provide significant further functionality to neuroimaging databasing and process pipeline environments.","container-title":"Neuroinformatics","DOI":"10.1007/s12021-007-9001-y","ISSN":"1539-2791","issue":"4","journalAbbreviation":"Neuroinformatics","language":"eng","note":"PMID: 17985253","page":"223-234","source":"PubMed","title":"REX: response exploration for neuroimaging datasets","title-short":"REX","volume":"5","author":[{"family":"Duff","given":"Eugene P."},{"family":"Cunnington","given":"Ross"},{"family":"Egan","given":"Gary F."}],"issued":{"date-parts":[["2007"]]}}}],"schema":"https://github.com/citation-style-language/schema/raw/master/csl-citation.json"} </w:instrText>
      </w:r>
      <w:r w:rsidR="00BC2CCF" w:rsidRPr="000217C7">
        <w:rPr>
          <w:color w:val="000000" w:themeColor="text1"/>
        </w:rPr>
        <w:fldChar w:fldCharType="separate"/>
      </w:r>
      <w:r w:rsidR="00911F1E" w:rsidRPr="000217C7">
        <w:rPr>
          <w:noProof/>
          <w:color w:val="000000" w:themeColor="text1"/>
        </w:rPr>
        <w:t>(Duff et al., 2007)</w:t>
      </w:r>
      <w:r w:rsidR="00BC2CCF" w:rsidRPr="000217C7">
        <w:rPr>
          <w:color w:val="000000" w:themeColor="text1"/>
        </w:rPr>
        <w:fldChar w:fldCharType="end"/>
      </w:r>
      <w:r w:rsidR="0001735A" w:rsidRPr="000217C7">
        <w:rPr>
          <w:color w:val="000000" w:themeColor="text1"/>
        </w:rPr>
        <w:t>,</w:t>
      </w:r>
      <w:r w:rsidR="00E86B1A" w:rsidRPr="000217C7">
        <w:rPr>
          <w:color w:val="000000" w:themeColor="text1"/>
        </w:rPr>
        <w:t xml:space="preserve"> and correction for multiple comparisons was applied to all regressions (uncorrected peak level alpha = 0.001, cluster level FDR alpha = 0.05).</w:t>
      </w:r>
      <w:r w:rsidR="00640315" w:rsidRPr="000217C7">
        <w:rPr>
          <w:color w:val="000000" w:themeColor="text1"/>
        </w:rPr>
        <w:t xml:space="preserve"> </w:t>
      </w:r>
      <w:r w:rsidR="00995B60" w:rsidRPr="000217C7">
        <w:rPr>
          <w:color w:val="000000" w:themeColor="text1"/>
        </w:rPr>
        <w:t xml:space="preserve">All analyses included age and gender as covariates of no interest, as done in previous works </w:t>
      </w:r>
      <w:r w:rsidR="00BC2CCF" w:rsidRPr="000217C7">
        <w:rPr>
          <w:color w:val="000000" w:themeColor="text1"/>
        </w:rPr>
        <w:fldChar w:fldCharType="begin"/>
      </w:r>
      <w:r w:rsidR="003F3C87" w:rsidRPr="000217C7">
        <w:rPr>
          <w:color w:val="000000" w:themeColor="text1"/>
        </w:rPr>
        <w:instrText xml:space="preserve"> ADDIN ZOTERO_ITEM CSL_CITATION {"citationID":"zQCLT8JF","properties":{"formattedCitation":"(see e.g. Smith et al., 2017)","plainCitation":"(see e.g. Smith et al., 2017)","noteIndex":0},"citationItems":[{"id":1809,"uris":["http://zotero.org/users/local/ukz7dhIj/items/XEKL9JM9"],"uri":["http://zotero.org/users/local/ukz7dhIj/items/XEKL9JM9"],"itemData":{"id":1809,"type":"article-journal","abstract":"Multiple neuroimaging studies have now linked emotional awareness (EA), as measured by the Levels of Emotional Awareness Scale (LEAS), with activation in regions of neural networks associated with both conceptualization (i.e., default mode network [DMN] regions) and interoception (i.e., salience network [SN] regions) – consistent with the definition of EA as one's ability to appropriately recognize, conceptualize, and articulate the emotions of self and other in fine-grained, differentiated ways. However, no study has yet tested the hypothesis that greater LEAS scores are associated with greater resting state functional connectivity (FC) within these networks. Twenty-six adults (13 female) underwent resting state functional magnetic resonance imaging, and also completed the LEAS. Using pre-defined functional ROIs from the DMN and SN, we observed that LEAS scores were significantly positively correlated with FC between several regions of both of these networks, even when controlling for differences in general intelligence (IQ). These results suggest that higher EA may be associated with more efficient information exchange between brain regions involved in both interoception- and conceptualization-based processing, which could plausibly contribute to more differentiated bodily feelings and more fine-grained conceptualization of those feelings.","container-title":"NeuroImage","DOI":"10.1016/j.neuroimage.2017.07.044","ISSN":"1053-8119","journalAbbreviation":"NeuroImage","page":"99-106","source":"ScienceDirect","title":"Resting state functional connectivity correlates of emotional awareness","volume":"159","author":[{"family":"Smith","given":"Ryan"},{"family":"Alkozei","given":"Anna"},{"family":"Bao","given":"Jennifer"},{"family":"Smith","given":"Courtney"},{"family":"Lane","given":"Richard D."},{"family":"Killgore","given":"William D. S."}],"issued":{"date-parts":[["2017",10,1]]}},"prefix":"see e.g. "}],"schema":"https://github.com/citation-style-language/schema/raw/master/csl-citation.json"} </w:instrText>
      </w:r>
      <w:r w:rsidR="00BC2CCF" w:rsidRPr="000217C7">
        <w:rPr>
          <w:color w:val="000000" w:themeColor="text1"/>
        </w:rPr>
        <w:fldChar w:fldCharType="separate"/>
      </w:r>
      <w:r w:rsidR="00C568B6" w:rsidRPr="000217C7">
        <w:rPr>
          <w:noProof/>
          <w:color w:val="000000" w:themeColor="text1"/>
        </w:rPr>
        <w:t>(see e.g. Smith et al., 2017)</w:t>
      </w:r>
      <w:r w:rsidR="00BC2CCF" w:rsidRPr="000217C7">
        <w:rPr>
          <w:color w:val="000000" w:themeColor="text1"/>
        </w:rPr>
        <w:fldChar w:fldCharType="end"/>
      </w:r>
      <w:r w:rsidR="00640315" w:rsidRPr="000217C7">
        <w:rPr>
          <w:color w:val="000000" w:themeColor="text1"/>
        </w:rPr>
        <w:t>.</w:t>
      </w:r>
    </w:p>
    <w:p w14:paraId="3E90A399" w14:textId="77777777" w:rsidR="001F1C55" w:rsidRPr="000217C7" w:rsidRDefault="001F1C55" w:rsidP="001F1C55">
      <w:pPr>
        <w:rPr>
          <w:color w:val="000000" w:themeColor="text1"/>
        </w:rPr>
      </w:pPr>
      <w:r w:rsidRPr="000217C7">
        <w:rPr>
          <w:color w:val="000000" w:themeColor="text1"/>
        </w:rPr>
        <w:t xml:space="preserve">All images were produced using </w:t>
      </w:r>
      <w:proofErr w:type="spellStart"/>
      <w:r w:rsidRPr="000217C7">
        <w:rPr>
          <w:color w:val="000000" w:themeColor="text1"/>
        </w:rPr>
        <w:t>MRIcron</w:t>
      </w:r>
      <w:proofErr w:type="spellEnd"/>
      <w:r w:rsidRPr="000217C7">
        <w:rPr>
          <w:color w:val="000000" w:themeColor="text1"/>
        </w:rPr>
        <w:t xml:space="preserve"> software (</w:t>
      </w:r>
      <w:hyperlink r:id="rId13" w:tooltip="http://www.nitrc.org" w:history="1">
        <w:r w:rsidRPr="000217C7">
          <w:rPr>
            <w:rStyle w:val="Hyperlink"/>
            <w:color w:val="000000" w:themeColor="text1"/>
          </w:rPr>
          <w:t>www.nitrc.org</w:t>
        </w:r>
      </w:hyperlink>
      <w:r w:rsidRPr="000217C7">
        <w:rPr>
          <w:color w:val="000000" w:themeColor="text1"/>
        </w:rPr>
        <w:t>).</w:t>
      </w:r>
    </w:p>
    <w:p w14:paraId="7DCE06FC" w14:textId="77777777" w:rsidR="00BC715E" w:rsidRPr="000217C7" w:rsidRDefault="00360F1F" w:rsidP="003705CB">
      <w:pPr>
        <w:pStyle w:val="Heading1"/>
      </w:pPr>
      <w:bookmarkStart w:id="17" w:name="_Toc528590105"/>
      <w:r w:rsidRPr="000217C7">
        <w:t xml:space="preserve">3 - </w:t>
      </w:r>
      <w:r w:rsidR="00BC715E" w:rsidRPr="000217C7">
        <w:t>Results</w:t>
      </w:r>
      <w:bookmarkEnd w:id="17"/>
    </w:p>
    <w:p w14:paraId="63EEEB3B" w14:textId="77777777" w:rsidR="0002738A" w:rsidRPr="000217C7" w:rsidRDefault="00360F1F" w:rsidP="0002738A">
      <w:pPr>
        <w:pStyle w:val="Heading2"/>
      </w:pPr>
      <w:bookmarkStart w:id="18" w:name="_Toc528590107"/>
      <w:bookmarkStart w:id="19" w:name="_Toc528590106"/>
      <w:bookmarkStart w:id="20" w:name="_Ref10822861"/>
      <w:r w:rsidRPr="000217C7">
        <w:t xml:space="preserve">3.1 </w:t>
      </w:r>
      <w:r w:rsidR="0002738A" w:rsidRPr="000217C7">
        <w:t>bCFS and NoCFS task</w:t>
      </w:r>
      <w:bookmarkEnd w:id="18"/>
    </w:p>
    <w:p w14:paraId="5FC30FAC" w14:textId="77777777" w:rsidR="00BC715E" w:rsidRPr="000217C7" w:rsidRDefault="00360F1F" w:rsidP="0002738A">
      <w:pPr>
        <w:pStyle w:val="Heading3"/>
      </w:pPr>
      <w:r w:rsidRPr="000217C7">
        <w:t xml:space="preserve">3.1.1 </w:t>
      </w:r>
      <w:r w:rsidR="00BC715E" w:rsidRPr="000217C7">
        <w:t xml:space="preserve">Behavioral </w:t>
      </w:r>
      <w:r w:rsidR="00171E18" w:rsidRPr="000217C7">
        <w:t>results</w:t>
      </w:r>
      <w:bookmarkEnd w:id="19"/>
      <w:bookmarkEnd w:id="20"/>
    </w:p>
    <w:p w14:paraId="593D2023" w14:textId="22A802CF" w:rsidR="00825EF4" w:rsidRPr="000217C7" w:rsidRDefault="004975BF" w:rsidP="00F74A5A">
      <w:pPr>
        <w:rPr>
          <w:color w:val="000000" w:themeColor="text1"/>
        </w:rPr>
      </w:pPr>
      <w:r w:rsidRPr="000217C7">
        <w:rPr>
          <w:color w:val="000000" w:themeColor="text1"/>
        </w:rPr>
        <w:t>The linear mixed model on the RTs yielded a good fit to the data,</w:t>
      </w:r>
      <w:r w:rsidR="002E35F4" w:rsidRPr="000217C7">
        <w:rPr>
          <w:color w:val="000000" w:themeColor="text1"/>
        </w:rPr>
        <w:t xml:space="preserve"> </w:t>
      </w:r>
      <w:r w:rsidRPr="000217C7">
        <w:rPr>
          <w:color w:val="000000" w:themeColor="text1"/>
        </w:rPr>
        <w:t>explaining 7</w:t>
      </w:r>
      <w:r w:rsidR="00741ECC" w:rsidRPr="000217C7">
        <w:rPr>
          <w:color w:val="000000" w:themeColor="text1"/>
        </w:rPr>
        <w:t>1</w:t>
      </w:r>
      <w:r w:rsidRPr="000217C7">
        <w:rPr>
          <w:color w:val="000000" w:themeColor="text1"/>
        </w:rPr>
        <w:t>% of the data variance (marginal R</w:t>
      </w:r>
      <w:r w:rsidRPr="000217C7">
        <w:rPr>
          <w:color w:val="000000" w:themeColor="text1"/>
          <w:vertAlign w:val="superscript"/>
        </w:rPr>
        <w:t>2</w:t>
      </w:r>
      <w:r w:rsidRPr="000217C7">
        <w:rPr>
          <w:color w:val="000000" w:themeColor="text1"/>
        </w:rPr>
        <w:t xml:space="preserve"> = 0.6</w:t>
      </w:r>
      <w:r w:rsidR="00741ECC" w:rsidRPr="000217C7">
        <w:rPr>
          <w:color w:val="000000" w:themeColor="text1"/>
        </w:rPr>
        <w:t>4</w:t>
      </w:r>
      <w:r w:rsidRPr="000217C7">
        <w:rPr>
          <w:color w:val="000000" w:themeColor="text1"/>
        </w:rPr>
        <w:t>, conditional R</w:t>
      </w:r>
      <w:r w:rsidRPr="000217C7">
        <w:rPr>
          <w:color w:val="000000" w:themeColor="text1"/>
          <w:vertAlign w:val="superscript"/>
        </w:rPr>
        <w:t>2</w:t>
      </w:r>
      <w:r w:rsidRPr="000217C7">
        <w:rPr>
          <w:color w:val="000000" w:themeColor="text1"/>
        </w:rPr>
        <w:t xml:space="preserve"> = </w:t>
      </w:r>
      <w:r w:rsidR="00A94CBF" w:rsidRPr="000217C7">
        <w:rPr>
          <w:color w:val="000000" w:themeColor="text1"/>
        </w:rPr>
        <w:t>0.</w:t>
      </w:r>
      <w:r w:rsidRPr="000217C7">
        <w:rPr>
          <w:color w:val="000000" w:themeColor="text1"/>
        </w:rPr>
        <w:t>7</w:t>
      </w:r>
      <w:r w:rsidR="00741ECC" w:rsidRPr="000217C7">
        <w:rPr>
          <w:color w:val="000000" w:themeColor="text1"/>
        </w:rPr>
        <w:t>1</w:t>
      </w:r>
      <w:r w:rsidRPr="000217C7">
        <w:rPr>
          <w:color w:val="000000" w:themeColor="text1"/>
        </w:rPr>
        <w:t>).</w:t>
      </w:r>
      <w:r w:rsidR="00F00777" w:rsidRPr="000217C7">
        <w:rPr>
          <w:color w:val="000000" w:themeColor="text1"/>
        </w:rPr>
        <w:t xml:space="preserve"> </w:t>
      </w:r>
      <w:r w:rsidR="00AF609A" w:rsidRPr="000217C7">
        <w:rPr>
          <w:color w:val="000000" w:themeColor="text1"/>
        </w:rPr>
        <w:t xml:space="preserve">Collinearity between factors was calculated </w:t>
      </w:r>
      <w:r w:rsidR="00AF609A" w:rsidRPr="000217C7">
        <w:rPr>
          <w:color w:val="000000" w:themeColor="text1"/>
        </w:rPr>
        <w:lastRenderedPageBreak/>
        <w:t xml:space="preserve">using the </w:t>
      </w:r>
      <w:proofErr w:type="spellStart"/>
      <w:r w:rsidR="00AF609A" w:rsidRPr="000217C7">
        <w:rPr>
          <w:color w:val="000000" w:themeColor="text1"/>
        </w:rPr>
        <w:t>corvif</w:t>
      </w:r>
      <w:proofErr w:type="spellEnd"/>
      <w:r w:rsidR="00AF609A" w:rsidRPr="000217C7">
        <w:rPr>
          <w:color w:val="000000" w:themeColor="text1"/>
        </w:rPr>
        <w:t xml:space="preserve"> function in R (HighstatLibV10 library). No predictor showed collinearity with the other predictors (all variance inflation factors between 1 and </w:t>
      </w:r>
      <w:r w:rsidR="006239E6" w:rsidRPr="000217C7">
        <w:rPr>
          <w:color w:val="000000" w:themeColor="text1"/>
        </w:rPr>
        <w:t>2</w:t>
      </w:r>
      <w:r w:rsidR="00AF609A" w:rsidRPr="000217C7">
        <w:rPr>
          <w:color w:val="000000" w:themeColor="text1"/>
        </w:rPr>
        <w:t xml:space="preserve">). </w:t>
      </w:r>
      <w:r w:rsidR="00F00777" w:rsidRPr="000217C7">
        <w:rPr>
          <w:color w:val="000000" w:themeColor="text1"/>
        </w:rPr>
        <w:t xml:space="preserve">The results showed a main effect of </w:t>
      </w:r>
      <w:r w:rsidR="00BC715E" w:rsidRPr="000217C7">
        <w:rPr>
          <w:color w:val="000000" w:themeColor="text1"/>
        </w:rPr>
        <w:t>Task [</w:t>
      </w:r>
      <w:r w:rsidR="00BC715E" w:rsidRPr="000217C7">
        <w:rPr>
          <w:i/>
          <w:color w:val="000000" w:themeColor="text1"/>
        </w:rPr>
        <w:t xml:space="preserve">F </w:t>
      </w:r>
      <w:r w:rsidR="00BC715E" w:rsidRPr="000217C7">
        <w:rPr>
          <w:color w:val="000000" w:themeColor="text1"/>
        </w:rPr>
        <w:t xml:space="preserve">(1, </w:t>
      </w:r>
      <w:r w:rsidR="00741ECC" w:rsidRPr="000217C7">
        <w:rPr>
          <w:color w:val="000000" w:themeColor="text1"/>
        </w:rPr>
        <w:t>27963.1</w:t>
      </w:r>
      <w:r w:rsidR="00BC715E" w:rsidRPr="000217C7">
        <w:rPr>
          <w:color w:val="000000" w:themeColor="text1"/>
        </w:rPr>
        <w:t xml:space="preserve">) = </w:t>
      </w:r>
      <w:r w:rsidR="00741ECC" w:rsidRPr="000217C7">
        <w:rPr>
          <w:color w:val="000000" w:themeColor="text1"/>
        </w:rPr>
        <w:t>58629</w:t>
      </w:r>
      <w:r w:rsidR="00BC715E" w:rsidRPr="000217C7">
        <w:rPr>
          <w:color w:val="000000" w:themeColor="text1"/>
        </w:rPr>
        <w:t xml:space="preserve">, </w:t>
      </w:r>
      <w:r w:rsidR="00BC715E" w:rsidRPr="000217C7">
        <w:rPr>
          <w:i/>
          <w:color w:val="000000" w:themeColor="text1"/>
        </w:rPr>
        <w:t>p</w:t>
      </w:r>
      <w:r w:rsidR="00BC715E" w:rsidRPr="000217C7">
        <w:rPr>
          <w:color w:val="000000" w:themeColor="text1"/>
        </w:rPr>
        <w:t xml:space="preserve"> &lt; 0.001], indicating longer RTs in bCFS compared to NoCFS, confirming that suppression had occurred during the bCFS </w:t>
      </w:r>
      <w:r w:rsidR="00020F2C" w:rsidRPr="000217C7">
        <w:rPr>
          <w:color w:val="000000" w:themeColor="text1"/>
        </w:rPr>
        <w:t>task</w:t>
      </w:r>
      <w:r w:rsidR="00BC715E" w:rsidRPr="000217C7">
        <w:rPr>
          <w:color w:val="000000" w:themeColor="text1"/>
        </w:rPr>
        <w:t xml:space="preserve">. </w:t>
      </w:r>
      <w:r w:rsidR="00B54CBE" w:rsidRPr="000217C7">
        <w:rPr>
          <w:color w:val="000000" w:themeColor="text1"/>
        </w:rPr>
        <w:t>Results also showed a</w:t>
      </w:r>
      <w:r w:rsidR="00BC715E" w:rsidRPr="000217C7">
        <w:rPr>
          <w:color w:val="000000" w:themeColor="text1"/>
        </w:rPr>
        <w:t xml:space="preserve"> significant Task x BMI interaction [</w:t>
      </w:r>
      <w:r w:rsidR="00BC715E" w:rsidRPr="000217C7">
        <w:rPr>
          <w:i/>
          <w:color w:val="000000" w:themeColor="text1"/>
        </w:rPr>
        <w:t xml:space="preserve">F </w:t>
      </w:r>
      <w:r w:rsidR="00BC715E" w:rsidRPr="000217C7">
        <w:rPr>
          <w:color w:val="000000" w:themeColor="text1"/>
        </w:rPr>
        <w:t>(1,</w:t>
      </w:r>
      <w:r w:rsidR="00741ECC" w:rsidRPr="000217C7">
        <w:rPr>
          <w:color w:val="000000" w:themeColor="text1"/>
        </w:rPr>
        <w:t xml:space="preserve"> 27943.9</w:t>
      </w:r>
      <w:r w:rsidR="00BC715E" w:rsidRPr="000217C7">
        <w:rPr>
          <w:color w:val="000000" w:themeColor="text1"/>
        </w:rPr>
        <w:t xml:space="preserve">) = </w:t>
      </w:r>
      <w:r w:rsidR="00741ECC" w:rsidRPr="000217C7">
        <w:rPr>
          <w:color w:val="000000" w:themeColor="text1"/>
        </w:rPr>
        <w:t>226</w:t>
      </w:r>
      <w:r w:rsidR="00BC715E" w:rsidRPr="000217C7">
        <w:rPr>
          <w:color w:val="000000" w:themeColor="text1"/>
        </w:rPr>
        <w:t xml:space="preserve">, </w:t>
      </w:r>
      <w:r w:rsidR="00BC715E" w:rsidRPr="000217C7">
        <w:rPr>
          <w:i/>
          <w:color w:val="000000" w:themeColor="text1"/>
        </w:rPr>
        <w:t>p</w:t>
      </w:r>
      <w:r w:rsidR="00BC715E" w:rsidRPr="000217C7">
        <w:rPr>
          <w:color w:val="000000" w:themeColor="text1"/>
        </w:rPr>
        <w:t xml:space="preserve"> &lt; 0.001]</w:t>
      </w:r>
      <w:r w:rsidR="00712055" w:rsidRPr="000217C7">
        <w:rPr>
          <w:color w:val="000000" w:themeColor="text1"/>
        </w:rPr>
        <w:t>, depicted in</w:t>
      </w:r>
      <w:r w:rsidR="00140923" w:rsidRPr="000217C7">
        <w:rPr>
          <w:color w:val="000000" w:themeColor="text1"/>
        </w:rPr>
        <w:t xml:space="preserve"> Figure 2</w:t>
      </w:r>
      <w:r w:rsidR="00712055" w:rsidRPr="000217C7">
        <w:rPr>
          <w:color w:val="000000" w:themeColor="text1"/>
        </w:rPr>
        <w:t>. H</w:t>
      </w:r>
      <w:r w:rsidR="00BC715E" w:rsidRPr="000217C7">
        <w:rPr>
          <w:color w:val="000000" w:themeColor="text1"/>
        </w:rPr>
        <w:t>igher BMI led to slower RTs in the bCFS task [</w:t>
      </w:r>
      <w:r w:rsidR="00BC715E" w:rsidRPr="000217C7">
        <w:rPr>
          <w:i/>
          <w:color w:val="000000" w:themeColor="text1"/>
        </w:rPr>
        <w:t>p</w:t>
      </w:r>
      <w:r w:rsidR="00BC715E" w:rsidRPr="000217C7">
        <w:rPr>
          <w:color w:val="000000" w:themeColor="text1"/>
        </w:rPr>
        <w:t xml:space="preserve"> </w:t>
      </w:r>
      <w:r w:rsidR="00D16D41" w:rsidRPr="000217C7">
        <w:rPr>
          <w:color w:val="000000" w:themeColor="text1"/>
        </w:rPr>
        <w:t>=</w:t>
      </w:r>
      <w:r w:rsidR="00BC715E" w:rsidRPr="000217C7">
        <w:rPr>
          <w:color w:val="000000" w:themeColor="text1"/>
        </w:rPr>
        <w:t xml:space="preserve"> 0.00</w:t>
      </w:r>
      <w:r w:rsidR="00826761" w:rsidRPr="000217C7">
        <w:rPr>
          <w:color w:val="000000" w:themeColor="text1"/>
        </w:rPr>
        <w:t>1</w:t>
      </w:r>
      <w:r w:rsidR="00BC715E" w:rsidRPr="000217C7">
        <w:rPr>
          <w:color w:val="000000" w:themeColor="text1"/>
        </w:rPr>
        <w:t>] but not in the NoCFS task [</w:t>
      </w:r>
      <w:r w:rsidR="00BC715E" w:rsidRPr="000217C7">
        <w:rPr>
          <w:i/>
          <w:color w:val="000000" w:themeColor="text1"/>
        </w:rPr>
        <w:t>p</w:t>
      </w:r>
      <w:r w:rsidR="00BC715E" w:rsidRPr="000217C7">
        <w:rPr>
          <w:color w:val="000000" w:themeColor="text1"/>
        </w:rPr>
        <w:t xml:space="preserve"> = 0.</w:t>
      </w:r>
      <w:r w:rsidR="00D16D41" w:rsidRPr="000217C7">
        <w:rPr>
          <w:color w:val="000000" w:themeColor="text1"/>
        </w:rPr>
        <w:t>7</w:t>
      </w:r>
      <w:r w:rsidR="00BC715E" w:rsidRPr="000217C7">
        <w:rPr>
          <w:color w:val="000000" w:themeColor="text1"/>
        </w:rPr>
        <w:t>]</w:t>
      </w:r>
      <w:r w:rsidR="0004143A" w:rsidRPr="000217C7">
        <w:rPr>
          <w:color w:val="000000" w:themeColor="text1"/>
        </w:rPr>
        <w:t xml:space="preserve">. </w:t>
      </w:r>
      <w:r w:rsidR="00C34075" w:rsidRPr="000217C7">
        <w:rPr>
          <w:color w:val="000000" w:themeColor="text1"/>
        </w:rPr>
        <w:t>A</w:t>
      </w:r>
      <w:r w:rsidR="00BC715E" w:rsidRPr="000217C7">
        <w:rPr>
          <w:color w:val="000000" w:themeColor="text1"/>
        </w:rPr>
        <w:t xml:space="preserve">lthough </w:t>
      </w:r>
      <w:r w:rsidR="00AC24A0" w:rsidRPr="000217C7">
        <w:rPr>
          <w:color w:val="000000" w:themeColor="text1"/>
        </w:rPr>
        <w:t xml:space="preserve">the </w:t>
      </w:r>
      <w:r w:rsidR="00BC715E" w:rsidRPr="000217C7">
        <w:rPr>
          <w:color w:val="000000" w:themeColor="text1"/>
        </w:rPr>
        <w:t>significant difference between bCFS and NoCFS was present in both low</w:t>
      </w:r>
      <w:r w:rsidR="008417F2" w:rsidRPr="000217C7">
        <w:rPr>
          <w:color w:val="000000" w:themeColor="text1"/>
        </w:rPr>
        <w:t>er</w:t>
      </w:r>
      <w:r w:rsidR="00BC715E" w:rsidRPr="000217C7">
        <w:rPr>
          <w:color w:val="000000" w:themeColor="text1"/>
        </w:rPr>
        <w:t xml:space="preserve"> and high</w:t>
      </w:r>
      <w:r w:rsidR="008417F2" w:rsidRPr="000217C7">
        <w:rPr>
          <w:color w:val="000000" w:themeColor="text1"/>
        </w:rPr>
        <w:t>er</w:t>
      </w:r>
      <w:r w:rsidR="00BC715E" w:rsidRPr="000217C7">
        <w:rPr>
          <w:color w:val="000000" w:themeColor="text1"/>
        </w:rPr>
        <w:t xml:space="preserve"> BMIs, it was higher in high</w:t>
      </w:r>
      <w:r w:rsidR="008417F2" w:rsidRPr="000217C7">
        <w:rPr>
          <w:color w:val="000000" w:themeColor="text1"/>
        </w:rPr>
        <w:t>er</w:t>
      </w:r>
      <w:r w:rsidR="00BC715E" w:rsidRPr="000217C7">
        <w:rPr>
          <w:color w:val="000000" w:themeColor="text1"/>
        </w:rPr>
        <w:t xml:space="preserve"> BMIs [low</w:t>
      </w:r>
      <w:r w:rsidR="008417F2" w:rsidRPr="000217C7">
        <w:rPr>
          <w:color w:val="000000" w:themeColor="text1"/>
        </w:rPr>
        <w:t>er</w:t>
      </w:r>
      <w:r w:rsidR="00BC715E" w:rsidRPr="000217C7">
        <w:rPr>
          <w:color w:val="000000" w:themeColor="text1"/>
        </w:rPr>
        <w:t xml:space="preserve"> BMIs </w:t>
      </w:r>
      <w:r w:rsidR="00BC715E" w:rsidRPr="000217C7">
        <w:rPr>
          <w:i/>
          <w:color w:val="000000" w:themeColor="text1"/>
        </w:rPr>
        <w:t>t</w:t>
      </w:r>
      <w:r w:rsidR="00BC715E" w:rsidRPr="000217C7">
        <w:rPr>
          <w:color w:val="000000" w:themeColor="text1"/>
        </w:rPr>
        <w:t xml:space="preserve"> =</w:t>
      </w:r>
      <w:r w:rsidR="00D16D41" w:rsidRPr="000217C7">
        <w:rPr>
          <w:color w:val="000000" w:themeColor="text1"/>
        </w:rPr>
        <w:t>161</w:t>
      </w:r>
      <w:r w:rsidR="00F06828" w:rsidRPr="000217C7">
        <w:rPr>
          <w:color w:val="000000" w:themeColor="text1"/>
        </w:rPr>
        <w:t>.</w:t>
      </w:r>
      <w:r w:rsidR="00210D16" w:rsidRPr="000217C7">
        <w:rPr>
          <w:color w:val="000000" w:themeColor="text1"/>
        </w:rPr>
        <w:t>5</w:t>
      </w:r>
      <w:r w:rsidR="00BC715E" w:rsidRPr="000217C7">
        <w:rPr>
          <w:color w:val="000000" w:themeColor="text1"/>
        </w:rPr>
        <w:t xml:space="preserve">, </w:t>
      </w:r>
      <w:r w:rsidR="00BC715E" w:rsidRPr="000217C7">
        <w:rPr>
          <w:i/>
          <w:color w:val="000000" w:themeColor="text1"/>
        </w:rPr>
        <w:t>p</w:t>
      </w:r>
      <w:r w:rsidR="00BC715E" w:rsidRPr="000217C7">
        <w:rPr>
          <w:color w:val="000000" w:themeColor="text1"/>
        </w:rPr>
        <w:t xml:space="preserve"> &lt; 0.001; high</w:t>
      </w:r>
      <w:r w:rsidR="008417F2" w:rsidRPr="000217C7">
        <w:rPr>
          <w:color w:val="000000" w:themeColor="text1"/>
        </w:rPr>
        <w:t>er</w:t>
      </w:r>
      <w:r w:rsidR="00BC715E" w:rsidRPr="000217C7">
        <w:rPr>
          <w:color w:val="000000" w:themeColor="text1"/>
        </w:rPr>
        <w:t xml:space="preserve"> BMIs </w:t>
      </w:r>
      <w:r w:rsidR="00BC715E" w:rsidRPr="000217C7">
        <w:rPr>
          <w:i/>
          <w:color w:val="000000" w:themeColor="text1"/>
        </w:rPr>
        <w:t>t</w:t>
      </w:r>
      <w:r w:rsidR="00BC715E" w:rsidRPr="000217C7">
        <w:rPr>
          <w:color w:val="000000" w:themeColor="text1"/>
        </w:rPr>
        <w:t xml:space="preserve"> = </w:t>
      </w:r>
      <w:r w:rsidR="00D16D41" w:rsidRPr="000217C7">
        <w:rPr>
          <w:color w:val="000000" w:themeColor="text1"/>
        </w:rPr>
        <w:t>183</w:t>
      </w:r>
      <w:r w:rsidR="00826761" w:rsidRPr="000217C7">
        <w:rPr>
          <w:color w:val="000000" w:themeColor="text1"/>
        </w:rPr>
        <w:t>.</w:t>
      </w:r>
      <w:r w:rsidR="00D16D41" w:rsidRPr="000217C7">
        <w:rPr>
          <w:color w:val="000000" w:themeColor="text1"/>
        </w:rPr>
        <w:t>2</w:t>
      </w:r>
      <w:r w:rsidR="00826761" w:rsidRPr="000217C7">
        <w:rPr>
          <w:color w:val="000000" w:themeColor="text1"/>
        </w:rPr>
        <w:t xml:space="preserve">, </w:t>
      </w:r>
      <w:r w:rsidR="00BC715E" w:rsidRPr="000217C7">
        <w:rPr>
          <w:i/>
          <w:color w:val="000000" w:themeColor="text1"/>
        </w:rPr>
        <w:t>p</w:t>
      </w:r>
      <w:r w:rsidR="00BC715E" w:rsidRPr="000217C7">
        <w:rPr>
          <w:color w:val="000000" w:themeColor="text1"/>
        </w:rPr>
        <w:t xml:space="preserve"> &lt; 0.001]</w:t>
      </w:r>
      <w:r w:rsidR="00712055" w:rsidRPr="000217C7">
        <w:rPr>
          <w:color w:val="000000" w:themeColor="text1"/>
        </w:rPr>
        <w:t>.</w:t>
      </w:r>
      <w:r w:rsidR="00D14F1F" w:rsidRPr="000217C7">
        <w:rPr>
          <w:color w:val="000000" w:themeColor="text1"/>
        </w:rPr>
        <w:t xml:space="preserve"> </w:t>
      </w:r>
    </w:p>
    <w:p w14:paraId="1906B2B6" w14:textId="35A0B7A2" w:rsidR="00712055" w:rsidRPr="000217C7" w:rsidRDefault="001239EC" w:rsidP="00D351AA">
      <w:pPr>
        <w:pStyle w:val="Heading5"/>
        <w:rPr>
          <w:color w:val="000000" w:themeColor="text1"/>
        </w:rPr>
      </w:pPr>
      <w:bookmarkStart w:id="21" w:name="_Ref528253542"/>
      <w:r w:rsidRPr="000217C7">
        <w:rPr>
          <w:color w:val="000000" w:themeColor="text1"/>
        </w:rPr>
        <w:t>Figure</w:t>
      </w:r>
      <w:bookmarkEnd w:id="21"/>
      <w:r w:rsidR="00140923" w:rsidRPr="000217C7">
        <w:rPr>
          <w:color w:val="000000" w:themeColor="text1"/>
        </w:rPr>
        <w:t xml:space="preserve"> 2</w:t>
      </w:r>
    </w:p>
    <w:p w14:paraId="3102BB59" w14:textId="77777777" w:rsidR="00FE3E58" w:rsidRPr="000217C7" w:rsidRDefault="007E7B05" w:rsidP="003705CB">
      <w:pPr>
        <w:pStyle w:val="Figures"/>
        <w:rPr>
          <w:color w:val="000000" w:themeColor="text1"/>
        </w:rPr>
      </w:pPr>
      <w:r w:rsidRPr="000217C7">
        <w:rPr>
          <w:noProof/>
          <w:color w:val="000000" w:themeColor="text1"/>
          <w:lang w:val="en-GB" w:eastAsia="en-GB"/>
        </w:rPr>
        <w:drawing>
          <wp:inline distT="0" distB="0" distL="0" distR="0" wp14:anchorId="033297F7" wp14:editId="46FC8325">
            <wp:extent cx="3493521" cy="39062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AT*task_BMI*Task.pn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493521" cy="3906257"/>
                    </a:xfrm>
                    <a:prstGeom prst="rect">
                      <a:avLst/>
                    </a:prstGeom>
                    <a:ln>
                      <a:noFill/>
                    </a:ln>
                    <a:extLst>
                      <a:ext uri="{53640926-AAD7-44D8-BBD7-CCE9431645EC}">
                        <a14:shadowObscured xmlns:a14="http://schemas.microsoft.com/office/drawing/2010/main"/>
                      </a:ext>
                    </a:extLst>
                  </pic:spPr>
                </pic:pic>
              </a:graphicData>
            </a:graphic>
          </wp:inline>
        </w:drawing>
      </w:r>
    </w:p>
    <w:p w14:paraId="50DA06E5" w14:textId="646A8060" w:rsidR="007E7B05" w:rsidRPr="000217C7" w:rsidRDefault="007F7C20" w:rsidP="00F06828">
      <w:pPr>
        <w:pStyle w:val="Caption"/>
        <w:rPr>
          <w:color w:val="000000" w:themeColor="text1"/>
        </w:rPr>
      </w:pPr>
      <w:r w:rsidRPr="000217C7">
        <w:rPr>
          <w:color w:val="000000" w:themeColor="text1"/>
        </w:rPr>
        <w:t xml:space="preserve">The interaction effect between </w:t>
      </w:r>
      <w:r w:rsidR="00661B8D" w:rsidRPr="000217C7">
        <w:rPr>
          <w:color w:val="000000" w:themeColor="text1"/>
        </w:rPr>
        <w:t xml:space="preserve">Task </w:t>
      </w:r>
      <w:r w:rsidRPr="000217C7">
        <w:rPr>
          <w:color w:val="000000" w:themeColor="text1"/>
        </w:rPr>
        <w:t xml:space="preserve">and </w:t>
      </w:r>
      <w:r w:rsidR="00F06828" w:rsidRPr="000217C7">
        <w:rPr>
          <w:color w:val="000000" w:themeColor="text1"/>
        </w:rPr>
        <w:t>BMI.</w:t>
      </w:r>
      <w:r w:rsidRPr="000217C7">
        <w:rPr>
          <w:color w:val="000000" w:themeColor="text1"/>
        </w:rPr>
        <w:t xml:space="preserve"> A higher BMI predicts longer RTs in the bCFS </w:t>
      </w:r>
      <w:r w:rsidR="00020F2C" w:rsidRPr="000217C7">
        <w:rPr>
          <w:color w:val="000000" w:themeColor="text1"/>
        </w:rPr>
        <w:t>task</w:t>
      </w:r>
      <w:r w:rsidRPr="000217C7">
        <w:rPr>
          <w:color w:val="000000" w:themeColor="text1"/>
        </w:rPr>
        <w:t xml:space="preserve">, but not in the NoCFS </w:t>
      </w:r>
      <w:r w:rsidR="00020F2C" w:rsidRPr="000217C7">
        <w:rPr>
          <w:color w:val="000000" w:themeColor="text1"/>
        </w:rPr>
        <w:t>task</w:t>
      </w:r>
      <w:r w:rsidR="00F06828" w:rsidRPr="000217C7">
        <w:rPr>
          <w:color w:val="000000" w:themeColor="text1"/>
        </w:rPr>
        <w:t>.</w:t>
      </w:r>
      <w:r w:rsidR="00B62D9D" w:rsidRPr="000217C7">
        <w:rPr>
          <w:color w:val="000000" w:themeColor="text1"/>
        </w:rPr>
        <w:t xml:space="preserve"> Bands indicate 95% confidence intervals.</w:t>
      </w:r>
    </w:p>
    <w:p w14:paraId="5747568F" w14:textId="77777777" w:rsidR="00F74A5A" w:rsidRPr="000217C7" w:rsidRDefault="00F74A5A" w:rsidP="00F74A5A">
      <w:pPr>
        <w:rPr>
          <w:color w:val="000000" w:themeColor="text1"/>
        </w:rPr>
      </w:pPr>
      <w:r w:rsidRPr="000217C7">
        <w:rPr>
          <w:color w:val="000000" w:themeColor="text1"/>
        </w:rPr>
        <w:t xml:space="preserve">Results also showed a significant effect of </w:t>
      </w:r>
      <w:r w:rsidR="00486F27" w:rsidRPr="000217C7">
        <w:rPr>
          <w:color w:val="000000" w:themeColor="text1"/>
        </w:rPr>
        <w:t>Task x Stimulus Type [</w:t>
      </w:r>
      <w:r w:rsidR="00486F27" w:rsidRPr="000217C7">
        <w:rPr>
          <w:i/>
          <w:color w:val="000000" w:themeColor="text1"/>
        </w:rPr>
        <w:t xml:space="preserve">F </w:t>
      </w:r>
      <w:r w:rsidR="00486F27" w:rsidRPr="000217C7">
        <w:rPr>
          <w:color w:val="000000" w:themeColor="text1"/>
        </w:rPr>
        <w:t xml:space="preserve">(1, 27944.7) = 6, </w:t>
      </w:r>
      <w:r w:rsidR="00486F27" w:rsidRPr="000217C7">
        <w:rPr>
          <w:i/>
          <w:color w:val="000000" w:themeColor="text1"/>
        </w:rPr>
        <w:t>p</w:t>
      </w:r>
      <w:r w:rsidR="00486F27" w:rsidRPr="000217C7">
        <w:rPr>
          <w:color w:val="000000" w:themeColor="text1"/>
        </w:rPr>
        <w:t xml:space="preserve"> = 0.016</w:t>
      </w:r>
      <w:r w:rsidR="003F68AA" w:rsidRPr="000217C7">
        <w:rPr>
          <w:color w:val="000000" w:themeColor="text1"/>
        </w:rPr>
        <w:t xml:space="preserve">]. Post-hoc tests however failed to find a significant difference between Food and </w:t>
      </w:r>
      <w:r w:rsidR="002176F1" w:rsidRPr="000217C7">
        <w:rPr>
          <w:color w:val="000000" w:themeColor="text1"/>
        </w:rPr>
        <w:t>Nonfood</w:t>
      </w:r>
      <w:r w:rsidR="003F68AA" w:rsidRPr="000217C7">
        <w:rPr>
          <w:color w:val="000000" w:themeColor="text1"/>
        </w:rPr>
        <w:t xml:space="preserve"> either in the CFS task </w:t>
      </w:r>
      <w:r w:rsidR="006074F0" w:rsidRPr="000217C7">
        <w:rPr>
          <w:color w:val="000000" w:themeColor="text1"/>
        </w:rPr>
        <w:t>(</w:t>
      </w:r>
      <w:r w:rsidR="006074F0" w:rsidRPr="000217C7">
        <w:rPr>
          <w:i/>
          <w:iCs/>
          <w:color w:val="000000" w:themeColor="text1"/>
        </w:rPr>
        <w:t>p</w:t>
      </w:r>
      <w:r w:rsidR="006074F0" w:rsidRPr="000217C7">
        <w:rPr>
          <w:color w:val="000000" w:themeColor="text1"/>
        </w:rPr>
        <w:t xml:space="preserve"> = 0.5) or in the NoCFS task (</w:t>
      </w:r>
      <w:r w:rsidR="006074F0" w:rsidRPr="000217C7">
        <w:rPr>
          <w:i/>
          <w:iCs/>
          <w:color w:val="000000" w:themeColor="text1"/>
        </w:rPr>
        <w:t>p</w:t>
      </w:r>
      <w:r w:rsidR="006074F0" w:rsidRPr="000217C7">
        <w:rPr>
          <w:color w:val="000000" w:themeColor="text1"/>
        </w:rPr>
        <w:t xml:space="preserve"> = 0.</w:t>
      </w:r>
      <w:r w:rsidR="000C7EB2" w:rsidRPr="000217C7">
        <w:rPr>
          <w:color w:val="000000" w:themeColor="text1"/>
        </w:rPr>
        <w:t>7</w:t>
      </w:r>
      <w:r w:rsidR="006074F0" w:rsidRPr="000217C7">
        <w:rPr>
          <w:color w:val="000000" w:themeColor="text1"/>
        </w:rPr>
        <w:t>), while there was an equally strong effect of Task both in Food trials [</w:t>
      </w:r>
      <w:r w:rsidR="006074F0" w:rsidRPr="000217C7">
        <w:rPr>
          <w:i/>
          <w:color w:val="000000" w:themeColor="text1"/>
        </w:rPr>
        <w:t>t</w:t>
      </w:r>
      <w:r w:rsidR="006074F0" w:rsidRPr="000217C7">
        <w:rPr>
          <w:color w:val="000000" w:themeColor="text1"/>
        </w:rPr>
        <w:t xml:space="preserve"> = 173.3, </w:t>
      </w:r>
      <w:r w:rsidR="006074F0" w:rsidRPr="000217C7">
        <w:rPr>
          <w:i/>
          <w:color w:val="000000" w:themeColor="text1"/>
        </w:rPr>
        <w:t>p</w:t>
      </w:r>
      <w:r w:rsidR="006074F0" w:rsidRPr="000217C7">
        <w:rPr>
          <w:color w:val="000000" w:themeColor="text1"/>
        </w:rPr>
        <w:t xml:space="preserve"> &lt; 0.001] and in </w:t>
      </w:r>
      <w:r w:rsidR="002176F1" w:rsidRPr="000217C7">
        <w:rPr>
          <w:color w:val="000000" w:themeColor="text1"/>
        </w:rPr>
        <w:t>Nonfood</w:t>
      </w:r>
      <w:r w:rsidR="006074F0" w:rsidRPr="000217C7">
        <w:rPr>
          <w:color w:val="000000" w:themeColor="text1"/>
        </w:rPr>
        <w:t xml:space="preserve"> trials [</w:t>
      </w:r>
      <w:r w:rsidR="006074F0" w:rsidRPr="000217C7">
        <w:rPr>
          <w:i/>
          <w:color w:val="000000" w:themeColor="text1"/>
        </w:rPr>
        <w:t>t</w:t>
      </w:r>
      <w:r w:rsidR="006074F0" w:rsidRPr="000217C7">
        <w:rPr>
          <w:color w:val="000000" w:themeColor="text1"/>
        </w:rPr>
        <w:t xml:space="preserve"> = 171.4, </w:t>
      </w:r>
      <w:r w:rsidR="006074F0" w:rsidRPr="000217C7">
        <w:rPr>
          <w:i/>
          <w:color w:val="000000" w:themeColor="text1"/>
        </w:rPr>
        <w:t>p</w:t>
      </w:r>
      <w:r w:rsidR="006074F0" w:rsidRPr="000217C7">
        <w:rPr>
          <w:color w:val="000000" w:themeColor="text1"/>
        </w:rPr>
        <w:t xml:space="preserve"> &lt; 0.001]</w:t>
      </w:r>
      <w:r w:rsidR="000079F8" w:rsidRPr="000217C7">
        <w:rPr>
          <w:color w:val="000000" w:themeColor="text1"/>
        </w:rPr>
        <w:t>.</w:t>
      </w:r>
    </w:p>
    <w:p w14:paraId="66D07DD8" w14:textId="747EA78C" w:rsidR="00D90A6A" w:rsidRPr="000217C7" w:rsidRDefault="00160B25" w:rsidP="0002738A">
      <w:pPr>
        <w:rPr>
          <w:color w:val="000000" w:themeColor="text1"/>
        </w:rPr>
      </w:pPr>
      <w:r w:rsidRPr="000217C7">
        <w:rPr>
          <w:color w:val="000000" w:themeColor="text1"/>
        </w:rPr>
        <w:t xml:space="preserve">In </w:t>
      </w:r>
      <w:r w:rsidR="00DF2983" w:rsidRPr="000217C7">
        <w:rPr>
          <w:color w:val="000000" w:themeColor="text1"/>
        </w:rPr>
        <w:t>summary</w:t>
      </w:r>
      <w:r w:rsidRPr="000217C7">
        <w:rPr>
          <w:color w:val="000000" w:themeColor="text1"/>
        </w:rPr>
        <w:t>, a high</w:t>
      </w:r>
      <w:r w:rsidR="008417F2" w:rsidRPr="000217C7">
        <w:rPr>
          <w:color w:val="000000" w:themeColor="text1"/>
        </w:rPr>
        <w:t>er</w:t>
      </w:r>
      <w:r w:rsidRPr="000217C7">
        <w:rPr>
          <w:color w:val="000000" w:themeColor="text1"/>
        </w:rPr>
        <w:t xml:space="preserve"> BMI significantly predicted longer RTs in the bCFS </w:t>
      </w:r>
      <w:r w:rsidR="00020F2C" w:rsidRPr="000217C7">
        <w:rPr>
          <w:color w:val="000000" w:themeColor="text1"/>
        </w:rPr>
        <w:t>task</w:t>
      </w:r>
      <w:r w:rsidR="00F06828" w:rsidRPr="000217C7">
        <w:rPr>
          <w:color w:val="000000" w:themeColor="text1"/>
        </w:rPr>
        <w:t>.</w:t>
      </w:r>
      <w:r w:rsidR="003C2139" w:rsidRPr="000217C7">
        <w:rPr>
          <w:color w:val="000000" w:themeColor="text1"/>
        </w:rPr>
        <w:t xml:space="preserve"> This effect was irrespective of the Stimulus Category.</w:t>
      </w:r>
      <w:r w:rsidR="000079F8" w:rsidRPr="000217C7">
        <w:rPr>
          <w:color w:val="000000" w:themeColor="text1"/>
        </w:rPr>
        <w:t xml:space="preserve"> The complete results are reported in</w:t>
      </w:r>
      <w:r w:rsidR="009A24D4" w:rsidRPr="000217C7">
        <w:rPr>
          <w:color w:val="000000" w:themeColor="text1"/>
        </w:rPr>
        <w:t xml:space="preserve"> </w:t>
      </w:r>
      <w:r w:rsidR="004E3111" w:rsidRPr="000217C7">
        <w:rPr>
          <w:color w:val="000000" w:themeColor="text1"/>
        </w:rPr>
        <w:t xml:space="preserve">Supplementary </w:t>
      </w:r>
      <w:r w:rsidR="002306CC" w:rsidRPr="000217C7">
        <w:rPr>
          <w:color w:val="000000" w:themeColor="text1"/>
        </w:rPr>
        <w:t xml:space="preserve">Table </w:t>
      </w:r>
      <w:r w:rsidR="00800717" w:rsidRPr="000217C7">
        <w:rPr>
          <w:color w:val="000000" w:themeColor="text1"/>
        </w:rPr>
        <w:t>3</w:t>
      </w:r>
      <w:r w:rsidR="000079F8" w:rsidRPr="000217C7">
        <w:rPr>
          <w:color w:val="000000" w:themeColor="text1"/>
        </w:rPr>
        <w:t>.</w:t>
      </w:r>
    </w:p>
    <w:p w14:paraId="6778B5C3" w14:textId="77777777" w:rsidR="006209D0" w:rsidRPr="000217C7" w:rsidRDefault="00360F1F" w:rsidP="006209D0">
      <w:pPr>
        <w:pStyle w:val="Heading3"/>
        <w:rPr>
          <w:rFonts w:eastAsia="Times New Roman"/>
        </w:rPr>
      </w:pPr>
      <w:bookmarkStart w:id="22" w:name="_Toc528590110"/>
      <w:r w:rsidRPr="000217C7">
        <w:lastRenderedPageBreak/>
        <w:t xml:space="preserve">3.1.2 </w:t>
      </w:r>
      <w:r w:rsidR="00D47464" w:rsidRPr="000217C7">
        <w:rPr>
          <w:rFonts w:eastAsia="Times New Roman"/>
        </w:rPr>
        <w:t xml:space="preserve">Correlation </w:t>
      </w:r>
      <w:r w:rsidR="00D510D9" w:rsidRPr="000217C7">
        <w:rPr>
          <w:rFonts w:eastAsia="Times New Roman"/>
        </w:rPr>
        <w:t>between grey matter density</w:t>
      </w:r>
      <w:r w:rsidR="00222CC3" w:rsidRPr="000217C7">
        <w:rPr>
          <w:rFonts w:eastAsia="Times New Roman"/>
        </w:rPr>
        <w:t xml:space="preserve"> and </w:t>
      </w:r>
      <w:r w:rsidR="00B678DF" w:rsidRPr="000217C7">
        <w:rPr>
          <w:rFonts w:eastAsia="Times New Roman"/>
        </w:rPr>
        <w:t xml:space="preserve">bCFS </w:t>
      </w:r>
      <w:r w:rsidR="00D510D9" w:rsidRPr="000217C7">
        <w:rPr>
          <w:rFonts w:eastAsia="Times New Roman"/>
        </w:rPr>
        <w:t>task performanc</w:t>
      </w:r>
      <w:bookmarkEnd w:id="22"/>
      <w:r w:rsidR="00222CC3" w:rsidRPr="000217C7">
        <w:rPr>
          <w:rFonts w:eastAsia="Times New Roman"/>
        </w:rPr>
        <w:t>e</w:t>
      </w:r>
      <w:r w:rsidR="005E134D" w:rsidRPr="000217C7">
        <w:rPr>
          <w:rFonts w:eastAsia="Times New Roman"/>
        </w:rPr>
        <w:t xml:space="preserve"> independently of </w:t>
      </w:r>
      <w:r w:rsidR="00295585" w:rsidRPr="000217C7">
        <w:rPr>
          <w:rFonts w:eastAsia="Times New Roman"/>
        </w:rPr>
        <w:t>BMI</w:t>
      </w:r>
    </w:p>
    <w:p w14:paraId="1CE1E211" w14:textId="60317B08" w:rsidR="0017633E" w:rsidRPr="000217C7" w:rsidRDefault="008E2CD3" w:rsidP="005A7821">
      <w:pPr>
        <w:rPr>
          <w:color w:val="000000" w:themeColor="text1"/>
        </w:rPr>
      </w:pPr>
      <w:r w:rsidRPr="000217C7">
        <w:rPr>
          <w:color w:val="000000" w:themeColor="text1"/>
        </w:rPr>
        <w:t>We found a positive correlation between suppression times and GM density in right occipital visual areas (calcarine cortex</w:t>
      </w:r>
      <w:r w:rsidR="000C0065" w:rsidRPr="000217C7">
        <w:rPr>
          <w:color w:val="000000" w:themeColor="text1"/>
        </w:rPr>
        <w:t xml:space="preserve"> and </w:t>
      </w:r>
      <w:r w:rsidRPr="000217C7">
        <w:rPr>
          <w:color w:val="000000" w:themeColor="text1"/>
        </w:rPr>
        <w:t>inferior occipital gyrus</w:t>
      </w:r>
      <w:r w:rsidR="000C0065" w:rsidRPr="000217C7">
        <w:rPr>
          <w:color w:val="000000" w:themeColor="text1"/>
        </w:rPr>
        <w:t>/occipital fusiform gyrus</w:t>
      </w:r>
      <w:r w:rsidRPr="000217C7">
        <w:rPr>
          <w:color w:val="000000" w:themeColor="text1"/>
        </w:rPr>
        <w:t>)</w:t>
      </w:r>
      <w:r w:rsidR="000C0065" w:rsidRPr="000217C7">
        <w:rPr>
          <w:color w:val="000000" w:themeColor="text1"/>
        </w:rPr>
        <w:t xml:space="preserve"> and</w:t>
      </w:r>
      <w:r w:rsidRPr="000217C7">
        <w:rPr>
          <w:color w:val="000000" w:themeColor="text1"/>
        </w:rPr>
        <w:t xml:space="preserve"> in the </w:t>
      </w:r>
      <w:r w:rsidR="000C0065" w:rsidRPr="000217C7">
        <w:rPr>
          <w:color w:val="000000" w:themeColor="text1"/>
        </w:rPr>
        <w:t>right</w:t>
      </w:r>
      <w:r w:rsidRPr="000217C7">
        <w:rPr>
          <w:color w:val="000000" w:themeColor="text1"/>
        </w:rPr>
        <w:t xml:space="preserve"> caudate nucl</w:t>
      </w:r>
      <w:r w:rsidR="00964A7F" w:rsidRPr="000217C7">
        <w:rPr>
          <w:color w:val="000000" w:themeColor="text1"/>
        </w:rPr>
        <w:t>e</w:t>
      </w:r>
      <w:r w:rsidR="000C0065" w:rsidRPr="000217C7">
        <w:rPr>
          <w:color w:val="000000" w:themeColor="text1"/>
        </w:rPr>
        <w:t>us</w:t>
      </w:r>
      <w:r w:rsidRPr="000217C7">
        <w:rPr>
          <w:color w:val="000000" w:themeColor="text1"/>
        </w:rPr>
        <w:t>, i.e. higher GM density in these areas</w:t>
      </w:r>
      <w:r w:rsidR="006963CC" w:rsidRPr="000217C7">
        <w:rPr>
          <w:color w:val="000000" w:themeColor="text1"/>
        </w:rPr>
        <w:t xml:space="preserve"> correlated with longer suppression times</w:t>
      </w:r>
      <w:r w:rsidRPr="000217C7">
        <w:rPr>
          <w:color w:val="000000" w:themeColor="text1"/>
        </w:rPr>
        <w:t xml:space="preserve">. On the other hand, </w:t>
      </w:r>
      <w:r w:rsidR="00157651" w:rsidRPr="000217C7">
        <w:rPr>
          <w:color w:val="000000" w:themeColor="text1"/>
        </w:rPr>
        <w:t>a negative correlation between suppression times and GM density in the left dorsolateral PFC (left middle frontal gyrus) meant that</w:t>
      </w:r>
      <w:r w:rsidR="00E36CE7" w:rsidRPr="000217C7">
        <w:rPr>
          <w:color w:val="000000" w:themeColor="text1"/>
        </w:rPr>
        <w:t xml:space="preserve"> </w:t>
      </w:r>
      <w:r w:rsidR="000C0065" w:rsidRPr="000217C7">
        <w:rPr>
          <w:color w:val="000000" w:themeColor="text1"/>
        </w:rPr>
        <w:t>higher</w:t>
      </w:r>
      <w:r w:rsidR="00E36CE7" w:rsidRPr="000217C7">
        <w:rPr>
          <w:color w:val="000000" w:themeColor="text1"/>
        </w:rPr>
        <w:t xml:space="preserve"> GM density in this </w:t>
      </w:r>
      <w:r w:rsidR="00157651" w:rsidRPr="000217C7">
        <w:rPr>
          <w:color w:val="000000" w:themeColor="text1"/>
        </w:rPr>
        <w:t xml:space="preserve">prefrontal </w:t>
      </w:r>
      <w:r w:rsidR="00E36CE7" w:rsidRPr="000217C7">
        <w:rPr>
          <w:color w:val="000000" w:themeColor="text1"/>
        </w:rPr>
        <w:t>region</w:t>
      </w:r>
      <w:r w:rsidR="006963CC" w:rsidRPr="000217C7">
        <w:rPr>
          <w:color w:val="000000" w:themeColor="text1"/>
        </w:rPr>
        <w:t xml:space="preserve"> correlated with shorter suppression times</w:t>
      </w:r>
      <w:r w:rsidR="00E36CE7" w:rsidRPr="000217C7">
        <w:rPr>
          <w:color w:val="000000" w:themeColor="text1"/>
        </w:rPr>
        <w:t>.</w:t>
      </w:r>
      <w:r w:rsidR="00D767CB" w:rsidRPr="000217C7">
        <w:rPr>
          <w:color w:val="000000" w:themeColor="text1"/>
        </w:rPr>
        <w:t xml:space="preserve"> Results are </w:t>
      </w:r>
      <w:r w:rsidR="00BC1218" w:rsidRPr="000217C7">
        <w:rPr>
          <w:color w:val="000000" w:themeColor="text1"/>
        </w:rPr>
        <w:t xml:space="preserve">reported in </w:t>
      </w:r>
      <w:r w:rsidR="006B0C8F" w:rsidRPr="000217C7">
        <w:rPr>
          <w:color w:val="000000" w:themeColor="text1"/>
        </w:rPr>
        <w:t xml:space="preserve">Table 2 </w:t>
      </w:r>
      <w:r w:rsidR="00BC1218" w:rsidRPr="000217C7">
        <w:rPr>
          <w:color w:val="000000" w:themeColor="text1"/>
        </w:rPr>
        <w:t>and</w:t>
      </w:r>
      <w:r w:rsidR="00D767CB" w:rsidRPr="000217C7">
        <w:rPr>
          <w:color w:val="000000" w:themeColor="text1"/>
        </w:rPr>
        <w:t xml:space="preserve"> depicted </w:t>
      </w:r>
      <w:r w:rsidR="00DE5063" w:rsidRPr="000217C7">
        <w:rPr>
          <w:color w:val="000000" w:themeColor="text1"/>
        </w:rPr>
        <w:t>in</w:t>
      </w:r>
      <w:r w:rsidR="00140923" w:rsidRPr="000217C7">
        <w:rPr>
          <w:color w:val="000000" w:themeColor="text1"/>
        </w:rPr>
        <w:t xml:space="preserve"> Figure 3</w:t>
      </w:r>
      <w:r w:rsidR="00DE5063" w:rsidRPr="000217C7">
        <w:rPr>
          <w:color w:val="000000" w:themeColor="text1"/>
        </w:rPr>
        <w:t>.</w:t>
      </w:r>
      <w:bookmarkStart w:id="23" w:name="_Ref527727998"/>
    </w:p>
    <w:p w14:paraId="682032B8" w14:textId="5B7A601D" w:rsidR="0017633E" w:rsidRPr="000217C7" w:rsidRDefault="00D83AC0" w:rsidP="00D351AA">
      <w:pPr>
        <w:pStyle w:val="Heading5"/>
        <w:rPr>
          <w:color w:val="000000" w:themeColor="text1"/>
        </w:rPr>
      </w:pPr>
      <w:bookmarkStart w:id="24" w:name="_Ref528593414"/>
      <w:r w:rsidRPr="000217C7">
        <w:rPr>
          <w:color w:val="000000" w:themeColor="text1"/>
        </w:rPr>
        <w:lastRenderedPageBreak/>
        <w:t xml:space="preserve">Figure </w:t>
      </w:r>
      <w:bookmarkEnd w:id="23"/>
      <w:bookmarkEnd w:id="24"/>
      <w:r w:rsidR="00140923" w:rsidRPr="000217C7">
        <w:rPr>
          <w:noProof/>
          <w:color w:val="000000" w:themeColor="text1"/>
        </w:rPr>
        <w:t>3</w:t>
      </w:r>
    </w:p>
    <w:p w14:paraId="3646A4FF" w14:textId="77777777" w:rsidR="0017633E" w:rsidRPr="000217C7" w:rsidRDefault="0017633E" w:rsidP="003705CB">
      <w:pPr>
        <w:pStyle w:val="Figures"/>
        <w:rPr>
          <w:color w:val="000000" w:themeColor="text1"/>
        </w:rPr>
      </w:pPr>
      <w:r w:rsidRPr="000217C7">
        <w:rPr>
          <w:noProof/>
          <w:color w:val="000000" w:themeColor="text1"/>
          <w:lang w:val="en-GB" w:eastAsia="en-GB"/>
        </w:rPr>
        <w:drawing>
          <wp:inline distT="0" distB="0" distL="0" distR="0" wp14:anchorId="604006EC" wp14:editId="13566C78">
            <wp:extent cx="3615030" cy="6441488"/>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FSdirInd_labels.png"/>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615030" cy="6441488"/>
                    </a:xfrm>
                    <a:prstGeom prst="rect">
                      <a:avLst/>
                    </a:prstGeom>
                    <a:ln>
                      <a:noFill/>
                    </a:ln>
                    <a:extLst>
                      <a:ext uri="{53640926-AAD7-44D8-BBD7-CCE9431645EC}">
                        <a14:shadowObscured xmlns:a14="http://schemas.microsoft.com/office/drawing/2010/main"/>
                      </a:ext>
                    </a:extLst>
                  </pic:spPr>
                </pic:pic>
              </a:graphicData>
            </a:graphic>
          </wp:inline>
        </w:drawing>
      </w:r>
    </w:p>
    <w:p w14:paraId="4F34908B" w14:textId="77777777" w:rsidR="000C7F21" w:rsidRPr="000217C7" w:rsidRDefault="00D64186" w:rsidP="003705CB">
      <w:pPr>
        <w:pStyle w:val="Caption"/>
        <w:rPr>
          <w:color w:val="000000" w:themeColor="text1"/>
        </w:rPr>
      </w:pPr>
      <w:r w:rsidRPr="000217C7">
        <w:rPr>
          <w:color w:val="000000" w:themeColor="text1"/>
        </w:rPr>
        <w:t xml:space="preserve">In warm colors, areas in which GM density </w:t>
      </w:r>
      <w:r w:rsidR="00C50877" w:rsidRPr="000217C7">
        <w:rPr>
          <w:color w:val="000000" w:themeColor="text1"/>
        </w:rPr>
        <w:t xml:space="preserve">correlated </w:t>
      </w:r>
      <w:r w:rsidRPr="000217C7">
        <w:rPr>
          <w:color w:val="000000" w:themeColor="text1"/>
        </w:rPr>
        <w:t>positively with suppression times</w:t>
      </w:r>
      <w:r w:rsidR="00167E1C" w:rsidRPr="000217C7">
        <w:rPr>
          <w:color w:val="000000" w:themeColor="text1"/>
        </w:rPr>
        <w:t xml:space="preserve"> in the bCFS </w:t>
      </w:r>
      <w:r w:rsidR="00020F2C" w:rsidRPr="000217C7">
        <w:rPr>
          <w:color w:val="000000" w:themeColor="text1"/>
        </w:rPr>
        <w:t>task</w:t>
      </w:r>
      <w:r w:rsidRPr="000217C7">
        <w:rPr>
          <w:color w:val="000000" w:themeColor="text1"/>
        </w:rPr>
        <w:t>; in cold colors, area</w:t>
      </w:r>
      <w:r w:rsidR="00694157" w:rsidRPr="000217C7">
        <w:rPr>
          <w:color w:val="000000" w:themeColor="text1"/>
        </w:rPr>
        <w:t>s</w:t>
      </w:r>
      <w:r w:rsidRPr="000217C7">
        <w:rPr>
          <w:color w:val="000000" w:themeColor="text1"/>
        </w:rPr>
        <w:t xml:space="preserve"> in which GM density correlated inversely with suppression times</w:t>
      </w:r>
      <w:r w:rsidR="00167E1C" w:rsidRPr="000217C7">
        <w:rPr>
          <w:color w:val="000000" w:themeColor="text1"/>
        </w:rPr>
        <w:t xml:space="preserve"> in the bCFS </w:t>
      </w:r>
      <w:r w:rsidR="00020F2C" w:rsidRPr="000217C7">
        <w:rPr>
          <w:color w:val="000000" w:themeColor="text1"/>
        </w:rPr>
        <w:t>task</w:t>
      </w:r>
      <w:r w:rsidRPr="000217C7">
        <w:rPr>
          <w:color w:val="000000" w:themeColor="text1"/>
        </w:rPr>
        <w:t>.</w:t>
      </w:r>
    </w:p>
    <w:p w14:paraId="2E9A1065" w14:textId="77777777" w:rsidR="0002738A" w:rsidRPr="000217C7" w:rsidRDefault="00360F1F" w:rsidP="0002738A">
      <w:pPr>
        <w:pStyle w:val="Heading3"/>
        <w:rPr>
          <w:rFonts w:eastAsia="Times New Roman"/>
        </w:rPr>
      </w:pPr>
      <w:bookmarkStart w:id="25" w:name="_Toc528590111"/>
      <w:r w:rsidRPr="000217C7">
        <w:t xml:space="preserve">3.1.3 </w:t>
      </w:r>
      <w:r w:rsidR="0002738A" w:rsidRPr="000217C7">
        <w:rPr>
          <w:rFonts w:eastAsia="Times New Roman"/>
        </w:rPr>
        <w:t xml:space="preserve">Group differences in the correlation between GM density and </w:t>
      </w:r>
      <w:bookmarkEnd w:id="25"/>
      <w:r w:rsidR="0002738A" w:rsidRPr="000217C7">
        <w:rPr>
          <w:rFonts w:eastAsia="Times New Roman"/>
        </w:rPr>
        <w:t>bCFS task performance</w:t>
      </w:r>
    </w:p>
    <w:p w14:paraId="6773BBBF" w14:textId="35612E1F" w:rsidR="0002738A" w:rsidRPr="000217C7" w:rsidRDefault="0002738A" w:rsidP="0002738A">
      <w:pPr>
        <w:rPr>
          <w:color w:val="000000" w:themeColor="text1"/>
        </w:rPr>
      </w:pPr>
      <w:r w:rsidRPr="000217C7">
        <w:rPr>
          <w:color w:val="000000" w:themeColor="text1"/>
        </w:rPr>
        <w:t xml:space="preserve">We found that beta values in the correlation between suppression times and GM density were significantly different in the high and low BMI group in the right temporal pole/middle temporal </w:t>
      </w:r>
      <w:r w:rsidRPr="000217C7">
        <w:rPr>
          <w:color w:val="000000" w:themeColor="text1"/>
        </w:rPr>
        <w:lastRenderedPageBreak/>
        <w:t>gyrus, in the left orbital gyrus, as well as in the left operculum and insula. Beta values indicate that longer suppression times are associated with lower GM density in these areas in the high</w:t>
      </w:r>
      <w:r w:rsidR="008417F2" w:rsidRPr="000217C7">
        <w:rPr>
          <w:color w:val="000000" w:themeColor="text1"/>
        </w:rPr>
        <w:t>er</w:t>
      </w:r>
      <w:r w:rsidRPr="000217C7">
        <w:rPr>
          <w:color w:val="000000" w:themeColor="text1"/>
        </w:rPr>
        <w:t xml:space="preserve"> BMI group, but not in the low</w:t>
      </w:r>
      <w:r w:rsidR="008417F2" w:rsidRPr="000217C7">
        <w:rPr>
          <w:color w:val="000000" w:themeColor="text1"/>
        </w:rPr>
        <w:t>er</w:t>
      </w:r>
      <w:r w:rsidRPr="000217C7">
        <w:rPr>
          <w:color w:val="000000" w:themeColor="text1"/>
        </w:rPr>
        <w:t xml:space="preserve"> BMI group.</w:t>
      </w:r>
    </w:p>
    <w:p w14:paraId="5DF66C0C" w14:textId="4E523FF4" w:rsidR="0002738A" w:rsidRPr="000217C7" w:rsidRDefault="0002738A" w:rsidP="0002738A">
      <w:pPr>
        <w:rPr>
          <w:color w:val="000000" w:themeColor="text1"/>
        </w:rPr>
      </w:pPr>
      <w:r w:rsidRPr="000217C7">
        <w:rPr>
          <w:color w:val="000000" w:themeColor="text1"/>
        </w:rPr>
        <w:t xml:space="preserve">Results are reported in </w:t>
      </w:r>
      <w:r w:rsidR="006B0C8F" w:rsidRPr="000217C7">
        <w:rPr>
          <w:color w:val="000000" w:themeColor="text1"/>
        </w:rPr>
        <w:t xml:space="preserve">Table 2 </w:t>
      </w:r>
      <w:r w:rsidRPr="000217C7">
        <w:rPr>
          <w:color w:val="000000" w:themeColor="text1"/>
        </w:rPr>
        <w:t>and visually represented in</w:t>
      </w:r>
      <w:r w:rsidR="00140923" w:rsidRPr="000217C7">
        <w:rPr>
          <w:color w:val="000000" w:themeColor="text1"/>
        </w:rPr>
        <w:t xml:space="preserve"> Figure 4</w:t>
      </w:r>
      <w:r w:rsidRPr="000217C7">
        <w:rPr>
          <w:color w:val="000000" w:themeColor="text1"/>
        </w:rPr>
        <w:t>.</w:t>
      </w:r>
    </w:p>
    <w:p w14:paraId="34A72F5F" w14:textId="0A413538" w:rsidR="0002738A" w:rsidRPr="000217C7" w:rsidRDefault="0002738A" w:rsidP="0002738A">
      <w:pPr>
        <w:pStyle w:val="Heading5"/>
        <w:rPr>
          <w:color w:val="000000" w:themeColor="text1"/>
        </w:rPr>
      </w:pPr>
      <w:bookmarkStart w:id="26" w:name="_Ref527984653"/>
      <w:r w:rsidRPr="000217C7">
        <w:rPr>
          <w:color w:val="000000" w:themeColor="text1"/>
        </w:rPr>
        <w:t xml:space="preserve">Figure </w:t>
      </w:r>
      <w:bookmarkEnd w:id="26"/>
      <w:r w:rsidR="00140923" w:rsidRPr="000217C7">
        <w:rPr>
          <w:noProof/>
          <w:color w:val="000000" w:themeColor="text1"/>
        </w:rPr>
        <w:t>4</w:t>
      </w:r>
    </w:p>
    <w:p w14:paraId="0CD11BCB" w14:textId="77777777" w:rsidR="0002738A" w:rsidRPr="000217C7" w:rsidRDefault="0002738A" w:rsidP="0002738A">
      <w:pPr>
        <w:pStyle w:val="Figures"/>
        <w:rPr>
          <w:color w:val="000000" w:themeColor="text1"/>
        </w:rPr>
      </w:pPr>
      <w:r w:rsidRPr="000217C7">
        <w:rPr>
          <w:noProof/>
          <w:color w:val="000000" w:themeColor="text1"/>
          <w:lang w:val="en-GB" w:eastAsia="en-GB"/>
        </w:rPr>
        <w:drawing>
          <wp:inline distT="0" distB="0" distL="0" distR="0" wp14:anchorId="758BFE2C" wp14:editId="16A2E23C">
            <wp:extent cx="4359258" cy="4858978"/>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MI_group_total_numbers_rotated.pn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359258" cy="4858978"/>
                    </a:xfrm>
                    <a:prstGeom prst="rect">
                      <a:avLst/>
                    </a:prstGeom>
                    <a:ln>
                      <a:noFill/>
                    </a:ln>
                    <a:extLst>
                      <a:ext uri="{53640926-AAD7-44D8-BBD7-CCE9431645EC}">
                        <a14:shadowObscured xmlns:a14="http://schemas.microsoft.com/office/drawing/2010/main"/>
                      </a:ext>
                    </a:extLst>
                  </pic:spPr>
                </pic:pic>
              </a:graphicData>
            </a:graphic>
          </wp:inline>
        </w:drawing>
      </w:r>
    </w:p>
    <w:p w14:paraId="4D23EAC6" w14:textId="061AF634" w:rsidR="0002738A" w:rsidRPr="000217C7" w:rsidRDefault="0002738A" w:rsidP="0002738A">
      <w:pPr>
        <w:pStyle w:val="Caption"/>
        <w:rPr>
          <w:color w:val="000000" w:themeColor="text1"/>
        </w:rPr>
      </w:pPr>
      <w:r w:rsidRPr="000217C7">
        <w:rPr>
          <w:color w:val="000000" w:themeColor="text1"/>
        </w:rPr>
        <w:t>Different GM density association with bCFS performance in the high</w:t>
      </w:r>
      <w:r w:rsidR="008417F2" w:rsidRPr="000217C7">
        <w:rPr>
          <w:color w:val="000000" w:themeColor="text1"/>
        </w:rPr>
        <w:t>er</w:t>
      </w:r>
      <w:r w:rsidRPr="000217C7">
        <w:rPr>
          <w:color w:val="000000" w:themeColor="text1"/>
        </w:rPr>
        <w:t xml:space="preserve"> and low</w:t>
      </w:r>
      <w:r w:rsidR="008417F2" w:rsidRPr="000217C7">
        <w:rPr>
          <w:color w:val="000000" w:themeColor="text1"/>
        </w:rPr>
        <w:t>er</w:t>
      </w:r>
      <w:r w:rsidRPr="000217C7">
        <w:rPr>
          <w:color w:val="000000" w:themeColor="text1"/>
        </w:rPr>
        <w:t xml:space="preserve"> BMI groups.</w:t>
      </w:r>
    </w:p>
    <w:p w14:paraId="75F29853" w14:textId="77777777" w:rsidR="0002738A" w:rsidRPr="000217C7" w:rsidRDefault="0002738A" w:rsidP="0002738A">
      <w:pPr>
        <w:rPr>
          <w:color w:val="000000" w:themeColor="text1"/>
        </w:rPr>
      </w:pPr>
    </w:p>
    <w:p w14:paraId="76CAA5A7" w14:textId="77777777" w:rsidR="0002738A" w:rsidRPr="000217C7" w:rsidRDefault="00360F1F" w:rsidP="0002738A">
      <w:pPr>
        <w:pStyle w:val="Heading3"/>
      </w:pPr>
      <w:bookmarkStart w:id="27" w:name="_Toc528590108"/>
      <w:r w:rsidRPr="000217C7">
        <w:t xml:space="preserve">3.1.4 </w:t>
      </w:r>
      <w:r w:rsidR="0002738A" w:rsidRPr="000217C7">
        <w:t>BCFS task-related connectivity networks</w:t>
      </w:r>
    </w:p>
    <w:p w14:paraId="57420176" w14:textId="32CF04BE" w:rsidR="0002738A" w:rsidRPr="000217C7" w:rsidRDefault="0002738A" w:rsidP="0002738A">
      <w:pPr>
        <w:rPr>
          <w:color w:val="000000" w:themeColor="text1"/>
        </w:rPr>
      </w:pPr>
      <w:r w:rsidRPr="000217C7">
        <w:rPr>
          <w:color w:val="000000" w:themeColor="text1"/>
        </w:rPr>
        <w:t xml:space="preserve">Longer RTs in the bCFS task correlated with greater connectivity between the right Calcarine ROI and two clusters located in the right and left supramarginal gyri, with the left cluster bordering </w:t>
      </w:r>
      <w:r w:rsidRPr="000217C7">
        <w:rPr>
          <w:color w:val="000000" w:themeColor="text1"/>
        </w:rPr>
        <w:lastRenderedPageBreak/>
        <w:t>on the postcentral gyrus (</w:t>
      </w:r>
      <w:r w:rsidR="004D1B5C" w:rsidRPr="000217C7">
        <w:rPr>
          <w:color w:val="000000" w:themeColor="text1"/>
        </w:rPr>
        <w:t>s</w:t>
      </w:r>
      <w:r w:rsidRPr="000217C7">
        <w:rPr>
          <w:color w:val="000000" w:themeColor="text1"/>
        </w:rPr>
        <w:t xml:space="preserve">ee </w:t>
      </w:r>
      <w:r w:rsidR="006B0C8F" w:rsidRPr="000217C7">
        <w:rPr>
          <w:color w:val="000000" w:themeColor="text1"/>
        </w:rPr>
        <w:t xml:space="preserve">Table 2 </w:t>
      </w:r>
      <w:r w:rsidRPr="000217C7">
        <w:rPr>
          <w:color w:val="000000" w:themeColor="text1"/>
        </w:rPr>
        <w:t>and</w:t>
      </w:r>
      <w:r w:rsidR="00140923" w:rsidRPr="000217C7">
        <w:rPr>
          <w:color w:val="000000" w:themeColor="text1"/>
        </w:rPr>
        <w:t xml:space="preserve"> Figure 5</w:t>
      </w:r>
      <w:r w:rsidRPr="000217C7">
        <w:rPr>
          <w:color w:val="000000" w:themeColor="text1"/>
        </w:rPr>
        <w:t>). No other ROI’s connectivity was significantly predicted by participants’ RTs in the bCFS task.</w:t>
      </w:r>
    </w:p>
    <w:p w14:paraId="1A3EE735" w14:textId="527EB696" w:rsidR="0002738A" w:rsidRPr="000217C7" w:rsidRDefault="0002738A" w:rsidP="0002738A">
      <w:pPr>
        <w:pStyle w:val="Heading5"/>
        <w:rPr>
          <w:color w:val="000000" w:themeColor="text1"/>
        </w:rPr>
      </w:pPr>
      <w:bookmarkStart w:id="28" w:name="_Ref37261070"/>
      <w:r w:rsidRPr="000217C7">
        <w:rPr>
          <w:color w:val="000000" w:themeColor="text1"/>
        </w:rPr>
        <w:t xml:space="preserve">Figure </w:t>
      </w:r>
      <w:bookmarkEnd w:id="28"/>
      <w:r w:rsidR="00140923" w:rsidRPr="000217C7">
        <w:rPr>
          <w:noProof/>
          <w:color w:val="000000" w:themeColor="text1"/>
        </w:rPr>
        <w:t>5</w:t>
      </w:r>
    </w:p>
    <w:p w14:paraId="7A389FD6" w14:textId="77777777" w:rsidR="0002738A" w:rsidRPr="000217C7" w:rsidRDefault="0002738A" w:rsidP="0002738A">
      <w:pPr>
        <w:keepNext/>
        <w:rPr>
          <w:color w:val="000000" w:themeColor="text1"/>
        </w:rPr>
      </w:pPr>
      <w:r w:rsidRPr="000217C7">
        <w:rPr>
          <w:noProof/>
          <w:color w:val="000000" w:themeColor="text1"/>
          <w:lang w:val="en-GB" w:eastAsia="en-GB"/>
        </w:rPr>
        <w:drawing>
          <wp:inline distT="0" distB="0" distL="0" distR="0" wp14:anchorId="01CDE234" wp14:editId="526BA687">
            <wp:extent cx="5171320" cy="4419600"/>
            <wp:effectExtent l="0" t="0" r="0" b="0"/>
            <wp:docPr id="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nnectivity rCalarin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1320" cy="4419600"/>
                    </a:xfrm>
                    <a:prstGeom prst="rect">
                      <a:avLst/>
                    </a:prstGeom>
                  </pic:spPr>
                </pic:pic>
              </a:graphicData>
            </a:graphic>
          </wp:inline>
        </w:drawing>
      </w:r>
    </w:p>
    <w:p w14:paraId="6958CECC" w14:textId="77777777" w:rsidR="0002738A" w:rsidRPr="000217C7" w:rsidRDefault="0002738A" w:rsidP="0002738A">
      <w:pPr>
        <w:pStyle w:val="Caption"/>
        <w:rPr>
          <w:color w:val="000000" w:themeColor="text1"/>
        </w:rPr>
      </w:pPr>
      <w:r w:rsidRPr="000217C7">
        <w:rPr>
          <w:color w:val="000000" w:themeColor="text1"/>
        </w:rPr>
        <w:t>Results of the connectivity analysis from the right Calcarine cortex ROI.</w:t>
      </w:r>
    </w:p>
    <w:p w14:paraId="0F026445" w14:textId="381D5434" w:rsidR="0002738A" w:rsidRPr="000217C7" w:rsidRDefault="00264814" w:rsidP="00264814">
      <w:pPr>
        <w:rPr>
          <w:color w:val="000000" w:themeColor="text1"/>
        </w:rPr>
      </w:pPr>
      <w:r w:rsidRPr="000217C7">
        <w:rPr>
          <w:color w:val="000000" w:themeColor="text1"/>
        </w:rPr>
        <w:t>None of the ROIs resulting from the VBM group analysis of the bCFS task had significantly different connectivity in the high</w:t>
      </w:r>
      <w:r w:rsidR="008417F2" w:rsidRPr="000217C7">
        <w:rPr>
          <w:color w:val="000000" w:themeColor="text1"/>
        </w:rPr>
        <w:t>er</w:t>
      </w:r>
      <w:r w:rsidRPr="000217C7">
        <w:rPr>
          <w:color w:val="000000" w:themeColor="text1"/>
        </w:rPr>
        <w:t xml:space="preserve"> and low</w:t>
      </w:r>
      <w:r w:rsidR="008417F2" w:rsidRPr="000217C7">
        <w:rPr>
          <w:color w:val="000000" w:themeColor="text1"/>
        </w:rPr>
        <w:t>er</w:t>
      </w:r>
      <w:r w:rsidRPr="000217C7">
        <w:rPr>
          <w:color w:val="000000" w:themeColor="text1"/>
        </w:rPr>
        <w:t xml:space="preserve"> BMI groups, as predicted by the relative suppression times.</w:t>
      </w:r>
    </w:p>
    <w:p w14:paraId="7EE171EF" w14:textId="34B0F62D" w:rsidR="00F44694" w:rsidRPr="000217C7" w:rsidRDefault="00846355" w:rsidP="00F44694">
      <w:pPr>
        <w:pStyle w:val="Heading5"/>
        <w:rPr>
          <w:noProof/>
          <w:color w:val="000000" w:themeColor="text1"/>
        </w:rPr>
      </w:pPr>
      <w:bookmarkStart w:id="29" w:name="_Ref39487886"/>
      <w:r w:rsidRPr="000217C7">
        <w:rPr>
          <w:color w:val="000000" w:themeColor="text1"/>
        </w:rPr>
        <w:t xml:space="preserve">Table </w:t>
      </w:r>
      <w:bookmarkEnd w:id="29"/>
      <w:r w:rsidR="00415578" w:rsidRPr="000217C7">
        <w:rPr>
          <w:noProof/>
          <w:color w:val="000000" w:themeColor="text1"/>
        </w:rPr>
        <w:t>2</w:t>
      </w:r>
    </w:p>
    <w:tbl>
      <w:tblPr>
        <w:tblStyle w:val="TableGrid"/>
        <w:tblpPr w:leftFromText="180" w:rightFromText="180" w:vertAnchor="text" w:horzAnchor="margin" w:tblpY="111"/>
        <w:tblW w:w="10201" w:type="dxa"/>
        <w:tblLayout w:type="fixed"/>
        <w:tblLook w:val="04A0" w:firstRow="1" w:lastRow="0" w:firstColumn="1" w:lastColumn="0" w:noHBand="0" w:noVBand="1"/>
      </w:tblPr>
      <w:tblGrid>
        <w:gridCol w:w="544"/>
        <w:gridCol w:w="1997"/>
        <w:gridCol w:w="992"/>
        <w:gridCol w:w="992"/>
        <w:gridCol w:w="715"/>
        <w:gridCol w:w="709"/>
        <w:gridCol w:w="709"/>
        <w:gridCol w:w="708"/>
        <w:gridCol w:w="709"/>
        <w:gridCol w:w="992"/>
        <w:gridCol w:w="1134"/>
      </w:tblGrid>
      <w:tr w:rsidR="000217C7" w:rsidRPr="000217C7" w14:paraId="1B10F8BA" w14:textId="77777777" w:rsidTr="00F44694">
        <w:trPr>
          <w:trHeight w:val="255"/>
        </w:trPr>
        <w:tc>
          <w:tcPr>
            <w:tcW w:w="544" w:type="dxa"/>
            <w:tcBorders>
              <w:bottom w:val="single" w:sz="4" w:space="0" w:color="auto"/>
            </w:tcBorders>
          </w:tcPr>
          <w:p w14:paraId="67129236" w14:textId="77777777" w:rsidR="00F44694" w:rsidRPr="000217C7" w:rsidRDefault="00F44694" w:rsidP="00F44694">
            <w:pPr>
              <w:pStyle w:val="Table"/>
              <w:rPr>
                <w:b/>
                <w:bCs/>
                <w:color w:val="000000" w:themeColor="text1"/>
              </w:rPr>
            </w:pPr>
            <w:r w:rsidRPr="000217C7">
              <w:rPr>
                <w:b/>
                <w:bCs/>
                <w:color w:val="000000" w:themeColor="text1"/>
              </w:rPr>
              <w:t>H</w:t>
            </w:r>
          </w:p>
        </w:tc>
        <w:tc>
          <w:tcPr>
            <w:tcW w:w="1997" w:type="dxa"/>
            <w:tcBorders>
              <w:bottom w:val="single" w:sz="4" w:space="0" w:color="auto"/>
            </w:tcBorders>
          </w:tcPr>
          <w:p w14:paraId="4E8019F4" w14:textId="77777777" w:rsidR="00F44694" w:rsidRPr="000217C7" w:rsidRDefault="00F44694" w:rsidP="00F44694">
            <w:pPr>
              <w:pStyle w:val="Table"/>
              <w:rPr>
                <w:b/>
                <w:bCs/>
                <w:color w:val="000000" w:themeColor="text1"/>
              </w:rPr>
            </w:pPr>
            <w:r w:rsidRPr="000217C7">
              <w:rPr>
                <w:b/>
                <w:bCs/>
                <w:color w:val="000000" w:themeColor="text1"/>
              </w:rPr>
              <w:t>Brain region</w:t>
            </w:r>
          </w:p>
        </w:tc>
        <w:tc>
          <w:tcPr>
            <w:tcW w:w="992" w:type="dxa"/>
            <w:tcBorders>
              <w:bottom w:val="single" w:sz="4" w:space="0" w:color="auto"/>
            </w:tcBorders>
          </w:tcPr>
          <w:p w14:paraId="2370748B" w14:textId="77777777" w:rsidR="00F44694" w:rsidRPr="000217C7" w:rsidRDefault="00F44694" w:rsidP="00F44694">
            <w:pPr>
              <w:pStyle w:val="Table"/>
              <w:rPr>
                <w:b/>
                <w:bCs/>
                <w:color w:val="000000" w:themeColor="text1"/>
              </w:rPr>
            </w:pPr>
            <w:r w:rsidRPr="000217C7">
              <w:rPr>
                <w:b/>
                <w:bCs/>
                <w:i/>
                <w:color w:val="000000" w:themeColor="text1"/>
              </w:rPr>
              <w:t>p</w:t>
            </w:r>
            <w:r w:rsidRPr="000217C7">
              <w:rPr>
                <w:b/>
                <w:bCs/>
                <w:color w:val="000000" w:themeColor="text1"/>
              </w:rPr>
              <w:t xml:space="preserve"> value</w:t>
            </w:r>
          </w:p>
        </w:tc>
        <w:tc>
          <w:tcPr>
            <w:tcW w:w="992" w:type="dxa"/>
            <w:tcBorders>
              <w:bottom w:val="single" w:sz="4" w:space="0" w:color="auto"/>
            </w:tcBorders>
          </w:tcPr>
          <w:p w14:paraId="2C33B63D" w14:textId="77777777" w:rsidR="00F44694" w:rsidRPr="000217C7" w:rsidRDefault="00F44694" w:rsidP="00F44694">
            <w:pPr>
              <w:pStyle w:val="Table"/>
              <w:rPr>
                <w:b/>
                <w:bCs/>
                <w:color w:val="000000" w:themeColor="text1"/>
              </w:rPr>
            </w:pPr>
            <w:r w:rsidRPr="000217C7">
              <w:rPr>
                <w:b/>
                <w:bCs/>
                <w:color w:val="000000" w:themeColor="text1"/>
              </w:rPr>
              <w:t>Vol (</w:t>
            </w:r>
            <w:r w:rsidRPr="000217C7">
              <w:rPr>
                <w:b/>
                <w:bCs/>
                <w:caps/>
                <w:color w:val="000000" w:themeColor="text1"/>
              </w:rPr>
              <w:t>mm</w:t>
            </w:r>
            <w:r w:rsidRPr="000217C7">
              <w:rPr>
                <w:b/>
                <w:bCs/>
                <w:color w:val="000000" w:themeColor="text1"/>
                <w:vertAlign w:val="superscript"/>
              </w:rPr>
              <w:t>3</w:t>
            </w:r>
            <w:r w:rsidRPr="000217C7">
              <w:rPr>
                <w:b/>
                <w:bCs/>
                <w:color w:val="000000" w:themeColor="text1"/>
              </w:rPr>
              <w:t>)</w:t>
            </w:r>
          </w:p>
        </w:tc>
        <w:tc>
          <w:tcPr>
            <w:tcW w:w="2133" w:type="dxa"/>
            <w:gridSpan w:val="3"/>
            <w:tcBorders>
              <w:bottom w:val="single" w:sz="4" w:space="0" w:color="auto"/>
            </w:tcBorders>
          </w:tcPr>
          <w:p w14:paraId="56E30F69" w14:textId="77777777" w:rsidR="00F44694" w:rsidRPr="000217C7" w:rsidRDefault="00F44694" w:rsidP="00F44694">
            <w:pPr>
              <w:pStyle w:val="Table"/>
              <w:rPr>
                <w:b/>
                <w:bCs/>
                <w:color w:val="000000" w:themeColor="text1"/>
              </w:rPr>
            </w:pPr>
            <w:r w:rsidRPr="000217C7">
              <w:rPr>
                <w:b/>
                <w:bCs/>
                <w:color w:val="000000" w:themeColor="text1"/>
              </w:rPr>
              <w:t>MNI coordinates</w:t>
            </w:r>
          </w:p>
          <w:p w14:paraId="5FD31366" w14:textId="77777777" w:rsidR="00F44694" w:rsidRPr="000217C7" w:rsidRDefault="00F44694" w:rsidP="00F44694">
            <w:pPr>
              <w:pStyle w:val="Table"/>
              <w:rPr>
                <w:b/>
                <w:bCs/>
                <w:color w:val="000000" w:themeColor="text1"/>
              </w:rPr>
            </w:pPr>
            <w:r w:rsidRPr="000217C7">
              <w:rPr>
                <w:b/>
                <w:bCs/>
                <w:color w:val="000000" w:themeColor="text1"/>
              </w:rPr>
              <w:t xml:space="preserve">   </w:t>
            </w:r>
            <w:r w:rsidRPr="000217C7">
              <w:rPr>
                <w:b/>
                <w:bCs/>
                <w:caps/>
                <w:color w:val="000000" w:themeColor="text1"/>
              </w:rPr>
              <w:t xml:space="preserve">x         </w:t>
            </w:r>
            <w:r w:rsidRPr="000217C7">
              <w:rPr>
                <w:b/>
                <w:bCs/>
                <w:color w:val="000000" w:themeColor="text1"/>
              </w:rPr>
              <w:t xml:space="preserve"> </w:t>
            </w:r>
            <w:r w:rsidRPr="000217C7">
              <w:rPr>
                <w:b/>
                <w:bCs/>
                <w:caps/>
                <w:color w:val="000000" w:themeColor="text1"/>
              </w:rPr>
              <w:t>y          z</w:t>
            </w:r>
          </w:p>
        </w:tc>
        <w:tc>
          <w:tcPr>
            <w:tcW w:w="708" w:type="dxa"/>
            <w:tcBorders>
              <w:bottom w:val="single" w:sz="4" w:space="0" w:color="auto"/>
            </w:tcBorders>
          </w:tcPr>
          <w:p w14:paraId="3F9C0B3E" w14:textId="77777777" w:rsidR="00F44694" w:rsidRPr="000217C7" w:rsidRDefault="00F44694" w:rsidP="00F44694">
            <w:pPr>
              <w:pStyle w:val="Table"/>
              <w:rPr>
                <w:b/>
                <w:bCs/>
                <w:color w:val="000000" w:themeColor="text1"/>
              </w:rPr>
            </w:pPr>
            <w:r w:rsidRPr="000217C7">
              <w:rPr>
                <w:b/>
                <w:bCs/>
                <w:color w:val="000000" w:themeColor="text1"/>
              </w:rPr>
              <w:t>T</w:t>
            </w:r>
          </w:p>
        </w:tc>
        <w:tc>
          <w:tcPr>
            <w:tcW w:w="709" w:type="dxa"/>
            <w:tcBorders>
              <w:bottom w:val="single" w:sz="4" w:space="0" w:color="auto"/>
            </w:tcBorders>
          </w:tcPr>
          <w:p w14:paraId="60682589" w14:textId="77777777" w:rsidR="00F44694" w:rsidRPr="000217C7" w:rsidRDefault="00F44694" w:rsidP="00F44694">
            <w:pPr>
              <w:pStyle w:val="Table"/>
              <w:rPr>
                <w:b/>
                <w:bCs/>
                <w:color w:val="000000" w:themeColor="text1"/>
              </w:rPr>
            </w:pPr>
            <w:r w:rsidRPr="000217C7">
              <w:rPr>
                <w:b/>
                <w:bCs/>
                <w:color w:val="000000" w:themeColor="text1"/>
              </w:rPr>
              <w:t>Z</w:t>
            </w:r>
          </w:p>
        </w:tc>
        <w:tc>
          <w:tcPr>
            <w:tcW w:w="2126" w:type="dxa"/>
            <w:gridSpan w:val="2"/>
            <w:tcBorders>
              <w:bottom w:val="single" w:sz="4" w:space="0" w:color="auto"/>
            </w:tcBorders>
          </w:tcPr>
          <w:p w14:paraId="1674D4B6" w14:textId="77777777" w:rsidR="00F44694" w:rsidRPr="000217C7" w:rsidRDefault="00F44694" w:rsidP="00F44694">
            <w:pPr>
              <w:pStyle w:val="Table"/>
              <w:rPr>
                <w:b/>
                <w:bCs/>
                <w:color w:val="000000" w:themeColor="text1"/>
              </w:rPr>
            </w:pPr>
          </w:p>
        </w:tc>
      </w:tr>
      <w:tr w:rsidR="000217C7" w:rsidRPr="000217C7" w14:paraId="71889263" w14:textId="77777777" w:rsidTr="00F44694">
        <w:trPr>
          <w:trHeight w:val="255"/>
        </w:trPr>
        <w:tc>
          <w:tcPr>
            <w:tcW w:w="8075" w:type="dxa"/>
            <w:gridSpan w:val="9"/>
            <w:tcBorders>
              <w:top w:val="single" w:sz="4" w:space="0" w:color="auto"/>
              <w:left w:val="single" w:sz="4" w:space="0" w:color="auto"/>
              <w:bottom w:val="single" w:sz="4" w:space="0" w:color="auto"/>
              <w:right w:val="nil"/>
            </w:tcBorders>
          </w:tcPr>
          <w:p w14:paraId="7522AA4B" w14:textId="77777777" w:rsidR="00F44694" w:rsidRPr="000217C7" w:rsidRDefault="00F44694" w:rsidP="00F44694">
            <w:pPr>
              <w:pStyle w:val="Table"/>
              <w:jc w:val="center"/>
              <w:rPr>
                <w:b/>
                <w:bCs/>
                <w:color w:val="000000" w:themeColor="text1"/>
              </w:rPr>
            </w:pPr>
            <w:proofErr w:type="spellStart"/>
            <w:r w:rsidRPr="000217C7">
              <w:rPr>
                <w:b/>
                <w:bCs/>
                <w:color w:val="000000" w:themeColor="text1"/>
              </w:rPr>
              <w:t>bCFS</w:t>
            </w:r>
            <w:proofErr w:type="spellEnd"/>
            <w:r w:rsidRPr="000217C7">
              <w:rPr>
                <w:b/>
                <w:bCs/>
                <w:color w:val="000000" w:themeColor="text1"/>
              </w:rPr>
              <w:t xml:space="preserve"> RTs and GM density</w:t>
            </w:r>
          </w:p>
        </w:tc>
        <w:tc>
          <w:tcPr>
            <w:tcW w:w="2126" w:type="dxa"/>
            <w:gridSpan w:val="2"/>
            <w:tcBorders>
              <w:top w:val="single" w:sz="4" w:space="0" w:color="auto"/>
              <w:left w:val="nil"/>
              <w:bottom w:val="single" w:sz="4" w:space="0" w:color="auto"/>
              <w:right w:val="single" w:sz="4" w:space="0" w:color="auto"/>
            </w:tcBorders>
          </w:tcPr>
          <w:p w14:paraId="4DEBFE53" w14:textId="77777777" w:rsidR="00F44694" w:rsidRPr="000217C7" w:rsidRDefault="00F44694" w:rsidP="00F44694">
            <w:pPr>
              <w:pStyle w:val="Table"/>
              <w:rPr>
                <w:b/>
                <w:bCs/>
                <w:color w:val="000000" w:themeColor="text1"/>
              </w:rPr>
            </w:pPr>
          </w:p>
        </w:tc>
      </w:tr>
      <w:tr w:rsidR="000217C7" w:rsidRPr="000217C7" w14:paraId="3C5603C6" w14:textId="77777777" w:rsidTr="00F44694">
        <w:trPr>
          <w:trHeight w:val="255"/>
        </w:trPr>
        <w:tc>
          <w:tcPr>
            <w:tcW w:w="544" w:type="dxa"/>
            <w:tcBorders>
              <w:top w:val="single" w:sz="4" w:space="0" w:color="auto"/>
            </w:tcBorders>
          </w:tcPr>
          <w:p w14:paraId="1F64D0CF" w14:textId="77777777" w:rsidR="00F44694" w:rsidRPr="000217C7" w:rsidRDefault="00F44694" w:rsidP="00F44694">
            <w:pPr>
              <w:pStyle w:val="Table"/>
              <w:rPr>
                <w:color w:val="000000" w:themeColor="text1"/>
              </w:rPr>
            </w:pPr>
            <w:r w:rsidRPr="000217C7">
              <w:rPr>
                <w:color w:val="000000" w:themeColor="text1"/>
              </w:rPr>
              <w:t>R</w:t>
            </w:r>
          </w:p>
        </w:tc>
        <w:tc>
          <w:tcPr>
            <w:tcW w:w="1997" w:type="dxa"/>
            <w:tcBorders>
              <w:top w:val="single" w:sz="4" w:space="0" w:color="auto"/>
            </w:tcBorders>
          </w:tcPr>
          <w:p w14:paraId="79AB5DF4" w14:textId="77777777" w:rsidR="00F44694" w:rsidRPr="000217C7" w:rsidRDefault="00F44694" w:rsidP="00F44694">
            <w:pPr>
              <w:pStyle w:val="Table"/>
              <w:rPr>
                <w:color w:val="000000" w:themeColor="text1"/>
                <w:lang w:val="it-IT"/>
              </w:rPr>
            </w:pPr>
            <w:r w:rsidRPr="000217C7">
              <w:rPr>
                <w:color w:val="000000" w:themeColor="text1"/>
                <w:lang w:val="it-IT"/>
              </w:rPr>
              <w:t>Calcarine</w:t>
            </w:r>
          </w:p>
        </w:tc>
        <w:tc>
          <w:tcPr>
            <w:tcW w:w="992" w:type="dxa"/>
            <w:tcBorders>
              <w:top w:val="single" w:sz="4" w:space="0" w:color="auto"/>
            </w:tcBorders>
          </w:tcPr>
          <w:p w14:paraId="3E4041CB" w14:textId="77777777" w:rsidR="00F44694" w:rsidRPr="000217C7" w:rsidRDefault="00F44694" w:rsidP="00F44694">
            <w:pPr>
              <w:pStyle w:val="Table"/>
              <w:jc w:val="right"/>
              <w:rPr>
                <w:color w:val="000000" w:themeColor="text1"/>
              </w:rPr>
            </w:pPr>
            <w:r w:rsidRPr="000217C7">
              <w:rPr>
                <w:color w:val="000000" w:themeColor="text1"/>
              </w:rPr>
              <w:t>&lt; 0.001</w:t>
            </w:r>
          </w:p>
        </w:tc>
        <w:tc>
          <w:tcPr>
            <w:tcW w:w="992" w:type="dxa"/>
            <w:tcBorders>
              <w:top w:val="single" w:sz="4" w:space="0" w:color="auto"/>
            </w:tcBorders>
          </w:tcPr>
          <w:p w14:paraId="4228CECE" w14:textId="77777777" w:rsidR="00F44694" w:rsidRPr="000217C7" w:rsidRDefault="00F44694" w:rsidP="00F44694">
            <w:pPr>
              <w:pStyle w:val="Table"/>
              <w:rPr>
                <w:color w:val="000000" w:themeColor="text1"/>
              </w:rPr>
            </w:pPr>
            <w:r w:rsidRPr="000217C7">
              <w:rPr>
                <w:color w:val="000000" w:themeColor="text1"/>
              </w:rPr>
              <w:t>2335.5</w:t>
            </w:r>
          </w:p>
        </w:tc>
        <w:tc>
          <w:tcPr>
            <w:tcW w:w="715" w:type="dxa"/>
            <w:tcBorders>
              <w:top w:val="single" w:sz="4" w:space="0" w:color="auto"/>
            </w:tcBorders>
          </w:tcPr>
          <w:p w14:paraId="3292884F" w14:textId="77777777" w:rsidR="00F44694" w:rsidRPr="000217C7" w:rsidRDefault="00F44694" w:rsidP="00F44694">
            <w:pPr>
              <w:pStyle w:val="Table"/>
              <w:jc w:val="center"/>
              <w:rPr>
                <w:color w:val="000000" w:themeColor="text1"/>
              </w:rPr>
            </w:pPr>
            <w:r w:rsidRPr="000217C7">
              <w:rPr>
                <w:color w:val="000000" w:themeColor="text1"/>
              </w:rPr>
              <w:t>16</w:t>
            </w:r>
          </w:p>
        </w:tc>
        <w:tc>
          <w:tcPr>
            <w:tcW w:w="709" w:type="dxa"/>
            <w:tcBorders>
              <w:top w:val="single" w:sz="4" w:space="0" w:color="auto"/>
            </w:tcBorders>
          </w:tcPr>
          <w:p w14:paraId="3A83FF83" w14:textId="77777777" w:rsidR="00F44694" w:rsidRPr="000217C7" w:rsidRDefault="00F44694" w:rsidP="00F44694">
            <w:pPr>
              <w:pStyle w:val="Table"/>
              <w:jc w:val="center"/>
              <w:rPr>
                <w:color w:val="000000" w:themeColor="text1"/>
              </w:rPr>
            </w:pPr>
            <w:r w:rsidRPr="000217C7">
              <w:rPr>
                <w:color w:val="000000" w:themeColor="text1"/>
              </w:rPr>
              <w:t>-84</w:t>
            </w:r>
          </w:p>
        </w:tc>
        <w:tc>
          <w:tcPr>
            <w:tcW w:w="709" w:type="dxa"/>
            <w:tcBorders>
              <w:top w:val="single" w:sz="4" w:space="0" w:color="auto"/>
            </w:tcBorders>
          </w:tcPr>
          <w:p w14:paraId="74EE22FF" w14:textId="77777777" w:rsidR="00F44694" w:rsidRPr="000217C7" w:rsidRDefault="00F44694" w:rsidP="00F44694">
            <w:pPr>
              <w:pStyle w:val="Table"/>
              <w:jc w:val="center"/>
              <w:rPr>
                <w:color w:val="000000" w:themeColor="text1"/>
              </w:rPr>
            </w:pPr>
            <w:r w:rsidRPr="000217C7">
              <w:rPr>
                <w:color w:val="000000" w:themeColor="text1"/>
              </w:rPr>
              <w:t>6</w:t>
            </w:r>
          </w:p>
        </w:tc>
        <w:tc>
          <w:tcPr>
            <w:tcW w:w="708" w:type="dxa"/>
            <w:tcBorders>
              <w:top w:val="single" w:sz="4" w:space="0" w:color="auto"/>
            </w:tcBorders>
          </w:tcPr>
          <w:p w14:paraId="6EC18BBE" w14:textId="77777777" w:rsidR="00F44694" w:rsidRPr="000217C7" w:rsidRDefault="00F44694" w:rsidP="00F44694">
            <w:pPr>
              <w:pStyle w:val="Table"/>
              <w:rPr>
                <w:color w:val="000000" w:themeColor="text1"/>
              </w:rPr>
            </w:pPr>
            <w:r w:rsidRPr="000217C7">
              <w:rPr>
                <w:color w:val="000000" w:themeColor="text1"/>
              </w:rPr>
              <w:t>4.92</w:t>
            </w:r>
          </w:p>
        </w:tc>
        <w:tc>
          <w:tcPr>
            <w:tcW w:w="709" w:type="dxa"/>
            <w:tcBorders>
              <w:top w:val="single" w:sz="4" w:space="0" w:color="auto"/>
            </w:tcBorders>
          </w:tcPr>
          <w:p w14:paraId="121AE2A6" w14:textId="77777777" w:rsidR="00F44694" w:rsidRPr="000217C7" w:rsidRDefault="00F44694" w:rsidP="00F44694">
            <w:pPr>
              <w:pStyle w:val="Table"/>
              <w:rPr>
                <w:color w:val="000000" w:themeColor="text1"/>
              </w:rPr>
            </w:pPr>
            <w:r w:rsidRPr="000217C7">
              <w:rPr>
                <w:color w:val="000000" w:themeColor="text1"/>
              </w:rPr>
              <w:t>4.41</w:t>
            </w:r>
          </w:p>
        </w:tc>
        <w:tc>
          <w:tcPr>
            <w:tcW w:w="2126" w:type="dxa"/>
            <w:gridSpan w:val="2"/>
            <w:tcBorders>
              <w:top w:val="single" w:sz="4" w:space="0" w:color="auto"/>
            </w:tcBorders>
          </w:tcPr>
          <w:p w14:paraId="2C75C010" w14:textId="77777777" w:rsidR="00F44694" w:rsidRPr="000217C7" w:rsidRDefault="00F44694" w:rsidP="00F44694">
            <w:pPr>
              <w:pStyle w:val="Table"/>
              <w:rPr>
                <w:color w:val="000000" w:themeColor="text1"/>
              </w:rPr>
            </w:pPr>
            <w:r w:rsidRPr="000217C7">
              <w:rPr>
                <w:color w:val="000000" w:themeColor="text1"/>
              </w:rPr>
              <w:t>direct</w:t>
            </w:r>
          </w:p>
        </w:tc>
      </w:tr>
      <w:tr w:rsidR="000217C7" w:rsidRPr="000217C7" w14:paraId="1E7D6E81" w14:textId="77777777" w:rsidTr="00F44694">
        <w:trPr>
          <w:trHeight w:val="255"/>
        </w:trPr>
        <w:tc>
          <w:tcPr>
            <w:tcW w:w="544" w:type="dxa"/>
          </w:tcPr>
          <w:p w14:paraId="4ADB943A" w14:textId="77777777" w:rsidR="00F44694" w:rsidRPr="000217C7" w:rsidRDefault="00F44694" w:rsidP="00F44694">
            <w:pPr>
              <w:pStyle w:val="Table"/>
              <w:rPr>
                <w:color w:val="000000" w:themeColor="text1"/>
              </w:rPr>
            </w:pPr>
            <w:r w:rsidRPr="000217C7">
              <w:rPr>
                <w:color w:val="000000" w:themeColor="text1"/>
              </w:rPr>
              <w:t>R</w:t>
            </w:r>
          </w:p>
        </w:tc>
        <w:tc>
          <w:tcPr>
            <w:tcW w:w="1997" w:type="dxa"/>
          </w:tcPr>
          <w:p w14:paraId="64D251FB" w14:textId="77777777" w:rsidR="00F44694" w:rsidRPr="000217C7" w:rsidRDefault="00F44694" w:rsidP="00F44694">
            <w:pPr>
              <w:pStyle w:val="Table"/>
              <w:rPr>
                <w:color w:val="000000" w:themeColor="text1"/>
                <w:lang w:val="it-IT"/>
              </w:rPr>
            </w:pPr>
            <w:proofErr w:type="spellStart"/>
            <w:r w:rsidRPr="000217C7">
              <w:rPr>
                <w:color w:val="000000" w:themeColor="text1"/>
                <w:lang w:val="it-IT"/>
              </w:rPr>
              <w:t>Inferior</w:t>
            </w:r>
            <w:proofErr w:type="spellEnd"/>
            <w:r w:rsidRPr="000217C7">
              <w:rPr>
                <w:color w:val="000000" w:themeColor="text1"/>
                <w:lang w:val="it-IT"/>
              </w:rPr>
              <w:t xml:space="preserve"> </w:t>
            </w:r>
            <w:proofErr w:type="spellStart"/>
            <w:r w:rsidRPr="000217C7">
              <w:rPr>
                <w:color w:val="000000" w:themeColor="text1"/>
                <w:lang w:val="it-IT"/>
              </w:rPr>
              <w:t>Occipital</w:t>
            </w:r>
            <w:proofErr w:type="spellEnd"/>
            <w:r w:rsidRPr="000217C7">
              <w:rPr>
                <w:color w:val="000000" w:themeColor="text1"/>
                <w:lang w:val="it-IT"/>
              </w:rPr>
              <w:t xml:space="preserve"> g./ </w:t>
            </w:r>
            <w:proofErr w:type="spellStart"/>
            <w:r w:rsidRPr="000217C7">
              <w:rPr>
                <w:color w:val="000000" w:themeColor="text1"/>
                <w:lang w:val="it-IT"/>
              </w:rPr>
              <w:t>Occipital</w:t>
            </w:r>
            <w:proofErr w:type="spellEnd"/>
            <w:r w:rsidRPr="000217C7">
              <w:rPr>
                <w:color w:val="000000" w:themeColor="text1"/>
                <w:lang w:val="it-IT"/>
              </w:rPr>
              <w:t xml:space="preserve"> </w:t>
            </w:r>
            <w:proofErr w:type="spellStart"/>
            <w:r w:rsidRPr="000217C7">
              <w:rPr>
                <w:color w:val="000000" w:themeColor="text1"/>
                <w:lang w:val="it-IT"/>
              </w:rPr>
              <w:t>Fusiform</w:t>
            </w:r>
            <w:proofErr w:type="spellEnd"/>
            <w:r w:rsidRPr="000217C7">
              <w:rPr>
                <w:color w:val="000000" w:themeColor="text1"/>
                <w:lang w:val="it-IT"/>
              </w:rPr>
              <w:t xml:space="preserve"> g.</w:t>
            </w:r>
          </w:p>
        </w:tc>
        <w:tc>
          <w:tcPr>
            <w:tcW w:w="992" w:type="dxa"/>
          </w:tcPr>
          <w:p w14:paraId="739FED03" w14:textId="77777777" w:rsidR="00F44694" w:rsidRPr="000217C7" w:rsidRDefault="00F44694" w:rsidP="00F44694">
            <w:pPr>
              <w:pStyle w:val="Table"/>
              <w:jc w:val="right"/>
              <w:rPr>
                <w:color w:val="000000" w:themeColor="text1"/>
              </w:rPr>
            </w:pPr>
            <w:r w:rsidRPr="000217C7">
              <w:rPr>
                <w:color w:val="000000" w:themeColor="text1"/>
              </w:rPr>
              <w:t>0.007</w:t>
            </w:r>
          </w:p>
        </w:tc>
        <w:tc>
          <w:tcPr>
            <w:tcW w:w="992" w:type="dxa"/>
          </w:tcPr>
          <w:p w14:paraId="59547C55" w14:textId="77777777" w:rsidR="00F44694" w:rsidRPr="000217C7" w:rsidRDefault="00F44694" w:rsidP="00F44694">
            <w:pPr>
              <w:pStyle w:val="Table"/>
              <w:rPr>
                <w:color w:val="000000" w:themeColor="text1"/>
              </w:rPr>
            </w:pPr>
            <w:r w:rsidRPr="000217C7">
              <w:rPr>
                <w:color w:val="000000" w:themeColor="text1"/>
              </w:rPr>
              <w:t>1312.88</w:t>
            </w:r>
          </w:p>
          <w:p w14:paraId="1932A69E" w14:textId="77777777" w:rsidR="00F44694" w:rsidRPr="000217C7" w:rsidRDefault="00F44694" w:rsidP="00F44694">
            <w:pPr>
              <w:pStyle w:val="Table"/>
              <w:rPr>
                <w:color w:val="000000" w:themeColor="text1"/>
              </w:rPr>
            </w:pPr>
          </w:p>
        </w:tc>
        <w:tc>
          <w:tcPr>
            <w:tcW w:w="715" w:type="dxa"/>
          </w:tcPr>
          <w:p w14:paraId="472EB7CA" w14:textId="77777777" w:rsidR="00F44694" w:rsidRPr="000217C7" w:rsidRDefault="00F44694" w:rsidP="00F44694">
            <w:pPr>
              <w:pStyle w:val="Table"/>
              <w:jc w:val="center"/>
              <w:rPr>
                <w:color w:val="000000" w:themeColor="text1"/>
              </w:rPr>
            </w:pPr>
            <w:r w:rsidRPr="000217C7">
              <w:rPr>
                <w:color w:val="000000" w:themeColor="text1"/>
              </w:rPr>
              <w:t>36</w:t>
            </w:r>
          </w:p>
        </w:tc>
        <w:tc>
          <w:tcPr>
            <w:tcW w:w="709" w:type="dxa"/>
          </w:tcPr>
          <w:p w14:paraId="664DA9A8" w14:textId="77777777" w:rsidR="00F44694" w:rsidRPr="000217C7" w:rsidRDefault="00F44694" w:rsidP="00F44694">
            <w:pPr>
              <w:pStyle w:val="Table"/>
              <w:jc w:val="center"/>
              <w:rPr>
                <w:color w:val="000000" w:themeColor="text1"/>
              </w:rPr>
            </w:pPr>
            <w:r w:rsidRPr="000217C7">
              <w:rPr>
                <w:color w:val="000000" w:themeColor="text1"/>
              </w:rPr>
              <w:t>-81</w:t>
            </w:r>
          </w:p>
        </w:tc>
        <w:tc>
          <w:tcPr>
            <w:tcW w:w="709" w:type="dxa"/>
          </w:tcPr>
          <w:p w14:paraId="4C7273BD" w14:textId="77777777" w:rsidR="00F44694" w:rsidRPr="000217C7" w:rsidRDefault="00F44694" w:rsidP="00F44694">
            <w:pPr>
              <w:pStyle w:val="Table"/>
              <w:jc w:val="center"/>
              <w:rPr>
                <w:color w:val="000000" w:themeColor="text1"/>
              </w:rPr>
            </w:pPr>
            <w:r w:rsidRPr="000217C7">
              <w:rPr>
                <w:color w:val="000000" w:themeColor="text1"/>
              </w:rPr>
              <w:t>-9</w:t>
            </w:r>
          </w:p>
        </w:tc>
        <w:tc>
          <w:tcPr>
            <w:tcW w:w="708" w:type="dxa"/>
          </w:tcPr>
          <w:p w14:paraId="5DCEEE1A" w14:textId="77777777" w:rsidR="00F44694" w:rsidRPr="000217C7" w:rsidRDefault="00F44694" w:rsidP="00F44694">
            <w:pPr>
              <w:pStyle w:val="Table"/>
              <w:rPr>
                <w:color w:val="000000" w:themeColor="text1"/>
              </w:rPr>
            </w:pPr>
            <w:r w:rsidRPr="000217C7">
              <w:rPr>
                <w:color w:val="000000" w:themeColor="text1"/>
              </w:rPr>
              <w:t>4.04</w:t>
            </w:r>
          </w:p>
        </w:tc>
        <w:tc>
          <w:tcPr>
            <w:tcW w:w="709" w:type="dxa"/>
          </w:tcPr>
          <w:p w14:paraId="6691507B" w14:textId="77777777" w:rsidR="00F44694" w:rsidRPr="000217C7" w:rsidRDefault="00F44694" w:rsidP="00F44694">
            <w:pPr>
              <w:pStyle w:val="Table"/>
              <w:rPr>
                <w:color w:val="000000" w:themeColor="text1"/>
              </w:rPr>
            </w:pPr>
            <w:r w:rsidRPr="000217C7">
              <w:rPr>
                <w:color w:val="000000" w:themeColor="text1"/>
              </w:rPr>
              <w:t>3.72</w:t>
            </w:r>
          </w:p>
        </w:tc>
        <w:tc>
          <w:tcPr>
            <w:tcW w:w="2126" w:type="dxa"/>
            <w:gridSpan w:val="2"/>
          </w:tcPr>
          <w:p w14:paraId="6FC9743E" w14:textId="77777777" w:rsidR="00F44694" w:rsidRPr="000217C7" w:rsidRDefault="00F44694" w:rsidP="00F44694">
            <w:pPr>
              <w:pStyle w:val="Table"/>
              <w:rPr>
                <w:color w:val="000000" w:themeColor="text1"/>
              </w:rPr>
            </w:pPr>
            <w:r w:rsidRPr="000217C7">
              <w:rPr>
                <w:color w:val="000000" w:themeColor="text1"/>
              </w:rPr>
              <w:t>direct</w:t>
            </w:r>
          </w:p>
        </w:tc>
      </w:tr>
      <w:tr w:rsidR="000217C7" w:rsidRPr="000217C7" w14:paraId="62A34E48" w14:textId="77777777" w:rsidTr="00F44694">
        <w:trPr>
          <w:trHeight w:val="255"/>
        </w:trPr>
        <w:tc>
          <w:tcPr>
            <w:tcW w:w="544" w:type="dxa"/>
            <w:tcBorders>
              <w:bottom w:val="single" w:sz="4" w:space="0" w:color="auto"/>
            </w:tcBorders>
          </w:tcPr>
          <w:p w14:paraId="4D0507A1" w14:textId="77777777" w:rsidR="00F44694" w:rsidRPr="000217C7" w:rsidRDefault="00F44694" w:rsidP="00F44694">
            <w:pPr>
              <w:pStyle w:val="Table"/>
              <w:rPr>
                <w:color w:val="000000" w:themeColor="text1"/>
              </w:rPr>
            </w:pPr>
            <w:r w:rsidRPr="000217C7">
              <w:rPr>
                <w:color w:val="000000" w:themeColor="text1"/>
              </w:rPr>
              <w:t>R</w:t>
            </w:r>
          </w:p>
        </w:tc>
        <w:tc>
          <w:tcPr>
            <w:tcW w:w="1997" w:type="dxa"/>
            <w:tcBorders>
              <w:bottom w:val="single" w:sz="4" w:space="0" w:color="auto"/>
            </w:tcBorders>
          </w:tcPr>
          <w:p w14:paraId="5502913D" w14:textId="77777777" w:rsidR="00F44694" w:rsidRPr="000217C7" w:rsidRDefault="00F44694" w:rsidP="00F44694">
            <w:pPr>
              <w:pStyle w:val="Table"/>
              <w:rPr>
                <w:color w:val="000000" w:themeColor="text1"/>
                <w:lang w:val="it-IT"/>
              </w:rPr>
            </w:pPr>
            <w:r w:rsidRPr="000217C7">
              <w:rPr>
                <w:color w:val="000000" w:themeColor="text1"/>
              </w:rPr>
              <w:t>Caudate</w:t>
            </w:r>
          </w:p>
        </w:tc>
        <w:tc>
          <w:tcPr>
            <w:tcW w:w="992" w:type="dxa"/>
            <w:tcBorders>
              <w:bottom w:val="single" w:sz="4" w:space="0" w:color="auto"/>
            </w:tcBorders>
          </w:tcPr>
          <w:p w14:paraId="5E8AC4A0" w14:textId="77777777" w:rsidR="00F44694" w:rsidRPr="000217C7" w:rsidRDefault="00F44694" w:rsidP="00F44694">
            <w:pPr>
              <w:pStyle w:val="Table"/>
              <w:jc w:val="right"/>
              <w:rPr>
                <w:color w:val="000000" w:themeColor="text1"/>
              </w:rPr>
            </w:pPr>
            <w:r w:rsidRPr="000217C7">
              <w:rPr>
                <w:color w:val="000000" w:themeColor="text1"/>
              </w:rPr>
              <w:t>0.015</w:t>
            </w:r>
          </w:p>
        </w:tc>
        <w:tc>
          <w:tcPr>
            <w:tcW w:w="992" w:type="dxa"/>
            <w:tcBorders>
              <w:bottom w:val="single" w:sz="4" w:space="0" w:color="auto"/>
            </w:tcBorders>
          </w:tcPr>
          <w:p w14:paraId="0CA60472" w14:textId="77777777" w:rsidR="00F44694" w:rsidRPr="000217C7" w:rsidRDefault="00F44694" w:rsidP="00F44694">
            <w:pPr>
              <w:pStyle w:val="Table"/>
              <w:rPr>
                <w:color w:val="000000" w:themeColor="text1"/>
              </w:rPr>
            </w:pPr>
            <w:r w:rsidRPr="000217C7">
              <w:rPr>
                <w:color w:val="000000" w:themeColor="text1"/>
              </w:rPr>
              <w:t>1140.75</w:t>
            </w:r>
          </w:p>
        </w:tc>
        <w:tc>
          <w:tcPr>
            <w:tcW w:w="715" w:type="dxa"/>
            <w:tcBorders>
              <w:bottom w:val="single" w:sz="4" w:space="0" w:color="auto"/>
            </w:tcBorders>
          </w:tcPr>
          <w:p w14:paraId="5805467B" w14:textId="77777777" w:rsidR="00F44694" w:rsidRPr="000217C7" w:rsidRDefault="00F44694" w:rsidP="00F44694">
            <w:pPr>
              <w:pStyle w:val="Table"/>
              <w:jc w:val="center"/>
              <w:rPr>
                <w:color w:val="000000" w:themeColor="text1"/>
              </w:rPr>
            </w:pPr>
            <w:r w:rsidRPr="000217C7">
              <w:rPr>
                <w:color w:val="000000" w:themeColor="text1"/>
              </w:rPr>
              <w:t>15</w:t>
            </w:r>
          </w:p>
        </w:tc>
        <w:tc>
          <w:tcPr>
            <w:tcW w:w="709" w:type="dxa"/>
            <w:tcBorders>
              <w:bottom w:val="single" w:sz="4" w:space="0" w:color="auto"/>
            </w:tcBorders>
          </w:tcPr>
          <w:p w14:paraId="5D6DB7F2" w14:textId="77777777" w:rsidR="00F44694" w:rsidRPr="000217C7" w:rsidRDefault="00F44694" w:rsidP="00F44694">
            <w:pPr>
              <w:pStyle w:val="Table"/>
              <w:jc w:val="center"/>
              <w:rPr>
                <w:color w:val="000000" w:themeColor="text1"/>
              </w:rPr>
            </w:pPr>
            <w:r w:rsidRPr="000217C7">
              <w:rPr>
                <w:color w:val="000000" w:themeColor="text1"/>
              </w:rPr>
              <w:t>0</w:t>
            </w:r>
          </w:p>
        </w:tc>
        <w:tc>
          <w:tcPr>
            <w:tcW w:w="709" w:type="dxa"/>
            <w:tcBorders>
              <w:bottom w:val="single" w:sz="4" w:space="0" w:color="auto"/>
            </w:tcBorders>
          </w:tcPr>
          <w:p w14:paraId="5536A1E5" w14:textId="77777777" w:rsidR="00F44694" w:rsidRPr="000217C7" w:rsidRDefault="00F44694" w:rsidP="00F44694">
            <w:pPr>
              <w:pStyle w:val="Table"/>
              <w:jc w:val="center"/>
              <w:rPr>
                <w:color w:val="000000" w:themeColor="text1"/>
              </w:rPr>
            </w:pPr>
            <w:r w:rsidRPr="000217C7">
              <w:rPr>
                <w:color w:val="000000" w:themeColor="text1"/>
              </w:rPr>
              <w:t>27</w:t>
            </w:r>
          </w:p>
        </w:tc>
        <w:tc>
          <w:tcPr>
            <w:tcW w:w="708" w:type="dxa"/>
            <w:tcBorders>
              <w:bottom w:val="single" w:sz="4" w:space="0" w:color="auto"/>
            </w:tcBorders>
          </w:tcPr>
          <w:p w14:paraId="2BEDA602" w14:textId="77777777" w:rsidR="00F44694" w:rsidRPr="000217C7" w:rsidRDefault="00F44694" w:rsidP="00F44694">
            <w:pPr>
              <w:pStyle w:val="Table"/>
              <w:rPr>
                <w:color w:val="000000" w:themeColor="text1"/>
              </w:rPr>
            </w:pPr>
            <w:r w:rsidRPr="000217C7">
              <w:rPr>
                <w:color w:val="000000" w:themeColor="text1"/>
              </w:rPr>
              <w:t>3.59</w:t>
            </w:r>
          </w:p>
        </w:tc>
        <w:tc>
          <w:tcPr>
            <w:tcW w:w="709" w:type="dxa"/>
            <w:tcBorders>
              <w:bottom w:val="single" w:sz="4" w:space="0" w:color="auto"/>
            </w:tcBorders>
          </w:tcPr>
          <w:p w14:paraId="57067012" w14:textId="77777777" w:rsidR="00F44694" w:rsidRPr="000217C7" w:rsidRDefault="00F44694" w:rsidP="00F44694">
            <w:pPr>
              <w:pStyle w:val="Table"/>
              <w:rPr>
                <w:color w:val="000000" w:themeColor="text1"/>
              </w:rPr>
            </w:pPr>
            <w:r w:rsidRPr="000217C7">
              <w:rPr>
                <w:color w:val="000000" w:themeColor="text1"/>
              </w:rPr>
              <w:t>3.36</w:t>
            </w:r>
          </w:p>
        </w:tc>
        <w:tc>
          <w:tcPr>
            <w:tcW w:w="2126" w:type="dxa"/>
            <w:gridSpan w:val="2"/>
            <w:tcBorders>
              <w:bottom w:val="single" w:sz="4" w:space="0" w:color="auto"/>
            </w:tcBorders>
          </w:tcPr>
          <w:p w14:paraId="2D06381C" w14:textId="77777777" w:rsidR="00F44694" w:rsidRPr="000217C7" w:rsidRDefault="00F44694" w:rsidP="00F44694">
            <w:pPr>
              <w:pStyle w:val="Table"/>
              <w:rPr>
                <w:color w:val="000000" w:themeColor="text1"/>
              </w:rPr>
            </w:pPr>
            <w:r w:rsidRPr="000217C7">
              <w:rPr>
                <w:color w:val="000000" w:themeColor="text1"/>
              </w:rPr>
              <w:t>direct</w:t>
            </w:r>
          </w:p>
        </w:tc>
      </w:tr>
      <w:tr w:rsidR="000217C7" w:rsidRPr="000217C7" w14:paraId="3AF4532F" w14:textId="77777777" w:rsidTr="00F44694">
        <w:trPr>
          <w:trHeight w:val="255"/>
        </w:trPr>
        <w:tc>
          <w:tcPr>
            <w:tcW w:w="544" w:type="dxa"/>
            <w:tcBorders>
              <w:bottom w:val="single" w:sz="4" w:space="0" w:color="auto"/>
            </w:tcBorders>
          </w:tcPr>
          <w:p w14:paraId="2DFEFE45" w14:textId="77777777" w:rsidR="00F44694" w:rsidRPr="000217C7" w:rsidRDefault="00F44694" w:rsidP="00F44694">
            <w:pPr>
              <w:pStyle w:val="Table"/>
              <w:rPr>
                <w:color w:val="000000" w:themeColor="text1"/>
              </w:rPr>
            </w:pPr>
            <w:r w:rsidRPr="000217C7">
              <w:rPr>
                <w:color w:val="000000" w:themeColor="text1"/>
              </w:rPr>
              <w:t>L</w:t>
            </w:r>
          </w:p>
        </w:tc>
        <w:tc>
          <w:tcPr>
            <w:tcW w:w="1997" w:type="dxa"/>
            <w:tcBorders>
              <w:bottom w:val="single" w:sz="4" w:space="0" w:color="auto"/>
            </w:tcBorders>
          </w:tcPr>
          <w:p w14:paraId="2A6D55F0" w14:textId="77777777" w:rsidR="00F44694" w:rsidRPr="000217C7" w:rsidRDefault="00F44694" w:rsidP="00F44694">
            <w:pPr>
              <w:pStyle w:val="Table"/>
              <w:rPr>
                <w:color w:val="000000" w:themeColor="text1"/>
              </w:rPr>
            </w:pPr>
            <w:r w:rsidRPr="000217C7">
              <w:rPr>
                <w:color w:val="000000" w:themeColor="text1"/>
              </w:rPr>
              <w:t>Middle Frontal g.</w:t>
            </w:r>
          </w:p>
        </w:tc>
        <w:tc>
          <w:tcPr>
            <w:tcW w:w="992" w:type="dxa"/>
            <w:tcBorders>
              <w:bottom w:val="single" w:sz="4" w:space="0" w:color="auto"/>
            </w:tcBorders>
          </w:tcPr>
          <w:p w14:paraId="3F86ACDB" w14:textId="77777777" w:rsidR="00F44694" w:rsidRPr="000217C7" w:rsidRDefault="00F44694" w:rsidP="00F44694">
            <w:pPr>
              <w:pStyle w:val="Table"/>
              <w:jc w:val="right"/>
              <w:rPr>
                <w:color w:val="000000" w:themeColor="text1"/>
              </w:rPr>
            </w:pPr>
            <w:r w:rsidRPr="000217C7">
              <w:rPr>
                <w:color w:val="000000" w:themeColor="text1"/>
              </w:rPr>
              <w:t>0.008</w:t>
            </w:r>
          </w:p>
        </w:tc>
        <w:tc>
          <w:tcPr>
            <w:tcW w:w="992" w:type="dxa"/>
            <w:tcBorders>
              <w:bottom w:val="single" w:sz="4" w:space="0" w:color="auto"/>
            </w:tcBorders>
          </w:tcPr>
          <w:p w14:paraId="2CA23124" w14:textId="77777777" w:rsidR="00F44694" w:rsidRPr="000217C7" w:rsidRDefault="00F44694" w:rsidP="00F44694">
            <w:pPr>
              <w:pStyle w:val="Table"/>
              <w:rPr>
                <w:color w:val="000000" w:themeColor="text1"/>
              </w:rPr>
            </w:pPr>
            <w:r w:rsidRPr="000217C7">
              <w:rPr>
                <w:color w:val="000000" w:themeColor="text1"/>
              </w:rPr>
              <w:t>1282.5</w:t>
            </w:r>
          </w:p>
        </w:tc>
        <w:tc>
          <w:tcPr>
            <w:tcW w:w="715" w:type="dxa"/>
            <w:tcBorders>
              <w:bottom w:val="single" w:sz="4" w:space="0" w:color="auto"/>
            </w:tcBorders>
          </w:tcPr>
          <w:p w14:paraId="6543F4EA" w14:textId="77777777" w:rsidR="00F44694" w:rsidRPr="000217C7" w:rsidRDefault="00F44694" w:rsidP="00F44694">
            <w:pPr>
              <w:pStyle w:val="Table"/>
              <w:jc w:val="center"/>
              <w:rPr>
                <w:color w:val="000000" w:themeColor="text1"/>
              </w:rPr>
            </w:pPr>
            <w:r w:rsidRPr="000217C7">
              <w:rPr>
                <w:color w:val="000000" w:themeColor="text1"/>
              </w:rPr>
              <w:t>-44</w:t>
            </w:r>
          </w:p>
        </w:tc>
        <w:tc>
          <w:tcPr>
            <w:tcW w:w="709" w:type="dxa"/>
            <w:tcBorders>
              <w:bottom w:val="single" w:sz="4" w:space="0" w:color="auto"/>
            </w:tcBorders>
          </w:tcPr>
          <w:p w14:paraId="7B178FBE" w14:textId="77777777" w:rsidR="00F44694" w:rsidRPr="000217C7" w:rsidRDefault="00F44694" w:rsidP="00F44694">
            <w:pPr>
              <w:pStyle w:val="Table"/>
              <w:jc w:val="center"/>
              <w:rPr>
                <w:color w:val="000000" w:themeColor="text1"/>
              </w:rPr>
            </w:pPr>
            <w:r w:rsidRPr="000217C7">
              <w:rPr>
                <w:color w:val="000000" w:themeColor="text1"/>
              </w:rPr>
              <w:t>20</w:t>
            </w:r>
          </w:p>
        </w:tc>
        <w:tc>
          <w:tcPr>
            <w:tcW w:w="709" w:type="dxa"/>
            <w:tcBorders>
              <w:bottom w:val="single" w:sz="4" w:space="0" w:color="auto"/>
            </w:tcBorders>
          </w:tcPr>
          <w:p w14:paraId="51F26AF4" w14:textId="77777777" w:rsidR="00F44694" w:rsidRPr="000217C7" w:rsidRDefault="00F44694" w:rsidP="00F44694">
            <w:pPr>
              <w:pStyle w:val="Table"/>
              <w:jc w:val="center"/>
              <w:rPr>
                <w:color w:val="000000" w:themeColor="text1"/>
              </w:rPr>
            </w:pPr>
            <w:r w:rsidRPr="000217C7">
              <w:rPr>
                <w:color w:val="000000" w:themeColor="text1"/>
              </w:rPr>
              <w:t>34</w:t>
            </w:r>
          </w:p>
        </w:tc>
        <w:tc>
          <w:tcPr>
            <w:tcW w:w="708" w:type="dxa"/>
            <w:tcBorders>
              <w:bottom w:val="single" w:sz="4" w:space="0" w:color="auto"/>
            </w:tcBorders>
          </w:tcPr>
          <w:p w14:paraId="5BFDE117" w14:textId="77777777" w:rsidR="00F44694" w:rsidRPr="000217C7" w:rsidRDefault="00F44694" w:rsidP="00F44694">
            <w:pPr>
              <w:pStyle w:val="Table"/>
              <w:rPr>
                <w:color w:val="000000" w:themeColor="text1"/>
              </w:rPr>
            </w:pPr>
            <w:r w:rsidRPr="000217C7">
              <w:rPr>
                <w:color w:val="000000" w:themeColor="text1"/>
              </w:rPr>
              <w:t>4.55</w:t>
            </w:r>
          </w:p>
        </w:tc>
        <w:tc>
          <w:tcPr>
            <w:tcW w:w="709" w:type="dxa"/>
            <w:tcBorders>
              <w:bottom w:val="single" w:sz="4" w:space="0" w:color="auto"/>
            </w:tcBorders>
          </w:tcPr>
          <w:p w14:paraId="35B11004" w14:textId="77777777" w:rsidR="00F44694" w:rsidRPr="000217C7" w:rsidRDefault="00F44694" w:rsidP="00F44694">
            <w:pPr>
              <w:pStyle w:val="Table"/>
              <w:rPr>
                <w:color w:val="000000" w:themeColor="text1"/>
              </w:rPr>
            </w:pPr>
            <w:r w:rsidRPr="000217C7">
              <w:rPr>
                <w:color w:val="000000" w:themeColor="text1"/>
              </w:rPr>
              <w:t>4.12</w:t>
            </w:r>
          </w:p>
        </w:tc>
        <w:tc>
          <w:tcPr>
            <w:tcW w:w="2126" w:type="dxa"/>
            <w:gridSpan w:val="2"/>
            <w:tcBorders>
              <w:bottom w:val="single" w:sz="4" w:space="0" w:color="auto"/>
            </w:tcBorders>
          </w:tcPr>
          <w:p w14:paraId="64C02911" w14:textId="77777777" w:rsidR="00F44694" w:rsidRPr="000217C7" w:rsidRDefault="00F44694" w:rsidP="00F44694">
            <w:pPr>
              <w:pStyle w:val="Table"/>
              <w:rPr>
                <w:color w:val="000000" w:themeColor="text1"/>
              </w:rPr>
            </w:pPr>
            <w:r w:rsidRPr="000217C7">
              <w:rPr>
                <w:color w:val="000000" w:themeColor="text1"/>
              </w:rPr>
              <w:t>indirect</w:t>
            </w:r>
          </w:p>
        </w:tc>
      </w:tr>
      <w:tr w:rsidR="000217C7" w:rsidRPr="000217C7" w14:paraId="20EFDC43" w14:textId="77777777" w:rsidTr="00F44694">
        <w:trPr>
          <w:trHeight w:val="255"/>
        </w:trPr>
        <w:tc>
          <w:tcPr>
            <w:tcW w:w="8075" w:type="dxa"/>
            <w:gridSpan w:val="9"/>
            <w:tcBorders>
              <w:top w:val="single" w:sz="4" w:space="0" w:color="auto"/>
              <w:left w:val="single" w:sz="4" w:space="0" w:color="auto"/>
              <w:bottom w:val="single" w:sz="4" w:space="0" w:color="auto"/>
              <w:right w:val="single" w:sz="4" w:space="0" w:color="auto"/>
            </w:tcBorders>
            <w:vAlign w:val="center"/>
          </w:tcPr>
          <w:p w14:paraId="4A27FC07" w14:textId="77777777" w:rsidR="00F44694" w:rsidRPr="000217C7" w:rsidRDefault="00F44694" w:rsidP="00F44694">
            <w:pPr>
              <w:pStyle w:val="Table"/>
              <w:jc w:val="center"/>
              <w:rPr>
                <w:b/>
                <w:bCs/>
                <w:color w:val="000000" w:themeColor="text1"/>
              </w:rPr>
            </w:pPr>
            <w:proofErr w:type="spellStart"/>
            <w:r w:rsidRPr="000217C7">
              <w:rPr>
                <w:b/>
                <w:bCs/>
                <w:color w:val="000000" w:themeColor="text1"/>
              </w:rPr>
              <w:t>bCFS</w:t>
            </w:r>
            <w:proofErr w:type="spellEnd"/>
            <w:r w:rsidRPr="000217C7">
              <w:rPr>
                <w:b/>
                <w:bCs/>
                <w:color w:val="000000" w:themeColor="text1"/>
              </w:rPr>
              <w:t xml:space="preserve"> RTs and GM density in the higher BMI and lower BMI group</w:t>
            </w:r>
          </w:p>
        </w:tc>
        <w:tc>
          <w:tcPr>
            <w:tcW w:w="992" w:type="dxa"/>
            <w:tcBorders>
              <w:top w:val="single" w:sz="4" w:space="0" w:color="auto"/>
              <w:left w:val="single" w:sz="4" w:space="0" w:color="auto"/>
            </w:tcBorders>
          </w:tcPr>
          <w:p w14:paraId="7AFC7D18" w14:textId="77777777" w:rsidR="00F44694" w:rsidRPr="000217C7" w:rsidRDefault="00F44694" w:rsidP="00F44694">
            <w:pPr>
              <w:pStyle w:val="Table"/>
              <w:rPr>
                <w:b/>
                <w:bCs/>
                <w:color w:val="000000" w:themeColor="text1"/>
              </w:rPr>
            </w:pPr>
            <w:r w:rsidRPr="000217C7">
              <w:rPr>
                <w:b/>
                <w:bCs/>
                <w:color w:val="000000" w:themeColor="text1"/>
              </w:rPr>
              <w:sym w:font="Symbol" w:char="F062"/>
            </w:r>
            <w:r w:rsidRPr="000217C7">
              <w:rPr>
                <w:b/>
                <w:bCs/>
                <w:color w:val="000000" w:themeColor="text1"/>
              </w:rPr>
              <w:t xml:space="preserve"> lower BMI</w:t>
            </w:r>
          </w:p>
        </w:tc>
        <w:tc>
          <w:tcPr>
            <w:tcW w:w="1134" w:type="dxa"/>
            <w:tcBorders>
              <w:top w:val="single" w:sz="4" w:space="0" w:color="auto"/>
            </w:tcBorders>
          </w:tcPr>
          <w:p w14:paraId="4357F8C8" w14:textId="77777777" w:rsidR="00F44694" w:rsidRPr="000217C7" w:rsidRDefault="00F44694" w:rsidP="00F44694">
            <w:pPr>
              <w:pStyle w:val="Table"/>
              <w:rPr>
                <w:b/>
                <w:bCs/>
                <w:color w:val="000000" w:themeColor="text1"/>
              </w:rPr>
            </w:pPr>
            <w:r w:rsidRPr="000217C7">
              <w:rPr>
                <w:b/>
                <w:bCs/>
                <w:color w:val="000000" w:themeColor="text1"/>
              </w:rPr>
              <w:sym w:font="Symbol" w:char="F062"/>
            </w:r>
            <w:r w:rsidRPr="000217C7">
              <w:rPr>
                <w:b/>
                <w:bCs/>
                <w:color w:val="000000" w:themeColor="text1"/>
              </w:rPr>
              <w:t xml:space="preserve"> higher BMI</w:t>
            </w:r>
          </w:p>
        </w:tc>
      </w:tr>
      <w:tr w:rsidR="000217C7" w:rsidRPr="000217C7" w14:paraId="184FE8F8" w14:textId="77777777" w:rsidTr="00F44694">
        <w:trPr>
          <w:trHeight w:val="255"/>
        </w:trPr>
        <w:tc>
          <w:tcPr>
            <w:tcW w:w="544" w:type="dxa"/>
            <w:tcBorders>
              <w:top w:val="single" w:sz="4" w:space="0" w:color="auto"/>
            </w:tcBorders>
          </w:tcPr>
          <w:p w14:paraId="2CE1B462" w14:textId="77777777" w:rsidR="00F44694" w:rsidRPr="000217C7" w:rsidRDefault="00F44694" w:rsidP="00F44694">
            <w:pPr>
              <w:pStyle w:val="Table"/>
              <w:rPr>
                <w:color w:val="000000" w:themeColor="text1"/>
              </w:rPr>
            </w:pPr>
            <w:r w:rsidRPr="000217C7">
              <w:rPr>
                <w:color w:val="000000" w:themeColor="text1"/>
              </w:rPr>
              <w:lastRenderedPageBreak/>
              <w:t>R</w:t>
            </w:r>
          </w:p>
        </w:tc>
        <w:tc>
          <w:tcPr>
            <w:tcW w:w="1997" w:type="dxa"/>
            <w:tcBorders>
              <w:top w:val="single" w:sz="4" w:space="0" w:color="auto"/>
            </w:tcBorders>
          </w:tcPr>
          <w:p w14:paraId="69D1D65C" w14:textId="77777777" w:rsidR="00F44694" w:rsidRPr="000217C7" w:rsidRDefault="00F44694" w:rsidP="00F44694">
            <w:pPr>
              <w:pStyle w:val="Table"/>
              <w:rPr>
                <w:color w:val="000000" w:themeColor="text1"/>
              </w:rPr>
            </w:pPr>
            <w:r w:rsidRPr="000217C7">
              <w:rPr>
                <w:color w:val="000000" w:themeColor="text1"/>
              </w:rPr>
              <w:t>Temporal lobe /</w:t>
            </w:r>
          </w:p>
          <w:p w14:paraId="3219818E" w14:textId="77777777" w:rsidR="00F44694" w:rsidRPr="000217C7" w:rsidRDefault="00F44694" w:rsidP="00F44694">
            <w:pPr>
              <w:pStyle w:val="Table"/>
              <w:rPr>
                <w:color w:val="000000" w:themeColor="text1"/>
              </w:rPr>
            </w:pPr>
            <w:r w:rsidRPr="000217C7">
              <w:rPr>
                <w:color w:val="000000" w:themeColor="text1"/>
              </w:rPr>
              <w:t>Middle Temporal g.</w:t>
            </w:r>
          </w:p>
        </w:tc>
        <w:tc>
          <w:tcPr>
            <w:tcW w:w="992" w:type="dxa"/>
            <w:tcBorders>
              <w:top w:val="single" w:sz="4" w:space="0" w:color="auto"/>
            </w:tcBorders>
          </w:tcPr>
          <w:p w14:paraId="178C0146" w14:textId="77777777" w:rsidR="00F44694" w:rsidRPr="000217C7" w:rsidRDefault="00F44694" w:rsidP="00F44694">
            <w:pPr>
              <w:pStyle w:val="Table"/>
              <w:jc w:val="right"/>
              <w:rPr>
                <w:color w:val="000000" w:themeColor="text1"/>
              </w:rPr>
            </w:pPr>
            <w:r w:rsidRPr="000217C7">
              <w:rPr>
                <w:color w:val="000000" w:themeColor="text1"/>
              </w:rPr>
              <w:t>0.002</w:t>
            </w:r>
          </w:p>
        </w:tc>
        <w:tc>
          <w:tcPr>
            <w:tcW w:w="992" w:type="dxa"/>
            <w:tcBorders>
              <w:top w:val="single" w:sz="4" w:space="0" w:color="auto"/>
            </w:tcBorders>
          </w:tcPr>
          <w:p w14:paraId="7119A85A" w14:textId="77777777" w:rsidR="00F44694" w:rsidRPr="000217C7" w:rsidRDefault="00F44694" w:rsidP="00F44694">
            <w:pPr>
              <w:pStyle w:val="Table"/>
              <w:rPr>
                <w:color w:val="000000" w:themeColor="text1"/>
              </w:rPr>
            </w:pPr>
            <w:r w:rsidRPr="000217C7">
              <w:rPr>
                <w:color w:val="000000" w:themeColor="text1"/>
              </w:rPr>
              <w:t>1572.75</w:t>
            </w:r>
          </w:p>
        </w:tc>
        <w:tc>
          <w:tcPr>
            <w:tcW w:w="715" w:type="dxa"/>
            <w:tcBorders>
              <w:top w:val="single" w:sz="4" w:space="0" w:color="auto"/>
            </w:tcBorders>
          </w:tcPr>
          <w:p w14:paraId="005C814E" w14:textId="77777777" w:rsidR="00F44694" w:rsidRPr="000217C7" w:rsidRDefault="00F44694" w:rsidP="00F44694">
            <w:pPr>
              <w:pStyle w:val="Table"/>
              <w:jc w:val="center"/>
              <w:rPr>
                <w:color w:val="000000" w:themeColor="text1"/>
              </w:rPr>
            </w:pPr>
            <w:r w:rsidRPr="000217C7">
              <w:rPr>
                <w:color w:val="000000" w:themeColor="text1"/>
              </w:rPr>
              <w:t>50</w:t>
            </w:r>
          </w:p>
        </w:tc>
        <w:tc>
          <w:tcPr>
            <w:tcW w:w="709" w:type="dxa"/>
            <w:tcBorders>
              <w:top w:val="single" w:sz="4" w:space="0" w:color="auto"/>
            </w:tcBorders>
          </w:tcPr>
          <w:p w14:paraId="77D94382" w14:textId="77777777" w:rsidR="00F44694" w:rsidRPr="000217C7" w:rsidRDefault="00F44694" w:rsidP="00F44694">
            <w:pPr>
              <w:pStyle w:val="Table"/>
              <w:jc w:val="center"/>
              <w:rPr>
                <w:color w:val="000000" w:themeColor="text1"/>
              </w:rPr>
            </w:pPr>
            <w:r w:rsidRPr="000217C7">
              <w:rPr>
                <w:color w:val="000000" w:themeColor="text1"/>
              </w:rPr>
              <w:t>6</w:t>
            </w:r>
          </w:p>
        </w:tc>
        <w:tc>
          <w:tcPr>
            <w:tcW w:w="709" w:type="dxa"/>
            <w:tcBorders>
              <w:top w:val="single" w:sz="4" w:space="0" w:color="auto"/>
            </w:tcBorders>
          </w:tcPr>
          <w:p w14:paraId="64FFB894" w14:textId="77777777" w:rsidR="00F44694" w:rsidRPr="000217C7" w:rsidRDefault="00F44694" w:rsidP="00F44694">
            <w:pPr>
              <w:pStyle w:val="Table"/>
              <w:jc w:val="center"/>
              <w:rPr>
                <w:color w:val="000000" w:themeColor="text1"/>
              </w:rPr>
            </w:pPr>
            <w:r w:rsidRPr="000217C7">
              <w:rPr>
                <w:color w:val="000000" w:themeColor="text1"/>
              </w:rPr>
              <w:t>-28</w:t>
            </w:r>
          </w:p>
        </w:tc>
        <w:tc>
          <w:tcPr>
            <w:tcW w:w="708" w:type="dxa"/>
            <w:tcBorders>
              <w:top w:val="single" w:sz="4" w:space="0" w:color="auto"/>
            </w:tcBorders>
          </w:tcPr>
          <w:p w14:paraId="4158F2A3" w14:textId="77777777" w:rsidR="00F44694" w:rsidRPr="000217C7" w:rsidRDefault="00F44694" w:rsidP="00F44694">
            <w:pPr>
              <w:pStyle w:val="Table"/>
              <w:rPr>
                <w:color w:val="000000" w:themeColor="text1"/>
              </w:rPr>
            </w:pPr>
            <w:r w:rsidRPr="000217C7">
              <w:rPr>
                <w:color w:val="000000" w:themeColor="text1"/>
              </w:rPr>
              <w:t>4.18</w:t>
            </w:r>
          </w:p>
        </w:tc>
        <w:tc>
          <w:tcPr>
            <w:tcW w:w="709" w:type="dxa"/>
            <w:tcBorders>
              <w:top w:val="single" w:sz="4" w:space="0" w:color="auto"/>
            </w:tcBorders>
          </w:tcPr>
          <w:p w14:paraId="0C612E23" w14:textId="77777777" w:rsidR="00F44694" w:rsidRPr="000217C7" w:rsidRDefault="00F44694" w:rsidP="00F44694">
            <w:pPr>
              <w:pStyle w:val="Table"/>
              <w:rPr>
                <w:color w:val="000000" w:themeColor="text1"/>
              </w:rPr>
            </w:pPr>
            <w:r w:rsidRPr="000217C7">
              <w:rPr>
                <w:color w:val="000000" w:themeColor="text1"/>
              </w:rPr>
              <w:t>3.82</w:t>
            </w:r>
          </w:p>
        </w:tc>
        <w:tc>
          <w:tcPr>
            <w:tcW w:w="992" w:type="dxa"/>
          </w:tcPr>
          <w:p w14:paraId="07339CCE" w14:textId="77777777" w:rsidR="00F44694" w:rsidRPr="000217C7" w:rsidRDefault="00F44694" w:rsidP="00F44694">
            <w:pPr>
              <w:pStyle w:val="Table"/>
              <w:rPr>
                <w:color w:val="000000" w:themeColor="text1"/>
              </w:rPr>
            </w:pPr>
            <w:r w:rsidRPr="000217C7">
              <w:rPr>
                <w:color w:val="000000" w:themeColor="text1"/>
              </w:rPr>
              <w:t>0.019</w:t>
            </w:r>
          </w:p>
        </w:tc>
        <w:tc>
          <w:tcPr>
            <w:tcW w:w="1134" w:type="dxa"/>
          </w:tcPr>
          <w:p w14:paraId="62134521" w14:textId="77777777" w:rsidR="00F44694" w:rsidRPr="000217C7" w:rsidRDefault="00F44694" w:rsidP="00F44694">
            <w:pPr>
              <w:pStyle w:val="Table"/>
              <w:rPr>
                <w:color w:val="000000" w:themeColor="text1"/>
              </w:rPr>
            </w:pPr>
            <w:r w:rsidRPr="000217C7">
              <w:rPr>
                <w:color w:val="000000" w:themeColor="text1"/>
              </w:rPr>
              <w:t>-0.045</w:t>
            </w:r>
          </w:p>
        </w:tc>
      </w:tr>
      <w:tr w:rsidR="000217C7" w:rsidRPr="000217C7" w14:paraId="4F0A3980" w14:textId="77777777" w:rsidTr="00F44694">
        <w:trPr>
          <w:trHeight w:val="255"/>
        </w:trPr>
        <w:tc>
          <w:tcPr>
            <w:tcW w:w="544" w:type="dxa"/>
          </w:tcPr>
          <w:p w14:paraId="4CA92DBC" w14:textId="77777777" w:rsidR="00F44694" w:rsidRPr="000217C7" w:rsidRDefault="00F44694" w:rsidP="00F44694">
            <w:pPr>
              <w:pStyle w:val="Table"/>
              <w:rPr>
                <w:color w:val="000000" w:themeColor="text1"/>
              </w:rPr>
            </w:pPr>
            <w:r w:rsidRPr="000217C7">
              <w:rPr>
                <w:color w:val="000000" w:themeColor="text1"/>
              </w:rPr>
              <w:t>L</w:t>
            </w:r>
          </w:p>
        </w:tc>
        <w:tc>
          <w:tcPr>
            <w:tcW w:w="1997" w:type="dxa"/>
          </w:tcPr>
          <w:p w14:paraId="114C759E" w14:textId="77777777" w:rsidR="00F44694" w:rsidRPr="000217C7" w:rsidRDefault="00F44694" w:rsidP="00F44694">
            <w:pPr>
              <w:pStyle w:val="Table"/>
              <w:rPr>
                <w:color w:val="000000" w:themeColor="text1"/>
              </w:rPr>
            </w:pPr>
            <w:r w:rsidRPr="000217C7">
              <w:rPr>
                <w:color w:val="000000" w:themeColor="text1"/>
              </w:rPr>
              <w:t>Orbital g.</w:t>
            </w:r>
          </w:p>
        </w:tc>
        <w:tc>
          <w:tcPr>
            <w:tcW w:w="992" w:type="dxa"/>
          </w:tcPr>
          <w:p w14:paraId="3D48EC97" w14:textId="77777777" w:rsidR="00F44694" w:rsidRPr="000217C7" w:rsidRDefault="00F44694" w:rsidP="00F44694">
            <w:pPr>
              <w:pStyle w:val="Table"/>
              <w:jc w:val="right"/>
              <w:rPr>
                <w:color w:val="000000" w:themeColor="text1"/>
              </w:rPr>
            </w:pPr>
            <w:r w:rsidRPr="000217C7">
              <w:rPr>
                <w:color w:val="000000" w:themeColor="text1"/>
              </w:rPr>
              <w:t>0.003</w:t>
            </w:r>
          </w:p>
        </w:tc>
        <w:tc>
          <w:tcPr>
            <w:tcW w:w="992" w:type="dxa"/>
          </w:tcPr>
          <w:p w14:paraId="31A92D8E" w14:textId="77777777" w:rsidR="00F44694" w:rsidRPr="000217C7" w:rsidRDefault="00F44694" w:rsidP="00F44694">
            <w:pPr>
              <w:pStyle w:val="Table"/>
              <w:rPr>
                <w:color w:val="000000" w:themeColor="text1"/>
              </w:rPr>
            </w:pPr>
            <w:r w:rsidRPr="000217C7">
              <w:rPr>
                <w:color w:val="000000" w:themeColor="text1"/>
              </w:rPr>
              <w:t>1542.38</w:t>
            </w:r>
          </w:p>
        </w:tc>
        <w:tc>
          <w:tcPr>
            <w:tcW w:w="715" w:type="dxa"/>
          </w:tcPr>
          <w:p w14:paraId="42456C1D" w14:textId="77777777" w:rsidR="00F44694" w:rsidRPr="000217C7" w:rsidRDefault="00F44694" w:rsidP="00F44694">
            <w:pPr>
              <w:pStyle w:val="Table"/>
              <w:jc w:val="center"/>
              <w:rPr>
                <w:color w:val="000000" w:themeColor="text1"/>
              </w:rPr>
            </w:pPr>
            <w:r w:rsidRPr="000217C7">
              <w:rPr>
                <w:color w:val="000000" w:themeColor="text1"/>
              </w:rPr>
              <w:t>-27</w:t>
            </w:r>
          </w:p>
        </w:tc>
        <w:tc>
          <w:tcPr>
            <w:tcW w:w="709" w:type="dxa"/>
          </w:tcPr>
          <w:p w14:paraId="7C5171F8" w14:textId="77777777" w:rsidR="00F44694" w:rsidRPr="000217C7" w:rsidRDefault="00F44694" w:rsidP="00F44694">
            <w:pPr>
              <w:pStyle w:val="Table"/>
              <w:jc w:val="center"/>
              <w:rPr>
                <w:color w:val="000000" w:themeColor="text1"/>
              </w:rPr>
            </w:pPr>
            <w:r w:rsidRPr="000217C7">
              <w:rPr>
                <w:color w:val="000000" w:themeColor="text1"/>
              </w:rPr>
              <w:t>30</w:t>
            </w:r>
          </w:p>
        </w:tc>
        <w:tc>
          <w:tcPr>
            <w:tcW w:w="709" w:type="dxa"/>
          </w:tcPr>
          <w:p w14:paraId="5B8E2456" w14:textId="77777777" w:rsidR="00F44694" w:rsidRPr="000217C7" w:rsidRDefault="00F44694" w:rsidP="00F44694">
            <w:pPr>
              <w:pStyle w:val="Table"/>
              <w:jc w:val="center"/>
              <w:rPr>
                <w:color w:val="000000" w:themeColor="text1"/>
              </w:rPr>
            </w:pPr>
            <w:r w:rsidRPr="000217C7">
              <w:rPr>
                <w:color w:val="000000" w:themeColor="text1"/>
              </w:rPr>
              <w:t>-16</w:t>
            </w:r>
          </w:p>
        </w:tc>
        <w:tc>
          <w:tcPr>
            <w:tcW w:w="708" w:type="dxa"/>
          </w:tcPr>
          <w:p w14:paraId="7714F126" w14:textId="77777777" w:rsidR="00F44694" w:rsidRPr="000217C7" w:rsidRDefault="00F44694" w:rsidP="00F44694">
            <w:pPr>
              <w:pStyle w:val="Table"/>
              <w:rPr>
                <w:color w:val="000000" w:themeColor="text1"/>
              </w:rPr>
            </w:pPr>
            <w:r w:rsidRPr="000217C7">
              <w:rPr>
                <w:color w:val="000000" w:themeColor="text1"/>
              </w:rPr>
              <w:t>4.55</w:t>
            </w:r>
          </w:p>
        </w:tc>
        <w:tc>
          <w:tcPr>
            <w:tcW w:w="709" w:type="dxa"/>
          </w:tcPr>
          <w:p w14:paraId="79742CF2" w14:textId="77777777" w:rsidR="00F44694" w:rsidRPr="000217C7" w:rsidRDefault="00F44694" w:rsidP="00F44694">
            <w:pPr>
              <w:pStyle w:val="Table"/>
              <w:rPr>
                <w:color w:val="000000" w:themeColor="text1"/>
              </w:rPr>
            </w:pPr>
            <w:r w:rsidRPr="000217C7">
              <w:rPr>
                <w:color w:val="000000" w:themeColor="text1"/>
              </w:rPr>
              <w:t>4.35</w:t>
            </w:r>
          </w:p>
        </w:tc>
        <w:tc>
          <w:tcPr>
            <w:tcW w:w="992" w:type="dxa"/>
          </w:tcPr>
          <w:p w14:paraId="78ED40B6" w14:textId="77777777" w:rsidR="00F44694" w:rsidRPr="000217C7" w:rsidRDefault="00F44694" w:rsidP="00F44694">
            <w:pPr>
              <w:pStyle w:val="Table"/>
              <w:rPr>
                <w:color w:val="000000" w:themeColor="text1"/>
              </w:rPr>
            </w:pPr>
            <w:r w:rsidRPr="000217C7">
              <w:rPr>
                <w:color w:val="000000" w:themeColor="text1"/>
              </w:rPr>
              <w:t>0.005</w:t>
            </w:r>
          </w:p>
        </w:tc>
        <w:tc>
          <w:tcPr>
            <w:tcW w:w="1134" w:type="dxa"/>
          </w:tcPr>
          <w:p w14:paraId="40D88F9C" w14:textId="77777777" w:rsidR="00F44694" w:rsidRPr="000217C7" w:rsidRDefault="00F44694" w:rsidP="00F44694">
            <w:pPr>
              <w:pStyle w:val="Table"/>
              <w:rPr>
                <w:color w:val="000000" w:themeColor="text1"/>
              </w:rPr>
            </w:pPr>
            <w:r w:rsidRPr="000217C7">
              <w:rPr>
                <w:color w:val="000000" w:themeColor="text1"/>
              </w:rPr>
              <w:t>-0.044</w:t>
            </w:r>
          </w:p>
        </w:tc>
      </w:tr>
      <w:tr w:rsidR="000217C7" w:rsidRPr="000217C7" w14:paraId="0909C368" w14:textId="77777777" w:rsidTr="00F44694">
        <w:trPr>
          <w:trHeight w:val="255"/>
        </w:trPr>
        <w:tc>
          <w:tcPr>
            <w:tcW w:w="544" w:type="dxa"/>
            <w:tcBorders>
              <w:bottom w:val="single" w:sz="4" w:space="0" w:color="auto"/>
            </w:tcBorders>
          </w:tcPr>
          <w:p w14:paraId="564CB792" w14:textId="77777777" w:rsidR="00F44694" w:rsidRPr="000217C7" w:rsidRDefault="00F44694" w:rsidP="00F44694">
            <w:pPr>
              <w:pStyle w:val="Table"/>
              <w:rPr>
                <w:color w:val="000000" w:themeColor="text1"/>
              </w:rPr>
            </w:pPr>
            <w:r w:rsidRPr="000217C7">
              <w:rPr>
                <w:color w:val="000000" w:themeColor="text1"/>
              </w:rPr>
              <w:t>L</w:t>
            </w:r>
          </w:p>
        </w:tc>
        <w:tc>
          <w:tcPr>
            <w:tcW w:w="1997" w:type="dxa"/>
            <w:tcBorders>
              <w:bottom w:val="single" w:sz="4" w:space="0" w:color="auto"/>
            </w:tcBorders>
          </w:tcPr>
          <w:p w14:paraId="582B2E3C" w14:textId="77777777" w:rsidR="00F44694" w:rsidRPr="000217C7" w:rsidRDefault="00F44694" w:rsidP="00F44694">
            <w:pPr>
              <w:pStyle w:val="Table"/>
              <w:rPr>
                <w:color w:val="000000" w:themeColor="text1"/>
              </w:rPr>
            </w:pPr>
            <w:r w:rsidRPr="000217C7">
              <w:rPr>
                <w:color w:val="000000" w:themeColor="text1"/>
              </w:rPr>
              <w:t>Central operculum / anterior insula</w:t>
            </w:r>
          </w:p>
        </w:tc>
        <w:tc>
          <w:tcPr>
            <w:tcW w:w="992" w:type="dxa"/>
            <w:tcBorders>
              <w:bottom w:val="single" w:sz="4" w:space="0" w:color="auto"/>
            </w:tcBorders>
          </w:tcPr>
          <w:p w14:paraId="0B99979B" w14:textId="77777777" w:rsidR="00F44694" w:rsidRPr="000217C7" w:rsidRDefault="00F44694" w:rsidP="00F44694">
            <w:pPr>
              <w:pStyle w:val="Table"/>
              <w:jc w:val="right"/>
              <w:rPr>
                <w:color w:val="000000" w:themeColor="text1"/>
              </w:rPr>
            </w:pPr>
            <w:r w:rsidRPr="000217C7">
              <w:rPr>
                <w:color w:val="000000" w:themeColor="text1"/>
              </w:rPr>
              <w:t>0.005</w:t>
            </w:r>
          </w:p>
        </w:tc>
        <w:tc>
          <w:tcPr>
            <w:tcW w:w="992" w:type="dxa"/>
            <w:tcBorders>
              <w:bottom w:val="single" w:sz="4" w:space="0" w:color="auto"/>
            </w:tcBorders>
          </w:tcPr>
          <w:p w14:paraId="1E59C6B0" w14:textId="77777777" w:rsidR="00F44694" w:rsidRPr="000217C7" w:rsidRDefault="00F44694" w:rsidP="00F44694">
            <w:pPr>
              <w:pStyle w:val="Table"/>
              <w:rPr>
                <w:color w:val="000000" w:themeColor="text1"/>
              </w:rPr>
            </w:pPr>
            <w:r w:rsidRPr="000217C7">
              <w:rPr>
                <w:color w:val="000000" w:themeColor="text1"/>
              </w:rPr>
              <w:t>1383.75</w:t>
            </w:r>
          </w:p>
        </w:tc>
        <w:tc>
          <w:tcPr>
            <w:tcW w:w="715" w:type="dxa"/>
            <w:tcBorders>
              <w:bottom w:val="single" w:sz="4" w:space="0" w:color="auto"/>
            </w:tcBorders>
          </w:tcPr>
          <w:p w14:paraId="75281C4F" w14:textId="77777777" w:rsidR="00F44694" w:rsidRPr="000217C7" w:rsidRDefault="00F44694" w:rsidP="00F44694">
            <w:pPr>
              <w:pStyle w:val="Table"/>
              <w:jc w:val="center"/>
              <w:rPr>
                <w:color w:val="000000" w:themeColor="text1"/>
              </w:rPr>
            </w:pPr>
            <w:r w:rsidRPr="000217C7">
              <w:rPr>
                <w:color w:val="000000" w:themeColor="text1"/>
              </w:rPr>
              <w:t>-36</w:t>
            </w:r>
          </w:p>
        </w:tc>
        <w:tc>
          <w:tcPr>
            <w:tcW w:w="709" w:type="dxa"/>
            <w:tcBorders>
              <w:bottom w:val="single" w:sz="4" w:space="0" w:color="auto"/>
            </w:tcBorders>
          </w:tcPr>
          <w:p w14:paraId="1ED302C1" w14:textId="77777777" w:rsidR="00F44694" w:rsidRPr="000217C7" w:rsidRDefault="00F44694" w:rsidP="00F44694">
            <w:pPr>
              <w:pStyle w:val="Table"/>
              <w:jc w:val="center"/>
              <w:rPr>
                <w:color w:val="000000" w:themeColor="text1"/>
              </w:rPr>
            </w:pPr>
            <w:r w:rsidRPr="000217C7">
              <w:rPr>
                <w:color w:val="000000" w:themeColor="text1"/>
              </w:rPr>
              <w:t>4</w:t>
            </w:r>
          </w:p>
        </w:tc>
        <w:tc>
          <w:tcPr>
            <w:tcW w:w="709" w:type="dxa"/>
            <w:tcBorders>
              <w:bottom w:val="single" w:sz="4" w:space="0" w:color="auto"/>
            </w:tcBorders>
          </w:tcPr>
          <w:p w14:paraId="201D69ED" w14:textId="77777777" w:rsidR="00F44694" w:rsidRPr="000217C7" w:rsidRDefault="00F44694" w:rsidP="00F44694">
            <w:pPr>
              <w:pStyle w:val="Table"/>
              <w:jc w:val="center"/>
              <w:rPr>
                <w:color w:val="000000" w:themeColor="text1"/>
              </w:rPr>
            </w:pPr>
            <w:r w:rsidRPr="000217C7">
              <w:rPr>
                <w:color w:val="000000" w:themeColor="text1"/>
              </w:rPr>
              <w:t>18</w:t>
            </w:r>
          </w:p>
        </w:tc>
        <w:tc>
          <w:tcPr>
            <w:tcW w:w="708" w:type="dxa"/>
            <w:tcBorders>
              <w:bottom w:val="single" w:sz="4" w:space="0" w:color="auto"/>
            </w:tcBorders>
          </w:tcPr>
          <w:p w14:paraId="23756B56" w14:textId="77777777" w:rsidR="00F44694" w:rsidRPr="000217C7" w:rsidRDefault="00F44694" w:rsidP="00F44694">
            <w:pPr>
              <w:pStyle w:val="Table"/>
              <w:rPr>
                <w:color w:val="000000" w:themeColor="text1"/>
              </w:rPr>
            </w:pPr>
            <w:r w:rsidRPr="000217C7">
              <w:rPr>
                <w:color w:val="000000" w:themeColor="text1"/>
              </w:rPr>
              <w:t>4.14</w:t>
            </w:r>
          </w:p>
        </w:tc>
        <w:tc>
          <w:tcPr>
            <w:tcW w:w="709" w:type="dxa"/>
            <w:tcBorders>
              <w:bottom w:val="single" w:sz="4" w:space="0" w:color="auto"/>
            </w:tcBorders>
          </w:tcPr>
          <w:p w14:paraId="6AA38B98" w14:textId="77777777" w:rsidR="00F44694" w:rsidRPr="000217C7" w:rsidRDefault="00F44694" w:rsidP="00F44694">
            <w:pPr>
              <w:pStyle w:val="Table"/>
              <w:rPr>
                <w:color w:val="000000" w:themeColor="text1"/>
              </w:rPr>
            </w:pPr>
            <w:r w:rsidRPr="000217C7">
              <w:rPr>
                <w:color w:val="000000" w:themeColor="text1"/>
              </w:rPr>
              <w:t>3.79</w:t>
            </w:r>
          </w:p>
        </w:tc>
        <w:tc>
          <w:tcPr>
            <w:tcW w:w="992" w:type="dxa"/>
            <w:tcBorders>
              <w:bottom w:val="single" w:sz="4" w:space="0" w:color="auto"/>
            </w:tcBorders>
          </w:tcPr>
          <w:p w14:paraId="1F2F3FC1" w14:textId="77777777" w:rsidR="00F44694" w:rsidRPr="000217C7" w:rsidRDefault="00F44694" w:rsidP="00F44694">
            <w:pPr>
              <w:pStyle w:val="Table"/>
              <w:rPr>
                <w:color w:val="000000" w:themeColor="text1"/>
              </w:rPr>
            </w:pPr>
            <w:r w:rsidRPr="000217C7">
              <w:rPr>
                <w:color w:val="000000" w:themeColor="text1"/>
              </w:rPr>
              <w:t>0.007</w:t>
            </w:r>
          </w:p>
        </w:tc>
        <w:tc>
          <w:tcPr>
            <w:tcW w:w="1134" w:type="dxa"/>
            <w:tcBorders>
              <w:bottom w:val="single" w:sz="4" w:space="0" w:color="auto"/>
            </w:tcBorders>
          </w:tcPr>
          <w:p w14:paraId="72AD9A6A" w14:textId="77777777" w:rsidR="00F44694" w:rsidRPr="000217C7" w:rsidRDefault="00F44694" w:rsidP="00F44694">
            <w:pPr>
              <w:pStyle w:val="Table"/>
              <w:rPr>
                <w:color w:val="000000" w:themeColor="text1"/>
              </w:rPr>
            </w:pPr>
            <w:r w:rsidRPr="000217C7">
              <w:rPr>
                <w:color w:val="000000" w:themeColor="text1"/>
              </w:rPr>
              <w:t>-0.032</w:t>
            </w:r>
          </w:p>
        </w:tc>
      </w:tr>
      <w:tr w:rsidR="000217C7" w:rsidRPr="000217C7" w14:paraId="11B23452" w14:textId="77777777" w:rsidTr="00F44694">
        <w:trPr>
          <w:trHeight w:val="255"/>
        </w:trPr>
        <w:tc>
          <w:tcPr>
            <w:tcW w:w="8075" w:type="dxa"/>
            <w:gridSpan w:val="9"/>
            <w:tcBorders>
              <w:top w:val="single" w:sz="4" w:space="0" w:color="auto"/>
              <w:left w:val="single" w:sz="4" w:space="0" w:color="auto"/>
              <w:bottom w:val="single" w:sz="4" w:space="0" w:color="auto"/>
              <w:right w:val="single" w:sz="4" w:space="0" w:color="auto"/>
            </w:tcBorders>
          </w:tcPr>
          <w:p w14:paraId="569A19AA" w14:textId="77777777" w:rsidR="00F44694" w:rsidRPr="000217C7" w:rsidRDefault="00F44694" w:rsidP="00F44694">
            <w:pPr>
              <w:pStyle w:val="Table"/>
              <w:jc w:val="center"/>
              <w:rPr>
                <w:b/>
                <w:bCs/>
                <w:color w:val="000000" w:themeColor="text1"/>
              </w:rPr>
            </w:pPr>
            <w:proofErr w:type="spellStart"/>
            <w:r w:rsidRPr="000217C7">
              <w:rPr>
                <w:b/>
                <w:bCs/>
                <w:color w:val="000000" w:themeColor="text1"/>
              </w:rPr>
              <w:t>bCFS</w:t>
            </w:r>
            <w:proofErr w:type="spellEnd"/>
            <w:r w:rsidRPr="000217C7">
              <w:rPr>
                <w:b/>
                <w:bCs/>
                <w:color w:val="000000" w:themeColor="text1"/>
              </w:rPr>
              <w:t xml:space="preserve"> RTs and connectivity</w:t>
            </w:r>
          </w:p>
        </w:tc>
        <w:tc>
          <w:tcPr>
            <w:tcW w:w="2126" w:type="dxa"/>
            <w:gridSpan w:val="2"/>
            <w:tcBorders>
              <w:top w:val="single" w:sz="4" w:space="0" w:color="auto"/>
              <w:left w:val="single" w:sz="4" w:space="0" w:color="auto"/>
            </w:tcBorders>
          </w:tcPr>
          <w:p w14:paraId="70D76107" w14:textId="77777777" w:rsidR="00F44694" w:rsidRPr="000217C7" w:rsidRDefault="00F44694" w:rsidP="00F44694">
            <w:pPr>
              <w:pStyle w:val="Table"/>
              <w:rPr>
                <w:b/>
                <w:bCs/>
                <w:color w:val="000000" w:themeColor="text1"/>
              </w:rPr>
            </w:pPr>
            <w:r w:rsidRPr="000217C7">
              <w:rPr>
                <w:b/>
                <w:bCs/>
                <w:color w:val="000000" w:themeColor="text1"/>
              </w:rPr>
              <w:t>Seed</w:t>
            </w:r>
          </w:p>
        </w:tc>
      </w:tr>
      <w:tr w:rsidR="000217C7" w:rsidRPr="000217C7" w14:paraId="7100E845" w14:textId="77777777" w:rsidTr="00F44694">
        <w:trPr>
          <w:trHeight w:val="255"/>
        </w:trPr>
        <w:tc>
          <w:tcPr>
            <w:tcW w:w="544" w:type="dxa"/>
            <w:tcBorders>
              <w:top w:val="single" w:sz="4" w:space="0" w:color="auto"/>
            </w:tcBorders>
          </w:tcPr>
          <w:p w14:paraId="7C8DDB1E" w14:textId="77777777" w:rsidR="00F44694" w:rsidRPr="000217C7" w:rsidRDefault="00F44694" w:rsidP="00F44694">
            <w:pPr>
              <w:pStyle w:val="Table"/>
              <w:rPr>
                <w:color w:val="000000" w:themeColor="text1"/>
              </w:rPr>
            </w:pPr>
            <w:r w:rsidRPr="000217C7">
              <w:rPr>
                <w:color w:val="000000" w:themeColor="text1"/>
              </w:rPr>
              <w:t>R</w:t>
            </w:r>
          </w:p>
        </w:tc>
        <w:tc>
          <w:tcPr>
            <w:tcW w:w="1997" w:type="dxa"/>
            <w:tcBorders>
              <w:top w:val="single" w:sz="4" w:space="0" w:color="auto"/>
            </w:tcBorders>
          </w:tcPr>
          <w:p w14:paraId="691C09FA" w14:textId="77777777" w:rsidR="00F44694" w:rsidRPr="000217C7" w:rsidRDefault="00F44694" w:rsidP="00F44694">
            <w:pPr>
              <w:pStyle w:val="Table"/>
              <w:rPr>
                <w:color w:val="000000" w:themeColor="text1"/>
              </w:rPr>
            </w:pPr>
            <w:r w:rsidRPr="000217C7">
              <w:rPr>
                <w:color w:val="000000" w:themeColor="text1"/>
              </w:rPr>
              <w:t>Supramarginal G.</w:t>
            </w:r>
          </w:p>
        </w:tc>
        <w:tc>
          <w:tcPr>
            <w:tcW w:w="992" w:type="dxa"/>
            <w:tcBorders>
              <w:top w:val="single" w:sz="4" w:space="0" w:color="auto"/>
            </w:tcBorders>
          </w:tcPr>
          <w:p w14:paraId="73B7B43A" w14:textId="77777777" w:rsidR="00F44694" w:rsidRPr="000217C7" w:rsidRDefault="00F44694" w:rsidP="00F44694">
            <w:pPr>
              <w:pStyle w:val="Table"/>
              <w:jc w:val="right"/>
              <w:rPr>
                <w:color w:val="000000" w:themeColor="text1"/>
              </w:rPr>
            </w:pPr>
            <w:r w:rsidRPr="000217C7">
              <w:rPr>
                <w:color w:val="000000" w:themeColor="text1"/>
              </w:rPr>
              <w:t>0.004</w:t>
            </w:r>
          </w:p>
        </w:tc>
        <w:tc>
          <w:tcPr>
            <w:tcW w:w="992" w:type="dxa"/>
            <w:tcBorders>
              <w:top w:val="single" w:sz="4" w:space="0" w:color="auto"/>
            </w:tcBorders>
          </w:tcPr>
          <w:p w14:paraId="698A114D" w14:textId="77777777" w:rsidR="00F44694" w:rsidRPr="000217C7" w:rsidRDefault="00F44694" w:rsidP="00F44694">
            <w:pPr>
              <w:pStyle w:val="Table"/>
              <w:rPr>
                <w:color w:val="000000" w:themeColor="text1"/>
              </w:rPr>
            </w:pPr>
            <w:r w:rsidRPr="000217C7">
              <w:rPr>
                <w:color w:val="000000" w:themeColor="text1"/>
              </w:rPr>
              <w:t>1566</w:t>
            </w:r>
          </w:p>
        </w:tc>
        <w:tc>
          <w:tcPr>
            <w:tcW w:w="715" w:type="dxa"/>
            <w:tcBorders>
              <w:top w:val="single" w:sz="4" w:space="0" w:color="auto"/>
            </w:tcBorders>
          </w:tcPr>
          <w:p w14:paraId="70C6971A" w14:textId="77777777" w:rsidR="00F44694" w:rsidRPr="000217C7" w:rsidRDefault="00F44694" w:rsidP="00F44694">
            <w:pPr>
              <w:pStyle w:val="Table"/>
              <w:jc w:val="center"/>
              <w:rPr>
                <w:color w:val="000000" w:themeColor="text1"/>
              </w:rPr>
            </w:pPr>
            <w:r w:rsidRPr="000217C7">
              <w:rPr>
                <w:color w:val="000000" w:themeColor="text1"/>
              </w:rPr>
              <w:t xml:space="preserve">46     </w:t>
            </w:r>
          </w:p>
        </w:tc>
        <w:tc>
          <w:tcPr>
            <w:tcW w:w="709" w:type="dxa"/>
            <w:tcBorders>
              <w:top w:val="single" w:sz="4" w:space="0" w:color="auto"/>
            </w:tcBorders>
          </w:tcPr>
          <w:p w14:paraId="0D9FC260" w14:textId="77777777" w:rsidR="00F44694" w:rsidRPr="000217C7" w:rsidRDefault="00F44694" w:rsidP="00F44694">
            <w:pPr>
              <w:pStyle w:val="Table"/>
              <w:jc w:val="center"/>
              <w:rPr>
                <w:color w:val="000000" w:themeColor="text1"/>
              </w:rPr>
            </w:pPr>
            <w:r w:rsidRPr="000217C7">
              <w:rPr>
                <w:color w:val="000000" w:themeColor="text1"/>
              </w:rPr>
              <w:t>-28</w:t>
            </w:r>
          </w:p>
        </w:tc>
        <w:tc>
          <w:tcPr>
            <w:tcW w:w="709" w:type="dxa"/>
            <w:tcBorders>
              <w:top w:val="single" w:sz="4" w:space="0" w:color="auto"/>
            </w:tcBorders>
          </w:tcPr>
          <w:p w14:paraId="44F08F27" w14:textId="77777777" w:rsidR="00F44694" w:rsidRPr="000217C7" w:rsidRDefault="00F44694" w:rsidP="00F44694">
            <w:pPr>
              <w:pStyle w:val="Table"/>
              <w:jc w:val="center"/>
              <w:rPr>
                <w:color w:val="000000" w:themeColor="text1"/>
              </w:rPr>
            </w:pPr>
            <w:r w:rsidRPr="000217C7">
              <w:rPr>
                <w:color w:val="000000" w:themeColor="text1"/>
              </w:rPr>
              <w:t>32</w:t>
            </w:r>
          </w:p>
        </w:tc>
        <w:tc>
          <w:tcPr>
            <w:tcW w:w="708" w:type="dxa"/>
            <w:tcBorders>
              <w:top w:val="single" w:sz="4" w:space="0" w:color="auto"/>
            </w:tcBorders>
          </w:tcPr>
          <w:p w14:paraId="5BB0A06F" w14:textId="77777777" w:rsidR="00F44694" w:rsidRPr="000217C7" w:rsidRDefault="00F44694" w:rsidP="00F44694">
            <w:pPr>
              <w:pStyle w:val="Table"/>
              <w:rPr>
                <w:color w:val="000000" w:themeColor="text1"/>
              </w:rPr>
            </w:pPr>
            <w:r w:rsidRPr="000217C7">
              <w:rPr>
                <w:color w:val="000000" w:themeColor="text1"/>
              </w:rPr>
              <w:t>5.02</w:t>
            </w:r>
          </w:p>
        </w:tc>
        <w:tc>
          <w:tcPr>
            <w:tcW w:w="709" w:type="dxa"/>
            <w:tcBorders>
              <w:top w:val="single" w:sz="4" w:space="0" w:color="auto"/>
            </w:tcBorders>
          </w:tcPr>
          <w:p w14:paraId="2207B74A" w14:textId="77777777" w:rsidR="00F44694" w:rsidRPr="000217C7" w:rsidRDefault="00F44694" w:rsidP="00F44694">
            <w:pPr>
              <w:pStyle w:val="Table"/>
              <w:rPr>
                <w:color w:val="000000" w:themeColor="text1"/>
              </w:rPr>
            </w:pPr>
            <w:r w:rsidRPr="000217C7">
              <w:rPr>
                <w:color w:val="000000" w:themeColor="text1"/>
              </w:rPr>
              <w:t>0.07</w:t>
            </w:r>
          </w:p>
        </w:tc>
        <w:tc>
          <w:tcPr>
            <w:tcW w:w="2126" w:type="dxa"/>
            <w:gridSpan w:val="2"/>
            <w:vAlign w:val="center"/>
          </w:tcPr>
          <w:p w14:paraId="1D0F5A1E" w14:textId="77777777" w:rsidR="00F44694" w:rsidRPr="000217C7" w:rsidRDefault="00F44694" w:rsidP="00F44694">
            <w:pPr>
              <w:pStyle w:val="Table"/>
              <w:rPr>
                <w:color w:val="000000" w:themeColor="text1"/>
              </w:rPr>
            </w:pPr>
            <w:r w:rsidRPr="000217C7">
              <w:rPr>
                <w:color w:val="000000" w:themeColor="text1"/>
              </w:rPr>
              <w:t>right Calcarine / bCFS RTs</w:t>
            </w:r>
          </w:p>
        </w:tc>
      </w:tr>
      <w:tr w:rsidR="000217C7" w:rsidRPr="000217C7" w14:paraId="0D62EA0C" w14:textId="77777777" w:rsidTr="00F44694">
        <w:trPr>
          <w:trHeight w:val="255"/>
        </w:trPr>
        <w:tc>
          <w:tcPr>
            <w:tcW w:w="544" w:type="dxa"/>
          </w:tcPr>
          <w:p w14:paraId="4ADB81D2" w14:textId="77777777" w:rsidR="00F44694" w:rsidRPr="000217C7" w:rsidRDefault="00F44694" w:rsidP="00F44694">
            <w:pPr>
              <w:pStyle w:val="Table"/>
              <w:rPr>
                <w:color w:val="000000" w:themeColor="text1"/>
              </w:rPr>
            </w:pPr>
            <w:r w:rsidRPr="000217C7">
              <w:rPr>
                <w:color w:val="000000" w:themeColor="text1"/>
              </w:rPr>
              <w:t>L</w:t>
            </w:r>
          </w:p>
        </w:tc>
        <w:tc>
          <w:tcPr>
            <w:tcW w:w="1997" w:type="dxa"/>
          </w:tcPr>
          <w:p w14:paraId="62103EB6" w14:textId="77777777" w:rsidR="00F44694" w:rsidRPr="000217C7" w:rsidRDefault="00F44694" w:rsidP="00F44694">
            <w:pPr>
              <w:pStyle w:val="Table"/>
              <w:rPr>
                <w:color w:val="000000" w:themeColor="text1"/>
              </w:rPr>
            </w:pPr>
            <w:r w:rsidRPr="000217C7">
              <w:rPr>
                <w:color w:val="000000" w:themeColor="text1"/>
              </w:rPr>
              <w:t>Supramarginal G.</w:t>
            </w:r>
          </w:p>
        </w:tc>
        <w:tc>
          <w:tcPr>
            <w:tcW w:w="992" w:type="dxa"/>
          </w:tcPr>
          <w:p w14:paraId="2442BBC3" w14:textId="77777777" w:rsidR="00F44694" w:rsidRPr="000217C7" w:rsidRDefault="00F44694" w:rsidP="00F44694">
            <w:pPr>
              <w:pStyle w:val="Table"/>
              <w:jc w:val="right"/>
              <w:rPr>
                <w:color w:val="000000" w:themeColor="text1"/>
              </w:rPr>
            </w:pPr>
            <w:r w:rsidRPr="000217C7">
              <w:rPr>
                <w:color w:val="000000" w:themeColor="text1"/>
              </w:rPr>
              <w:t>0.006</w:t>
            </w:r>
          </w:p>
        </w:tc>
        <w:tc>
          <w:tcPr>
            <w:tcW w:w="992" w:type="dxa"/>
          </w:tcPr>
          <w:p w14:paraId="2F29F40B" w14:textId="77777777" w:rsidR="00F44694" w:rsidRPr="000217C7" w:rsidRDefault="00F44694" w:rsidP="00F44694">
            <w:pPr>
              <w:pStyle w:val="Table"/>
              <w:rPr>
                <w:color w:val="000000" w:themeColor="text1"/>
              </w:rPr>
            </w:pPr>
            <w:r w:rsidRPr="000217C7">
              <w:rPr>
                <w:color w:val="000000" w:themeColor="text1"/>
              </w:rPr>
              <w:t>1312.88</w:t>
            </w:r>
          </w:p>
        </w:tc>
        <w:tc>
          <w:tcPr>
            <w:tcW w:w="715" w:type="dxa"/>
          </w:tcPr>
          <w:p w14:paraId="7784196B" w14:textId="77777777" w:rsidR="00F44694" w:rsidRPr="000217C7" w:rsidRDefault="00F44694" w:rsidP="00F44694">
            <w:pPr>
              <w:pStyle w:val="Table"/>
              <w:jc w:val="center"/>
              <w:rPr>
                <w:color w:val="000000" w:themeColor="text1"/>
              </w:rPr>
            </w:pPr>
            <w:r w:rsidRPr="000217C7">
              <w:rPr>
                <w:color w:val="000000" w:themeColor="text1"/>
              </w:rPr>
              <w:t xml:space="preserve">-66    </w:t>
            </w:r>
          </w:p>
        </w:tc>
        <w:tc>
          <w:tcPr>
            <w:tcW w:w="709" w:type="dxa"/>
          </w:tcPr>
          <w:p w14:paraId="21D00C64" w14:textId="77777777" w:rsidR="00F44694" w:rsidRPr="000217C7" w:rsidRDefault="00F44694" w:rsidP="00F44694">
            <w:pPr>
              <w:pStyle w:val="Table"/>
              <w:jc w:val="center"/>
              <w:rPr>
                <w:color w:val="000000" w:themeColor="text1"/>
              </w:rPr>
            </w:pPr>
            <w:r w:rsidRPr="000217C7">
              <w:rPr>
                <w:color w:val="000000" w:themeColor="text1"/>
              </w:rPr>
              <w:t>-18</w:t>
            </w:r>
          </w:p>
        </w:tc>
        <w:tc>
          <w:tcPr>
            <w:tcW w:w="709" w:type="dxa"/>
          </w:tcPr>
          <w:p w14:paraId="45782F2C" w14:textId="77777777" w:rsidR="00F44694" w:rsidRPr="000217C7" w:rsidRDefault="00F44694" w:rsidP="00F44694">
            <w:pPr>
              <w:pStyle w:val="Table"/>
              <w:jc w:val="center"/>
              <w:rPr>
                <w:color w:val="000000" w:themeColor="text1"/>
              </w:rPr>
            </w:pPr>
            <w:r w:rsidRPr="000217C7">
              <w:rPr>
                <w:color w:val="000000" w:themeColor="text1"/>
              </w:rPr>
              <w:t>22</w:t>
            </w:r>
          </w:p>
        </w:tc>
        <w:tc>
          <w:tcPr>
            <w:tcW w:w="708" w:type="dxa"/>
          </w:tcPr>
          <w:p w14:paraId="2EB67278" w14:textId="77777777" w:rsidR="00F44694" w:rsidRPr="000217C7" w:rsidRDefault="00F44694" w:rsidP="00F44694">
            <w:pPr>
              <w:pStyle w:val="Table"/>
              <w:rPr>
                <w:color w:val="000000" w:themeColor="text1"/>
              </w:rPr>
            </w:pPr>
            <w:r w:rsidRPr="000217C7">
              <w:rPr>
                <w:color w:val="000000" w:themeColor="text1"/>
              </w:rPr>
              <w:t>5.40</w:t>
            </w:r>
          </w:p>
        </w:tc>
        <w:tc>
          <w:tcPr>
            <w:tcW w:w="709" w:type="dxa"/>
          </w:tcPr>
          <w:p w14:paraId="28522403" w14:textId="77777777" w:rsidR="00F44694" w:rsidRPr="000217C7" w:rsidRDefault="00F44694" w:rsidP="00F44694">
            <w:pPr>
              <w:pStyle w:val="Table"/>
              <w:rPr>
                <w:color w:val="000000" w:themeColor="text1"/>
              </w:rPr>
            </w:pPr>
            <w:r w:rsidRPr="000217C7">
              <w:rPr>
                <w:color w:val="000000" w:themeColor="text1"/>
              </w:rPr>
              <w:t>0.07</w:t>
            </w:r>
          </w:p>
        </w:tc>
        <w:tc>
          <w:tcPr>
            <w:tcW w:w="2126" w:type="dxa"/>
            <w:gridSpan w:val="2"/>
            <w:vAlign w:val="center"/>
          </w:tcPr>
          <w:p w14:paraId="723C4654" w14:textId="77777777" w:rsidR="00F44694" w:rsidRPr="000217C7" w:rsidRDefault="00F44694" w:rsidP="00F44694">
            <w:pPr>
              <w:pStyle w:val="Table"/>
              <w:rPr>
                <w:color w:val="000000" w:themeColor="text1"/>
              </w:rPr>
            </w:pPr>
            <w:r w:rsidRPr="000217C7">
              <w:rPr>
                <w:color w:val="000000" w:themeColor="text1"/>
              </w:rPr>
              <w:t>right Calcarine / bCFS RTs</w:t>
            </w:r>
          </w:p>
        </w:tc>
      </w:tr>
    </w:tbl>
    <w:p w14:paraId="43AE41AA" w14:textId="6A0E1CB4" w:rsidR="00F44694" w:rsidRPr="000217C7" w:rsidRDefault="00F44694" w:rsidP="00F44694">
      <w:pPr>
        <w:pStyle w:val="Caption"/>
        <w:rPr>
          <w:color w:val="000000" w:themeColor="text1"/>
        </w:rPr>
      </w:pPr>
      <w:r w:rsidRPr="000217C7">
        <w:rPr>
          <w:color w:val="000000" w:themeColor="text1"/>
        </w:rPr>
        <w:t xml:space="preserve">Neural correlates of </w:t>
      </w:r>
      <w:proofErr w:type="spellStart"/>
      <w:r w:rsidRPr="000217C7">
        <w:rPr>
          <w:color w:val="000000" w:themeColor="text1"/>
        </w:rPr>
        <w:t>bCFS</w:t>
      </w:r>
      <w:proofErr w:type="spellEnd"/>
      <w:r w:rsidRPr="000217C7">
        <w:rPr>
          <w:color w:val="000000" w:themeColor="text1"/>
        </w:rPr>
        <w:t xml:space="preserve"> task performance</w:t>
      </w:r>
    </w:p>
    <w:p w14:paraId="0E0FDA62" w14:textId="65713940" w:rsidR="0002738A" w:rsidRPr="000217C7" w:rsidRDefault="00360F1F" w:rsidP="0002738A">
      <w:pPr>
        <w:pStyle w:val="Heading2"/>
      </w:pPr>
      <w:r w:rsidRPr="000217C7">
        <w:t xml:space="preserve">3.2 </w:t>
      </w:r>
      <w:r w:rsidR="0002738A" w:rsidRPr="000217C7">
        <w:t xml:space="preserve">Go/No-Go </w:t>
      </w:r>
      <w:bookmarkEnd w:id="27"/>
      <w:r w:rsidR="0002738A" w:rsidRPr="000217C7">
        <w:t>task</w:t>
      </w:r>
    </w:p>
    <w:p w14:paraId="11399767" w14:textId="77777777" w:rsidR="0002738A" w:rsidRPr="000217C7" w:rsidRDefault="00360F1F" w:rsidP="0002738A">
      <w:pPr>
        <w:pStyle w:val="Heading3"/>
      </w:pPr>
      <w:r w:rsidRPr="000217C7">
        <w:t xml:space="preserve">3.2.1 </w:t>
      </w:r>
      <w:r w:rsidR="0002738A" w:rsidRPr="000217C7">
        <w:t>Behavioral results</w:t>
      </w:r>
    </w:p>
    <w:p w14:paraId="69720DED" w14:textId="47BE7E7A" w:rsidR="0002738A" w:rsidRPr="000217C7" w:rsidRDefault="0002738A" w:rsidP="0002738A">
      <w:pPr>
        <w:rPr>
          <w:color w:val="000000" w:themeColor="text1"/>
        </w:rPr>
      </w:pPr>
      <w:r w:rsidRPr="000217C7">
        <w:rPr>
          <w:color w:val="000000" w:themeColor="text1"/>
        </w:rPr>
        <w:t>The linear mixed model on the RTs of the Go/No-Go task explained 33% of the data variance (marginal R</w:t>
      </w:r>
      <w:r w:rsidRPr="000217C7">
        <w:rPr>
          <w:color w:val="000000" w:themeColor="text1"/>
          <w:vertAlign w:val="superscript"/>
        </w:rPr>
        <w:t>2</w:t>
      </w:r>
      <w:r w:rsidRPr="000217C7">
        <w:rPr>
          <w:color w:val="000000" w:themeColor="text1"/>
        </w:rPr>
        <w:t xml:space="preserve"> = 0.01, conditional R</w:t>
      </w:r>
      <w:r w:rsidRPr="000217C7">
        <w:rPr>
          <w:color w:val="000000" w:themeColor="text1"/>
          <w:vertAlign w:val="superscript"/>
        </w:rPr>
        <w:t>2</w:t>
      </w:r>
      <w:r w:rsidRPr="000217C7">
        <w:rPr>
          <w:color w:val="000000" w:themeColor="text1"/>
        </w:rPr>
        <w:t xml:space="preserve"> = 0.33). No predictor showed collinearity with the other predictors (all variance inflation factors between 1 and 1.001). None of the main effects reached the significance level [all</w:t>
      </w:r>
      <w:r w:rsidRPr="000217C7">
        <w:rPr>
          <w:i/>
          <w:color w:val="000000" w:themeColor="text1"/>
        </w:rPr>
        <w:t xml:space="preserve"> </w:t>
      </w:r>
      <w:proofErr w:type="spellStart"/>
      <w:r w:rsidRPr="000217C7">
        <w:rPr>
          <w:i/>
          <w:color w:val="000000" w:themeColor="text1"/>
        </w:rPr>
        <w:t>ps</w:t>
      </w:r>
      <w:proofErr w:type="spellEnd"/>
      <w:r w:rsidRPr="000217C7">
        <w:rPr>
          <w:color w:val="000000" w:themeColor="text1"/>
        </w:rPr>
        <w:t xml:space="preserve"> &gt; 0.12]. We found an interaction effect of Stimulus Type * BMI [</w:t>
      </w:r>
      <w:r w:rsidRPr="000217C7">
        <w:rPr>
          <w:i/>
          <w:color w:val="000000" w:themeColor="text1"/>
        </w:rPr>
        <w:t xml:space="preserve">F </w:t>
      </w:r>
      <w:r w:rsidRPr="000217C7">
        <w:rPr>
          <w:color w:val="000000" w:themeColor="text1"/>
        </w:rPr>
        <w:t xml:space="preserve">(1, 5306) = 5.3, </w:t>
      </w:r>
      <w:r w:rsidRPr="000217C7">
        <w:rPr>
          <w:i/>
          <w:color w:val="000000" w:themeColor="text1"/>
        </w:rPr>
        <w:t>p</w:t>
      </w:r>
      <w:r w:rsidRPr="000217C7">
        <w:rPr>
          <w:color w:val="000000" w:themeColor="text1"/>
        </w:rPr>
        <w:t xml:space="preserve"> = 0.02], shown in</w:t>
      </w:r>
      <w:r w:rsidR="00140923" w:rsidRPr="000217C7">
        <w:rPr>
          <w:color w:val="000000" w:themeColor="text1"/>
        </w:rPr>
        <w:t xml:space="preserve"> Figure 6</w:t>
      </w:r>
      <w:r w:rsidRPr="000217C7">
        <w:rPr>
          <w:color w:val="000000" w:themeColor="text1"/>
        </w:rPr>
        <w:t xml:space="preserve">. Post-hoc test showed that while BMI did not have a significant effect either in food not in nonfood trials [all </w:t>
      </w:r>
      <w:proofErr w:type="spellStart"/>
      <w:r w:rsidRPr="000217C7">
        <w:rPr>
          <w:i/>
          <w:iCs/>
          <w:color w:val="000000" w:themeColor="text1"/>
        </w:rPr>
        <w:t>p</w:t>
      </w:r>
      <w:r w:rsidRPr="000217C7">
        <w:rPr>
          <w:color w:val="000000" w:themeColor="text1"/>
        </w:rPr>
        <w:t>s</w:t>
      </w:r>
      <w:proofErr w:type="spellEnd"/>
      <w:r w:rsidRPr="000217C7">
        <w:rPr>
          <w:color w:val="000000" w:themeColor="text1"/>
        </w:rPr>
        <w:t xml:space="preserve"> &lt; 0.07], participants with a high</w:t>
      </w:r>
      <w:r w:rsidR="008417F2" w:rsidRPr="000217C7">
        <w:rPr>
          <w:color w:val="000000" w:themeColor="text1"/>
        </w:rPr>
        <w:t>er</w:t>
      </w:r>
      <w:r w:rsidRPr="000217C7">
        <w:rPr>
          <w:color w:val="000000" w:themeColor="text1"/>
        </w:rPr>
        <w:t xml:space="preserve"> BMI were slower in responding to nonfood Go trials, i.e. in blocks in which they needed to refrain to respond from food [</w:t>
      </w:r>
      <w:r w:rsidRPr="000217C7">
        <w:rPr>
          <w:i/>
          <w:color w:val="000000" w:themeColor="text1"/>
        </w:rPr>
        <w:t xml:space="preserve">t </w:t>
      </w:r>
      <w:r w:rsidRPr="000217C7">
        <w:rPr>
          <w:color w:val="000000" w:themeColor="text1"/>
        </w:rPr>
        <w:t xml:space="preserve">(176) = 0.57, </w:t>
      </w:r>
      <w:r w:rsidRPr="000217C7">
        <w:rPr>
          <w:i/>
          <w:color w:val="000000" w:themeColor="text1"/>
        </w:rPr>
        <w:t>p</w:t>
      </w:r>
      <w:r w:rsidRPr="000217C7">
        <w:rPr>
          <w:color w:val="000000" w:themeColor="text1"/>
        </w:rPr>
        <w:t xml:space="preserve"> = 0.02], but participants with lower BMIs were not [</w:t>
      </w:r>
      <w:r w:rsidRPr="000217C7">
        <w:rPr>
          <w:i/>
          <w:color w:val="000000" w:themeColor="text1"/>
        </w:rPr>
        <w:t xml:space="preserve">t </w:t>
      </w:r>
      <w:r w:rsidRPr="000217C7">
        <w:rPr>
          <w:color w:val="000000" w:themeColor="text1"/>
        </w:rPr>
        <w:t xml:space="preserve">(177) = 2.29, </w:t>
      </w:r>
      <w:r w:rsidRPr="000217C7">
        <w:rPr>
          <w:i/>
          <w:color w:val="000000" w:themeColor="text1"/>
        </w:rPr>
        <w:t xml:space="preserve">p </w:t>
      </w:r>
      <w:r w:rsidRPr="000217C7">
        <w:rPr>
          <w:color w:val="000000" w:themeColor="text1"/>
        </w:rPr>
        <w:t>= 0.57]. This result indicates</w:t>
      </w:r>
      <w:r w:rsidR="00037F81" w:rsidRPr="000217C7">
        <w:rPr>
          <w:color w:val="000000" w:themeColor="text1"/>
        </w:rPr>
        <w:t xml:space="preserve"> reduced</w:t>
      </w:r>
      <w:r w:rsidRPr="000217C7">
        <w:rPr>
          <w:color w:val="000000" w:themeColor="text1"/>
        </w:rPr>
        <w:t xml:space="preserve"> inhibition</w:t>
      </w:r>
      <w:r w:rsidR="00037F81" w:rsidRPr="000217C7">
        <w:rPr>
          <w:color w:val="000000" w:themeColor="text1"/>
        </w:rPr>
        <w:t xml:space="preserve"> </w:t>
      </w:r>
      <w:r w:rsidRPr="000217C7">
        <w:rPr>
          <w:color w:val="000000" w:themeColor="text1"/>
        </w:rPr>
        <w:t>in high</w:t>
      </w:r>
      <w:r w:rsidR="008417F2" w:rsidRPr="000217C7">
        <w:rPr>
          <w:color w:val="000000" w:themeColor="text1"/>
        </w:rPr>
        <w:t>er</w:t>
      </w:r>
      <w:r w:rsidRPr="000217C7">
        <w:rPr>
          <w:color w:val="000000" w:themeColor="text1"/>
        </w:rPr>
        <w:t xml:space="preserve"> BMI participants specifically towards food. Results are reported in</w:t>
      </w:r>
      <w:r w:rsidR="00800717" w:rsidRPr="000217C7">
        <w:rPr>
          <w:color w:val="000000" w:themeColor="text1"/>
        </w:rPr>
        <w:t xml:space="preserve"> Supplementary Table 4</w:t>
      </w:r>
      <w:r w:rsidRPr="000217C7">
        <w:rPr>
          <w:color w:val="000000" w:themeColor="text1"/>
        </w:rPr>
        <w:t>.</w:t>
      </w:r>
    </w:p>
    <w:p w14:paraId="578D3030" w14:textId="0B5EDD17" w:rsidR="0002738A" w:rsidRPr="000217C7" w:rsidRDefault="0002738A" w:rsidP="0002738A">
      <w:pPr>
        <w:pStyle w:val="Heading5"/>
        <w:rPr>
          <w:color w:val="000000" w:themeColor="text1"/>
        </w:rPr>
      </w:pPr>
      <w:bookmarkStart w:id="30" w:name="_Ref22052049"/>
      <w:r w:rsidRPr="000217C7">
        <w:rPr>
          <w:color w:val="000000" w:themeColor="text1"/>
        </w:rPr>
        <w:lastRenderedPageBreak/>
        <w:t xml:space="preserve">Figure </w:t>
      </w:r>
      <w:bookmarkEnd w:id="30"/>
      <w:r w:rsidR="00140923" w:rsidRPr="000217C7">
        <w:rPr>
          <w:noProof/>
          <w:color w:val="000000" w:themeColor="text1"/>
        </w:rPr>
        <w:t>6</w:t>
      </w:r>
    </w:p>
    <w:p w14:paraId="5E7E7B46" w14:textId="77777777" w:rsidR="0002738A" w:rsidRPr="000217C7" w:rsidRDefault="0002738A" w:rsidP="0002738A">
      <w:pPr>
        <w:keepNext/>
        <w:jc w:val="center"/>
        <w:rPr>
          <w:color w:val="000000" w:themeColor="text1"/>
        </w:rPr>
      </w:pPr>
      <w:r w:rsidRPr="000217C7">
        <w:rPr>
          <w:noProof/>
          <w:color w:val="000000" w:themeColor="text1"/>
          <w:lang w:val="en-GB" w:eastAsia="en-GB"/>
        </w:rPr>
        <w:drawing>
          <wp:inline distT="0" distB="0" distL="0" distR="0" wp14:anchorId="06E06762" wp14:editId="69EAD904">
            <wp:extent cx="3323566" cy="3708400"/>
            <wp:effectExtent l="0" t="0" r="4445"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NG_BMIfood.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27352" cy="3712624"/>
                    </a:xfrm>
                    <a:prstGeom prst="rect">
                      <a:avLst/>
                    </a:prstGeom>
                  </pic:spPr>
                </pic:pic>
              </a:graphicData>
            </a:graphic>
          </wp:inline>
        </w:drawing>
      </w:r>
    </w:p>
    <w:p w14:paraId="354C2477" w14:textId="0F73C5E9" w:rsidR="0002738A" w:rsidRPr="000217C7" w:rsidRDefault="0002738A" w:rsidP="00B62D9D">
      <w:pPr>
        <w:pStyle w:val="Caption"/>
        <w:rPr>
          <w:color w:val="000000" w:themeColor="text1"/>
        </w:rPr>
      </w:pPr>
      <w:r w:rsidRPr="000217C7">
        <w:rPr>
          <w:color w:val="000000" w:themeColor="text1"/>
        </w:rPr>
        <w:t xml:space="preserve">Interaction effect of BMI and Stimulus Type (Food, </w:t>
      </w:r>
      <w:proofErr w:type="spellStart"/>
      <w:r w:rsidRPr="000217C7">
        <w:rPr>
          <w:color w:val="000000" w:themeColor="text1"/>
        </w:rPr>
        <w:t>NonFood</w:t>
      </w:r>
      <w:proofErr w:type="spellEnd"/>
      <w:r w:rsidRPr="000217C7">
        <w:rPr>
          <w:color w:val="000000" w:themeColor="text1"/>
        </w:rPr>
        <w:t>) in the analysis of RTs in the Go/No-Go task.</w:t>
      </w:r>
      <w:r w:rsidR="00B62D9D" w:rsidRPr="000217C7">
        <w:rPr>
          <w:color w:val="000000" w:themeColor="text1"/>
        </w:rPr>
        <w:t xml:space="preserve"> Bands indicate 95% confidence intervals.</w:t>
      </w:r>
    </w:p>
    <w:p w14:paraId="451FC29F" w14:textId="796F708C" w:rsidR="0002738A" w:rsidRPr="000217C7" w:rsidRDefault="0002738A" w:rsidP="0002738A">
      <w:pPr>
        <w:rPr>
          <w:color w:val="000000" w:themeColor="text1"/>
        </w:rPr>
      </w:pPr>
      <w:r w:rsidRPr="000217C7">
        <w:rPr>
          <w:color w:val="000000" w:themeColor="text1"/>
        </w:rPr>
        <w:t>The model used in the analysis of accuracy explained 33% of the variance (theoretical marginal R</w:t>
      </w:r>
      <w:r w:rsidRPr="000217C7">
        <w:rPr>
          <w:color w:val="000000" w:themeColor="text1"/>
          <w:vertAlign w:val="superscript"/>
        </w:rPr>
        <w:t>2</w:t>
      </w:r>
      <w:r w:rsidRPr="000217C7">
        <w:rPr>
          <w:color w:val="000000" w:themeColor="text1"/>
        </w:rPr>
        <w:t xml:space="preserve"> = 0.22, 0.03; theoretical conditional R</w:t>
      </w:r>
      <w:r w:rsidRPr="000217C7">
        <w:rPr>
          <w:color w:val="000000" w:themeColor="text1"/>
          <w:vertAlign w:val="superscript"/>
        </w:rPr>
        <w:t>2</w:t>
      </w:r>
      <w:r w:rsidRPr="000217C7">
        <w:rPr>
          <w:color w:val="000000" w:themeColor="text1"/>
        </w:rPr>
        <w:t>: 0.33, 0.04). The results showed a main effect of Trials Type (</w:t>
      </w:r>
      <w:r w:rsidRPr="000217C7">
        <w:rPr>
          <w:color w:val="000000" w:themeColor="text1"/>
        </w:rPr>
        <w:sym w:font="Symbol" w:char="F063"/>
      </w:r>
      <w:r w:rsidRPr="000217C7">
        <w:rPr>
          <w:color w:val="000000" w:themeColor="text1"/>
          <w:vertAlign w:val="superscript"/>
        </w:rPr>
        <w:t>2</w:t>
      </w:r>
      <w:r w:rsidRPr="000217C7">
        <w:rPr>
          <w:color w:val="000000" w:themeColor="text1"/>
        </w:rPr>
        <w:t xml:space="preserve">(1) = 189.8, </w:t>
      </w:r>
      <w:r w:rsidRPr="000217C7">
        <w:rPr>
          <w:i/>
          <w:color w:val="000000" w:themeColor="text1"/>
        </w:rPr>
        <w:t>p</w:t>
      </w:r>
      <w:r w:rsidRPr="000217C7">
        <w:rPr>
          <w:color w:val="000000" w:themeColor="text1"/>
        </w:rPr>
        <w:t xml:space="preserve"> &lt; 0.001), indicating overall lower accuracy in No-Go trials, and an effect of EAT</w:t>
      </w:r>
      <w:r w:rsidR="00454634" w:rsidRPr="000217C7">
        <w:rPr>
          <w:color w:val="000000" w:themeColor="text1"/>
        </w:rPr>
        <w:t>-26</w:t>
      </w:r>
      <w:r w:rsidRPr="000217C7">
        <w:rPr>
          <w:color w:val="000000" w:themeColor="text1"/>
        </w:rPr>
        <w:t xml:space="preserve"> (</w:t>
      </w:r>
      <w:r w:rsidRPr="000217C7">
        <w:rPr>
          <w:color w:val="000000" w:themeColor="text1"/>
        </w:rPr>
        <w:sym w:font="Symbol" w:char="F063"/>
      </w:r>
      <w:r w:rsidRPr="000217C7">
        <w:rPr>
          <w:color w:val="000000" w:themeColor="text1"/>
          <w:vertAlign w:val="superscript"/>
        </w:rPr>
        <w:t>2</w:t>
      </w:r>
      <w:r w:rsidRPr="000217C7">
        <w:rPr>
          <w:color w:val="000000" w:themeColor="text1"/>
        </w:rPr>
        <w:t xml:space="preserve">(1) = 4.7, </w:t>
      </w:r>
      <w:r w:rsidRPr="000217C7">
        <w:rPr>
          <w:i/>
          <w:color w:val="000000" w:themeColor="text1"/>
        </w:rPr>
        <w:t>p</w:t>
      </w:r>
      <w:r w:rsidRPr="000217C7">
        <w:rPr>
          <w:color w:val="000000" w:themeColor="text1"/>
        </w:rPr>
        <w:t xml:space="preserve"> = 0.03), indicating lower accuracy in participants with higher eating disorders symptoms. Complete results are reported in</w:t>
      </w:r>
      <w:r w:rsidR="00800717" w:rsidRPr="000217C7">
        <w:rPr>
          <w:color w:val="000000" w:themeColor="text1"/>
        </w:rPr>
        <w:t xml:space="preserve"> Supplementary Table 5</w:t>
      </w:r>
      <w:r w:rsidRPr="000217C7">
        <w:rPr>
          <w:color w:val="000000" w:themeColor="text1"/>
        </w:rPr>
        <w:t>.</w:t>
      </w:r>
    </w:p>
    <w:p w14:paraId="6E7A1BFC" w14:textId="77777777" w:rsidR="00B678DF" w:rsidRPr="000217C7" w:rsidRDefault="00360F1F" w:rsidP="00B678DF">
      <w:pPr>
        <w:pStyle w:val="Heading3"/>
        <w:rPr>
          <w:rFonts w:eastAsia="Times New Roman"/>
        </w:rPr>
      </w:pPr>
      <w:r w:rsidRPr="000217C7">
        <w:t xml:space="preserve">3.2.2 </w:t>
      </w:r>
      <w:r w:rsidR="00B678DF" w:rsidRPr="000217C7">
        <w:rPr>
          <w:rFonts w:eastAsia="Times New Roman"/>
        </w:rPr>
        <w:t>Correlation between grey matter density and Go/No-Go task performance</w:t>
      </w:r>
      <w:r w:rsidR="00295585" w:rsidRPr="000217C7">
        <w:rPr>
          <w:rFonts w:eastAsia="Times New Roman"/>
        </w:rPr>
        <w:t xml:space="preserve"> independently </w:t>
      </w:r>
      <w:r w:rsidR="001F0AF2" w:rsidRPr="000217C7">
        <w:rPr>
          <w:rFonts w:eastAsia="Times New Roman"/>
        </w:rPr>
        <w:t>of</w:t>
      </w:r>
      <w:r w:rsidR="00295585" w:rsidRPr="000217C7">
        <w:rPr>
          <w:rFonts w:eastAsia="Times New Roman"/>
        </w:rPr>
        <w:t xml:space="preserve"> BMI</w:t>
      </w:r>
    </w:p>
    <w:p w14:paraId="5D9084A9" w14:textId="75DE6236" w:rsidR="00B678DF" w:rsidRPr="000217C7" w:rsidRDefault="00B678DF" w:rsidP="00694157">
      <w:pPr>
        <w:rPr>
          <w:color w:val="000000" w:themeColor="text1"/>
        </w:rPr>
      </w:pPr>
      <w:r w:rsidRPr="000217C7">
        <w:rPr>
          <w:color w:val="000000" w:themeColor="text1"/>
        </w:rPr>
        <w:t xml:space="preserve">The analysis of RTs in Go trials of the Go/No-Go task showed that faster RTs were associated </w:t>
      </w:r>
      <w:r w:rsidR="00295585" w:rsidRPr="000217C7">
        <w:rPr>
          <w:color w:val="000000" w:themeColor="text1"/>
        </w:rPr>
        <w:t xml:space="preserve">with </w:t>
      </w:r>
      <w:r w:rsidRPr="000217C7">
        <w:rPr>
          <w:color w:val="000000" w:themeColor="text1"/>
        </w:rPr>
        <w:t>higher GM density in the left frontal pole (</w:t>
      </w:r>
      <w:r w:rsidR="00694157" w:rsidRPr="000217C7">
        <w:rPr>
          <w:color w:val="000000" w:themeColor="text1"/>
        </w:rPr>
        <w:t xml:space="preserve">see </w:t>
      </w:r>
      <w:r w:rsidR="00140923" w:rsidRPr="000217C7">
        <w:rPr>
          <w:color w:val="000000" w:themeColor="text1"/>
        </w:rPr>
        <w:t xml:space="preserve">Figure 7 </w:t>
      </w:r>
      <w:r w:rsidR="004D1B5C" w:rsidRPr="000217C7">
        <w:rPr>
          <w:color w:val="000000" w:themeColor="text1"/>
        </w:rPr>
        <w:t>and</w:t>
      </w:r>
      <w:r w:rsidR="00140DBA" w:rsidRPr="000217C7">
        <w:rPr>
          <w:color w:val="000000" w:themeColor="text1"/>
        </w:rPr>
        <w:t xml:space="preserve"> Table 3</w:t>
      </w:r>
      <w:r w:rsidRPr="000217C7">
        <w:rPr>
          <w:color w:val="000000" w:themeColor="text1"/>
        </w:rPr>
        <w:t>).</w:t>
      </w:r>
    </w:p>
    <w:p w14:paraId="0C3E39D0" w14:textId="671B6650" w:rsidR="00B678DF" w:rsidRPr="000217C7" w:rsidRDefault="00B678DF" w:rsidP="00D351AA">
      <w:pPr>
        <w:pStyle w:val="Heading5"/>
        <w:rPr>
          <w:color w:val="000000" w:themeColor="text1"/>
        </w:rPr>
      </w:pPr>
      <w:bookmarkStart w:id="31" w:name="_Ref527728031"/>
      <w:r w:rsidRPr="000217C7">
        <w:rPr>
          <w:color w:val="000000" w:themeColor="text1"/>
        </w:rPr>
        <w:lastRenderedPageBreak/>
        <w:t xml:space="preserve">Figure </w:t>
      </w:r>
      <w:bookmarkEnd w:id="31"/>
      <w:r w:rsidR="00140923" w:rsidRPr="000217C7">
        <w:rPr>
          <w:noProof/>
          <w:color w:val="000000" w:themeColor="text1"/>
        </w:rPr>
        <w:t>7</w:t>
      </w:r>
    </w:p>
    <w:p w14:paraId="4A3CA20D" w14:textId="77777777" w:rsidR="00B678DF" w:rsidRPr="000217C7" w:rsidRDefault="00B678DF" w:rsidP="00B678DF">
      <w:pPr>
        <w:pStyle w:val="Figures"/>
        <w:rPr>
          <w:color w:val="000000" w:themeColor="text1"/>
        </w:rPr>
      </w:pPr>
      <w:r w:rsidRPr="000217C7">
        <w:rPr>
          <w:noProof/>
          <w:color w:val="000000" w:themeColor="text1"/>
          <w:lang w:val="en-GB" w:eastAsia="en-GB"/>
        </w:rPr>
        <w:drawing>
          <wp:inline distT="0" distB="0" distL="0" distR="0" wp14:anchorId="7194540E" wp14:editId="6269829D">
            <wp:extent cx="5684494" cy="2612681"/>
            <wp:effectExtent l="0" t="0" r="571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NGind_label.pn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684494" cy="2612681"/>
                    </a:xfrm>
                    <a:prstGeom prst="rect">
                      <a:avLst/>
                    </a:prstGeom>
                    <a:ln>
                      <a:noFill/>
                    </a:ln>
                    <a:extLst>
                      <a:ext uri="{53640926-AAD7-44D8-BBD7-CCE9431645EC}">
                        <a14:shadowObscured xmlns:a14="http://schemas.microsoft.com/office/drawing/2010/main"/>
                      </a:ext>
                    </a:extLst>
                  </pic:spPr>
                </pic:pic>
              </a:graphicData>
            </a:graphic>
          </wp:inline>
        </w:drawing>
      </w:r>
    </w:p>
    <w:p w14:paraId="13219D20" w14:textId="77777777" w:rsidR="003B49FB" w:rsidRPr="000217C7" w:rsidRDefault="00B678DF" w:rsidP="00B678DF">
      <w:pPr>
        <w:pStyle w:val="Caption"/>
        <w:rPr>
          <w:color w:val="000000" w:themeColor="text1"/>
        </w:rPr>
      </w:pPr>
      <w:r w:rsidRPr="000217C7">
        <w:rPr>
          <w:color w:val="000000" w:themeColor="text1"/>
        </w:rPr>
        <w:t xml:space="preserve"> Area</w:t>
      </w:r>
      <w:r w:rsidR="00694157" w:rsidRPr="000217C7">
        <w:rPr>
          <w:color w:val="000000" w:themeColor="text1"/>
        </w:rPr>
        <w:t>s</w:t>
      </w:r>
      <w:r w:rsidRPr="000217C7">
        <w:rPr>
          <w:color w:val="000000" w:themeColor="text1"/>
        </w:rPr>
        <w:t xml:space="preserve"> in which GM density inversely correlated with RTs in the Go/No-Go task.</w:t>
      </w:r>
    </w:p>
    <w:p w14:paraId="201E76DE" w14:textId="76AD0485" w:rsidR="00F815C1" w:rsidRPr="000217C7" w:rsidRDefault="00E70123" w:rsidP="003B49FB">
      <w:pPr>
        <w:rPr>
          <w:color w:val="000000" w:themeColor="text1"/>
        </w:rPr>
      </w:pPr>
      <w:r w:rsidRPr="000217C7">
        <w:rPr>
          <w:color w:val="000000" w:themeColor="text1"/>
        </w:rPr>
        <w:t>H</w:t>
      </w:r>
      <w:r w:rsidR="00C852D7" w:rsidRPr="000217C7">
        <w:rPr>
          <w:color w:val="000000" w:themeColor="text1"/>
        </w:rPr>
        <w:t xml:space="preserve">igher accuracy in </w:t>
      </w:r>
      <w:r w:rsidR="00B61C17" w:rsidRPr="000217C7">
        <w:rPr>
          <w:color w:val="000000" w:themeColor="text1"/>
        </w:rPr>
        <w:t>N</w:t>
      </w:r>
      <w:r w:rsidR="00C852D7" w:rsidRPr="000217C7">
        <w:rPr>
          <w:color w:val="000000" w:themeColor="text1"/>
        </w:rPr>
        <w:t>o-</w:t>
      </w:r>
      <w:r w:rsidR="00B61C17" w:rsidRPr="000217C7">
        <w:rPr>
          <w:color w:val="000000" w:themeColor="text1"/>
        </w:rPr>
        <w:t>G</w:t>
      </w:r>
      <w:r w:rsidR="00C852D7" w:rsidRPr="000217C7">
        <w:rPr>
          <w:color w:val="000000" w:themeColor="text1"/>
        </w:rPr>
        <w:t>o trials</w:t>
      </w:r>
      <w:r w:rsidR="00BE04A7" w:rsidRPr="000217C7">
        <w:rPr>
          <w:color w:val="000000" w:themeColor="text1"/>
        </w:rPr>
        <w:t xml:space="preserve">, i.e. </w:t>
      </w:r>
      <w:r w:rsidR="00C852D7" w:rsidRPr="000217C7">
        <w:rPr>
          <w:color w:val="000000" w:themeColor="text1"/>
        </w:rPr>
        <w:t>f</w:t>
      </w:r>
      <w:r w:rsidR="00EA1291" w:rsidRPr="000217C7">
        <w:rPr>
          <w:color w:val="000000" w:themeColor="text1"/>
        </w:rPr>
        <w:t>ewer false alarms</w:t>
      </w:r>
      <w:r w:rsidR="00BE04A7" w:rsidRPr="000217C7">
        <w:rPr>
          <w:color w:val="000000" w:themeColor="text1"/>
        </w:rPr>
        <w:t>,</w:t>
      </w:r>
      <w:r w:rsidR="00EA1291" w:rsidRPr="000217C7">
        <w:rPr>
          <w:color w:val="000000" w:themeColor="text1"/>
        </w:rPr>
        <w:t xml:space="preserve"> correlated with greater GM density in the </w:t>
      </w:r>
      <w:r w:rsidR="008C393A" w:rsidRPr="000217C7">
        <w:rPr>
          <w:color w:val="000000" w:themeColor="text1"/>
        </w:rPr>
        <w:t xml:space="preserve">vermal lobules VIII-X of the </w:t>
      </w:r>
      <w:r w:rsidR="00EA1291" w:rsidRPr="000217C7">
        <w:rPr>
          <w:color w:val="000000" w:themeColor="text1"/>
        </w:rPr>
        <w:t>right cerebellum</w:t>
      </w:r>
      <w:r w:rsidR="00B61C17" w:rsidRPr="000217C7">
        <w:rPr>
          <w:color w:val="000000" w:themeColor="text1"/>
        </w:rPr>
        <w:t xml:space="preserve"> (see </w:t>
      </w:r>
      <w:r w:rsidR="00140923" w:rsidRPr="000217C7">
        <w:rPr>
          <w:color w:val="000000" w:themeColor="text1"/>
        </w:rPr>
        <w:t xml:space="preserve">Figure 8 </w:t>
      </w:r>
      <w:r w:rsidR="004D1B5C" w:rsidRPr="000217C7">
        <w:rPr>
          <w:color w:val="000000" w:themeColor="text1"/>
        </w:rPr>
        <w:t>and</w:t>
      </w:r>
      <w:r w:rsidR="00140DBA" w:rsidRPr="000217C7">
        <w:rPr>
          <w:color w:val="000000" w:themeColor="text1"/>
        </w:rPr>
        <w:t xml:space="preserve"> Table 3</w:t>
      </w:r>
      <w:r w:rsidR="00B61C17" w:rsidRPr="000217C7">
        <w:rPr>
          <w:color w:val="000000" w:themeColor="text1"/>
        </w:rPr>
        <w:t>)</w:t>
      </w:r>
      <w:r w:rsidR="00BE04A7" w:rsidRPr="000217C7">
        <w:rPr>
          <w:color w:val="000000" w:themeColor="text1"/>
        </w:rPr>
        <w:t>.</w:t>
      </w:r>
      <w:r w:rsidR="00F815C1" w:rsidRPr="000217C7">
        <w:rPr>
          <w:color w:val="000000" w:themeColor="text1"/>
        </w:rPr>
        <w:t xml:space="preserve"> </w:t>
      </w:r>
      <w:r w:rsidR="00892870" w:rsidRPr="000217C7">
        <w:rPr>
          <w:color w:val="000000" w:themeColor="text1"/>
        </w:rPr>
        <w:t xml:space="preserve">As EAT-26 scores influenced participants’ accuracy, </w:t>
      </w:r>
      <w:r w:rsidR="00F815C1" w:rsidRPr="000217C7">
        <w:rPr>
          <w:color w:val="000000" w:themeColor="text1"/>
        </w:rPr>
        <w:t xml:space="preserve">we run a second model </w:t>
      </w:r>
      <w:r w:rsidR="00892870" w:rsidRPr="000217C7">
        <w:rPr>
          <w:color w:val="000000" w:themeColor="text1"/>
        </w:rPr>
        <w:t xml:space="preserve">covarying EAT-26 scores. </w:t>
      </w:r>
      <w:r w:rsidR="006A1325" w:rsidRPr="000217C7">
        <w:rPr>
          <w:color w:val="000000" w:themeColor="text1"/>
        </w:rPr>
        <w:t>T</w:t>
      </w:r>
      <w:r w:rsidR="00892870" w:rsidRPr="000217C7">
        <w:rPr>
          <w:color w:val="000000" w:themeColor="text1"/>
        </w:rPr>
        <w:t>his model did not yield any significant</w:t>
      </w:r>
      <w:r w:rsidR="0013461C" w:rsidRPr="000217C7">
        <w:rPr>
          <w:color w:val="000000" w:themeColor="text1"/>
        </w:rPr>
        <w:t xml:space="preserve"> correlation between </w:t>
      </w:r>
      <w:r w:rsidR="00D1361E" w:rsidRPr="000217C7">
        <w:rPr>
          <w:color w:val="000000" w:themeColor="text1"/>
        </w:rPr>
        <w:t xml:space="preserve">the </w:t>
      </w:r>
      <w:r w:rsidR="0013461C" w:rsidRPr="000217C7">
        <w:rPr>
          <w:color w:val="000000" w:themeColor="text1"/>
        </w:rPr>
        <w:t>number of false alarms and GM density</w:t>
      </w:r>
      <w:r w:rsidR="00F815C1" w:rsidRPr="000217C7">
        <w:rPr>
          <w:color w:val="000000" w:themeColor="text1"/>
        </w:rPr>
        <w:t>.</w:t>
      </w:r>
    </w:p>
    <w:p w14:paraId="0B958448" w14:textId="26EE5422" w:rsidR="00B678DF" w:rsidRPr="000217C7" w:rsidRDefault="00BE04A7" w:rsidP="003B49FB">
      <w:pPr>
        <w:rPr>
          <w:color w:val="000000" w:themeColor="text1"/>
        </w:rPr>
      </w:pPr>
      <w:r w:rsidRPr="000217C7">
        <w:rPr>
          <w:color w:val="000000" w:themeColor="text1"/>
        </w:rPr>
        <w:t>Neural correlates of</w:t>
      </w:r>
      <w:r w:rsidR="00B61C17" w:rsidRPr="000217C7">
        <w:rPr>
          <w:color w:val="000000" w:themeColor="text1"/>
        </w:rPr>
        <w:t xml:space="preserve"> accuracy </w:t>
      </w:r>
      <w:r w:rsidRPr="000217C7">
        <w:rPr>
          <w:color w:val="000000" w:themeColor="text1"/>
        </w:rPr>
        <w:t>on</w:t>
      </w:r>
      <w:r w:rsidR="00B61C17" w:rsidRPr="000217C7">
        <w:rPr>
          <w:color w:val="000000" w:themeColor="text1"/>
        </w:rPr>
        <w:t xml:space="preserve"> Go trials</w:t>
      </w:r>
      <w:r w:rsidRPr="000217C7">
        <w:rPr>
          <w:color w:val="000000" w:themeColor="text1"/>
        </w:rPr>
        <w:t xml:space="preserve">, i.e. </w:t>
      </w:r>
      <w:r w:rsidR="00EA1291" w:rsidRPr="000217C7">
        <w:rPr>
          <w:color w:val="000000" w:themeColor="text1"/>
        </w:rPr>
        <w:t xml:space="preserve">missed </w:t>
      </w:r>
      <w:r w:rsidR="00B61C17" w:rsidRPr="000217C7">
        <w:rPr>
          <w:color w:val="000000" w:themeColor="text1"/>
        </w:rPr>
        <w:t>targets</w:t>
      </w:r>
      <w:r w:rsidRPr="000217C7">
        <w:rPr>
          <w:color w:val="000000" w:themeColor="text1"/>
        </w:rPr>
        <w:t>, were not computed as accuracy on these trials was very high</w:t>
      </w:r>
      <w:r w:rsidR="00367FD5" w:rsidRPr="000217C7">
        <w:rPr>
          <w:color w:val="000000" w:themeColor="text1"/>
        </w:rPr>
        <w:t>, as expected when testing healthy participants</w:t>
      </w:r>
      <w:r w:rsidRPr="000217C7">
        <w:rPr>
          <w:color w:val="000000" w:themeColor="text1"/>
        </w:rPr>
        <w:t xml:space="preserve"> (mean 99.04%).</w:t>
      </w:r>
    </w:p>
    <w:p w14:paraId="020085B8" w14:textId="4F5DA157" w:rsidR="00B61C17" w:rsidRPr="000217C7" w:rsidRDefault="00B61C17" w:rsidP="004A0B86">
      <w:pPr>
        <w:keepNext/>
        <w:jc w:val="center"/>
        <w:rPr>
          <w:color w:val="000000" w:themeColor="text1"/>
        </w:rPr>
      </w:pPr>
      <w:bookmarkStart w:id="32" w:name="_Ref37255251"/>
      <w:r w:rsidRPr="000217C7">
        <w:rPr>
          <w:rStyle w:val="Heading5Char"/>
          <w:color w:val="000000" w:themeColor="text1"/>
        </w:rPr>
        <w:t xml:space="preserve">Figure </w:t>
      </w:r>
      <w:bookmarkEnd w:id="32"/>
      <w:r w:rsidR="00140923" w:rsidRPr="000217C7">
        <w:rPr>
          <w:rStyle w:val="Heading5Char"/>
          <w:color w:val="000000" w:themeColor="text1"/>
        </w:rPr>
        <w:t>8</w:t>
      </w:r>
      <w:r w:rsidRPr="000217C7">
        <w:rPr>
          <w:noProof/>
          <w:color w:val="000000" w:themeColor="text1"/>
          <w:lang w:val="en-GB" w:eastAsia="en-GB"/>
        </w:rPr>
        <w:drawing>
          <wp:inline distT="0" distB="0" distL="0" distR="0" wp14:anchorId="04C49FAC" wp14:editId="062E4CC6">
            <wp:extent cx="5448300" cy="2197100"/>
            <wp:effectExtent l="0" t="0" r="0" b="0"/>
            <wp:docPr id="17" name="Picture 17" descr="A picture containing man, dark, white,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NG_FA_in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48300" cy="2197100"/>
                    </a:xfrm>
                    <a:prstGeom prst="rect">
                      <a:avLst/>
                    </a:prstGeom>
                  </pic:spPr>
                </pic:pic>
              </a:graphicData>
            </a:graphic>
          </wp:inline>
        </w:drawing>
      </w:r>
    </w:p>
    <w:p w14:paraId="691682DD" w14:textId="77777777" w:rsidR="00B61C17" w:rsidRPr="000217C7" w:rsidRDefault="00712B41" w:rsidP="007509E9">
      <w:pPr>
        <w:pStyle w:val="Caption"/>
        <w:ind w:left="1440" w:hanging="306"/>
        <w:rPr>
          <w:color w:val="000000" w:themeColor="text1"/>
        </w:rPr>
      </w:pPr>
      <w:r w:rsidRPr="000217C7">
        <w:rPr>
          <w:color w:val="000000" w:themeColor="text1"/>
        </w:rPr>
        <w:t>Inverse correlation between the</w:t>
      </w:r>
      <w:r w:rsidR="00B61C17" w:rsidRPr="000217C7">
        <w:rPr>
          <w:color w:val="000000" w:themeColor="text1"/>
        </w:rPr>
        <w:t xml:space="preserve"> number of false alarms </w:t>
      </w:r>
      <w:r w:rsidRPr="000217C7">
        <w:rPr>
          <w:color w:val="000000" w:themeColor="text1"/>
        </w:rPr>
        <w:t>and</w:t>
      </w:r>
      <w:r w:rsidR="00B61C17" w:rsidRPr="000217C7">
        <w:rPr>
          <w:color w:val="000000" w:themeColor="text1"/>
        </w:rPr>
        <w:t xml:space="preserve"> GM density in the right cerebellum.</w:t>
      </w:r>
    </w:p>
    <w:p w14:paraId="22CE0672" w14:textId="77777777" w:rsidR="0002738A" w:rsidRPr="000217C7" w:rsidRDefault="00360F1F" w:rsidP="00140DBA">
      <w:pPr>
        <w:pStyle w:val="Heading3"/>
        <w:ind w:firstLine="0"/>
        <w:rPr>
          <w:rFonts w:eastAsia="Times New Roman"/>
        </w:rPr>
      </w:pPr>
      <w:r w:rsidRPr="000217C7">
        <w:lastRenderedPageBreak/>
        <w:t xml:space="preserve">3.2.3 </w:t>
      </w:r>
      <w:r w:rsidR="0002738A" w:rsidRPr="000217C7">
        <w:rPr>
          <w:rFonts w:eastAsia="Times New Roman"/>
        </w:rPr>
        <w:t>Group differences in the correlation between GM density and Go/No-Go task performance</w:t>
      </w:r>
    </w:p>
    <w:p w14:paraId="54DA0FEA" w14:textId="4C03B8F1" w:rsidR="0002738A" w:rsidRPr="000217C7" w:rsidRDefault="0002738A" w:rsidP="0002738A">
      <w:pPr>
        <w:rPr>
          <w:color w:val="000000" w:themeColor="text1"/>
        </w:rPr>
      </w:pPr>
      <w:r w:rsidRPr="000217C7">
        <w:rPr>
          <w:color w:val="000000" w:themeColor="text1"/>
        </w:rPr>
        <w:t>As participants’ BMI significantly predicted a food-specific bias in Go trials of the Go/No-Go task, we explored the neural differences in GM density in the high</w:t>
      </w:r>
      <w:r w:rsidR="008417F2" w:rsidRPr="000217C7">
        <w:rPr>
          <w:color w:val="000000" w:themeColor="text1"/>
        </w:rPr>
        <w:t>er</w:t>
      </w:r>
      <w:r w:rsidRPr="000217C7">
        <w:rPr>
          <w:color w:val="000000" w:themeColor="text1"/>
        </w:rPr>
        <w:t xml:space="preserve"> and low</w:t>
      </w:r>
      <w:r w:rsidR="008417F2" w:rsidRPr="000217C7">
        <w:rPr>
          <w:color w:val="000000" w:themeColor="text1"/>
        </w:rPr>
        <w:t>er</w:t>
      </w:r>
      <w:r w:rsidRPr="000217C7">
        <w:rPr>
          <w:color w:val="000000" w:themeColor="text1"/>
        </w:rPr>
        <w:t xml:space="preserve"> BMI groups related to the difference between reaction times in nonfood and food trials. We found that a greater difference between nonfood and food trials, i.e. worse performance when inhibiting responses to food compared to nonfood, correlated with lower GM density in the high</w:t>
      </w:r>
      <w:r w:rsidR="008417F2" w:rsidRPr="000217C7">
        <w:rPr>
          <w:color w:val="000000" w:themeColor="text1"/>
        </w:rPr>
        <w:t>er</w:t>
      </w:r>
      <w:r w:rsidRPr="000217C7">
        <w:rPr>
          <w:color w:val="000000" w:themeColor="text1"/>
        </w:rPr>
        <w:t xml:space="preserve"> BMI group in two areas, the right parietal operculum, and the orbital gyrus/right temporal pole</w:t>
      </w:r>
      <w:r w:rsidR="004863CB" w:rsidRPr="000217C7">
        <w:rPr>
          <w:color w:val="000000" w:themeColor="text1"/>
        </w:rPr>
        <w:t xml:space="preserve"> (see </w:t>
      </w:r>
      <w:r w:rsidR="00140923" w:rsidRPr="000217C7">
        <w:rPr>
          <w:color w:val="000000" w:themeColor="text1"/>
        </w:rPr>
        <w:t xml:space="preserve">Figure 9 </w:t>
      </w:r>
      <w:r w:rsidR="004863CB" w:rsidRPr="000217C7">
        <w:rPr>
          <w:color w:val="000000" w:themeColor="text1"/>
        </w:rPr>
        <w:t>and</w:t>
      </w:r>
      <w:r w:rsidR="00A33169" w:rsidRPr="000217C7">
        <w:rPr>
          <w:color w:val="000000" w:themeColor="text1"/>
        </w:rPr>
        <w:t xml:space="preserve"> Table 3</w:t>
      </w:r>
      <w:r w:rsidR="004863CB" w:rsidRPr="000217C7">
        <w:rPr>
          <w:color w:val="000000" w:themeColor="text1"/>
        </w:rPr>
        <w:t>).</w:t>
      </w:r>
    </w:p>
    <w:p w14:paraId="4CA16F4E" w14:textId="36601EB5" w:rsidR="0002738A" w:rsidRPr="000217C7" w:rsidRDefault="0002738A" w:rsidP="0002738A">
      <w:pPr>
        <w:rPr>
          <w:color w:val="000000" w:themeColor="text1"/>
        </w:rPr>
      </w:pPr>
      <w:r w:rsidRPr="000217C7">
        <w:rPr>
          <w:color w:val="000000" w:themeColor="text1"/>
        </w:rPr>
        <w:t>Since participants’ BMI did not significantly predict their accuracy in the Go/No-Go task, differences in the association between GM density and participants’ accuracy in the high</w:t>
      </w:r>
      <w:r w:rsidR="008417F2" w:rsidRPr="000217C7">
        <w:rPr>
          <w:color w:val="000000" w:themeColor="text1"/>
        </w:rPr>
        <w:t>er</w:t>
      </w:r>
      <w:r w:rsidRPr="000217C7">
        <w:rPr>
          <w:color w:val="000000" w:themeColor="text1"/>
        </w:rPr>
        <w:t xml:space="preserve"> and low</w:t>
      </w:r>
      <w:r w:rsidR="008417F2" w:rsidRPr="000217C7">
        <w:rPr>
          <w:color w:val="000000" w:themeColor="text1"/>
        </w:rPr>
        <w:t>er</w:t>
      </w:r>
      <w:r w:rsidRPr="000217C7">
        <w:rPr>
          <w:color w:val="000000" w:themeColor="text1"/>
        </w:rPr>
        <w:t xml:space="preserve"> BMI groups were not investigated.</w:t>
      </w:r>
    </w:p>
    <w:p w14:paraId="6837E15E" w14:textId="3CE11FBE" w:rsidR="0002738A" w:rsidRPr="000217C7" w:rsidRDefault="0002738A" w:rsidP="0002738A">
      <w:pPr>
        <w:pStyle w:val="Heading5"/>
        <w:rPr>
          <w:rFonts w:eastAsia="Times New Roman"/>
          <w:color w:val="000000" w:themeColor="text1"/>
        </w:rPr>
      </w:pPr>
      <w:bookmarkStart w:id="33" w:name="_Ref39488004"/>
      <w:r w:rsidRPr="000217C7">
        <w:rPr>
          <w:color w:val="000000" w:themeColor="text1"/>
        </w:rPr>
        <w:t xml:space="preserve">Figure </w:t>
      </w:r>
      <w:bookmarkEnd w:id="33"/>
      <w:r w:rsidR="00140923" w:rsidRPr="000217C7">
        <w:rPr>
          <w:noProof/>
          <w:color w:val="000000" w:themeColor="text1"/>
        </w:rPr>
        <w:t>9</w:t>
      </w:r>
    </w:p>
    <w:p w14:paraId="42CDD1C7" w14:textId="77777777" w:rsidR="0002738A" w:rsidRPr="000217C7" w:rsidRDefault="0002738A" w:rsidP="0002738A">
      <w:pPr>
        <w:keepNext/>
        <w:rPr>
          <w:color w:val="000000" w:themeColor="text1"/>
        </w:rPr>
      </w:pPr>
      <w:r w:rsidRPr="000217C7">
        <w:rPr>
          <w:noProof/>
          <w:color w:val="000000" w:themeColor="text1"/>
          <w:lang w:val="en-GB" w:eastAsia="en-GB"/>
        </w:rPr>
        <w:drawing>
          <wp:inline distT="0" distB="0" distL="0" distR="0" wp14:anchorId="3943FFC1" wp14:editId="00B74EF5">
            <wp:extent cx="4749799" cy="3502283"/>
            <wp:effectExtent l="0" t="0" r="63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NGfood_highlowBMI.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49799" cy="3502283"/>
                    </a:xfrm>
                    <a:prstGeom prst="rect">
                      <a:avLst/>
                    </a:prstGeom>
                  </pic:spPr>
                </pic:pic>
              </a:graphicData>
            </a:graphic>
          </wp:inline>
        </w:drawing>
      </w:r>
    </w:p>
    <w:p w14:paraId="6CF59815" w14:textId="33F4E100" w:rsidR="0002738A" w:rsidRPr="000217C7" w:rsidRDefault="0002738A" w:rsidP="0002738A">
      <w:pPr>
        <w:pStyle w:val="Caption"/>
        <w:rPr>
          <w:color w:val="000000" w:themeColor="text1"/>
        </w:rPr>
      </w:pPr>
      <w:r w:rsidRPr="000217C7">
        <w:rPr>
          <w:color w:val="000000" w:themeColor="text1"/>
        </w:rPr>
        <w:t>Areas in which GM density is predicted differently by the difference between nonfood and food RTs in the high</w:t>
      </w:r>
      <w:r w:rsidR="008417F2" w:rsidRPr="000217C7">
        <w:rPr>
          <w:color w:val="000000" w:themeColor="text1"/>
        </w:rPr>
        <w:t>er</w:t>
      </w:r>
      <w:r w:rsidRPr="000217C7">
        <w:rPr>
          <w:color w:val="000000" w:themeColor="text1"/>
        </w:rPr>
        <w:t xml:space="preserve"> and low</w:t>
      </w:r>
      <w:r w:rsidR="008417F2" w:rsidRPr="000217C7">
        <w:rPr>
          <w:color w:val="000000" w:themeColor="text1"/>
        </w:rPr>
        <w:t>er</w:t>
      </w:r>
      <w:r w:rsidRPr="000217C7">
        <w:rPr>
          <w:color w:val="000000" w:themeColor="text1"/>
        </w:rPr>
        <w:t xml:space="preserve"> BMI groups.</w:t>
      </w:r>
    </w:p>
    <w:p w14:paraId="27D6F5F9" w14:textId="77777777" w:rsidR="00264814" w:rsidRPr="000217C7" w:rsidRDefault="00360F1F" w:rsidP="00264814">
      <w:pPr>
        <w:pStyle w:val="Heading3"/>
      </w:pPr>
      <w:r w:rsidRPr="000217C7">
        <w:t xml:space="preserve">3.2.4 </w:t>
      </w:r>
      <w:r w:rsidR="00264814" w:rsidRPr="000217C7">
        <w:t>Go/No-Go task connectivity networks</w:t>
      </w:r>
    </w:p>
    <w:p w14:paraId="7CA709F3" w14:textId="77777777" w:rsidR="00264814" w:rsidRPr="000217C7" w:rsidRDefault="00264814" w:rsidP="00264814">
      <w:pPr>
        <w:rPr>
          <w:color w:val="000000" w:themeColor="text1"/>
        </w:rPr>
      </w:pPr>
      <w:r w:rsidRPr="000217C7">
        <w:rPr>
          <w:color w:val="000000" w:themeColor="text1"/>
        </w:rPr>
        <w:t>In the Go/No-Go task, participants’ RTs and accuracy did not predict connectivity between the relative ROIs and the rest of the brain.</w:t>
      </w:r>
    </w:p>
    <w:p w14:paraId="2F35ADD5" w14:textId="5FA154C1" w:rsidR="00264814" w:rsidRPr="000217C7" w:rsidRDefault="00264814" w:rsidP="00264814">
      <w:pPr>
        <w:rPr>
          <w:color w:val="000000" w:themeColor="text1"/>
        </w:rPr>
      </w:pPr>
      <w:r w:rsidRPr="000217C7">
        <w:rPr>
          <w:color w:val="000000" w:themeColor="text1"/>
        </w:rPr>
        <w:lastRenderedPageBreak/>
        <w:t>Connectivity of the ROIs resulting from the group analysis in the Go/No-Go task as predicted by the difference between nonfood and food go trials indicated that a stronger bias towards food correlated with greater connectivity in the high</w:t>
      </w:r>
      <w:r w:rsidR="008417F2" w:rsidRPr="000217C7">
        <w:rPr>
          <w:color w:val="000000" w:themeColor="text1"/>
        </w:rPr>
        <w:t>er</w:t>
      </w:r>
      <w:r w:rsidRPr="000217C7">
        <w:rPr>
          <w:color w:val="000000" w:themeColor="text1"/>
        </w:rPr>
        <w:t xml:space="preserve"> BMI group between the right parietal operculum ROI and a cluster located in the left precentral/postcentral gyri, and with lower connectivity between the orbital gyrus ROI and three clusters located in visual areas, namely the right fusiform gyrus and the bilateral occipital cortex (see </w:t>
      </w:r>
      <w:r w:rsidR="00140923" w:rsidRPr="000217C7">
        <w:rPr>
          <w:color w:val="000000" w:themeColor="text1"/>
        </w:rPr>
        <w:t xml:space="preserve">Figure 10 </w:t>
      </w:r>
      <w:r w:rsidRPr="000217C7">
        <w:rPr>
          <w:color w:val="000000" w:themeColor="text1"/>
        </w:rPr>
        <w:t>and</w:t>
      </w:r>
      <w:r w:rsidR="00A33169" w:rsidRPr="000217C7">
        <w:rPr>
          <w:color w:val="000000" w:themeColor="text1"/>
        </w:rPr>
        <w:t xml:space="preserve"> Table 3</w:t>
      </w:r>
      <w:r w:rsidRPr="000217C7">
        <w:rPr>
          <w:color w:val="000000" w:themeColor="text1"/>
        </w:rPr>
        <w:t>).</w:t>
      </w:r>
    </w:p>
    <w:p w14:paraId="395A9647" w14:textId="2EC2C85F" w:rsidR="00264814" w:rsidRPr="000217C7" w:rsidRDefault="00264814" w:rsidP="00264814">
      <w:pPr>
        <w:pStyle w:val="Heading5"/>
        <w:rPr>
          <w:color w:val="000000" w:themeColor="text1"/>
        </w:rPr>
      </w:pPr>
      <w:bookmarkStart w:id="34" w:name="_Ref38285329"/>
      <w:r w:rsidRPr="000217C7">
        <w:rPr>
          <w:color w:val="000000" w:themeColor="text1"/>
        </w:rPr>
        <w:lastRenderedPageBreak/>
        <w:t xml:space="preserve">Figure </w:t>
      </w:r>
      <w:bookmarkEnd w:id="34"/>
      <w:r w:rsidR="00140923" w:rsidRPr="000217C7">
        <w:rPr>
          <w:noProof/>
          <w:color w:val="000000" w:themeColor="text1"/>
        </w:rPr>
        <w:t>10</w:t>
      </w:r>
    </w:p>
    <w:p w14:paraId="6343E9B9" w14:textId="77777777" w:rsidR="00264814" w:rsidRPr="000217C7" w:rsidRDefault="00264814" w:rsidP="00571BA0">
      <w:pPr>
        <w:keepNext/>
        <w:jc w:val="center"/>
        <w:rPr>
          <w:color w:val="000000" w:themeColor="text1"/>
        </w:rPr>
      </w:pPr>
      <w:r w:rsidRPr="000217C7">
        <w:rPr>
          <w:noProof/>
          <w:color w:val="000000" w:themeColor="text1"/>
          <w:lang w:val="en-GB" w:eastAsia="en-GB"/>
        </w:rPr>
        <w:drawing>
          <wp:inline distT="0" distB="0" distL="0" distR="0" wp14:anchorId="135CB731" wp14:editId="66EC9064">
            <wp:extent cx="3904817" cy="66814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22" cstate="print">
                      <a:extLst>
                        <a:ext uri="{28A0092B-C50C-407E-A947-70E740481C1C}">
                          <a14:useLocalDpi xmlns:a14="http://schemas.microsoft.com/office/drawing/2010/main" val="0"/>
                        </a:ext>
                      </a:extLst>
                    </a:blip>
                    <a:srcRect r="50558" b="3404"/>
                    <a:stretch/>
                  </pic:blipFill>
                  <pic:spPr bwMode="auto">
                    <a:xfrm>
                      <a:off x="0" y="0"/>
                      <a:ext cx="3911679" cy="6693199"/>
                    </a:xfrm>
                    <a:prstGeom prst="rect">
                      <a:avLst/>
                    </a:prstGeom>
                    <a:ln>
                      <a:noFill/>
                    </a:ln>
                    <a:extLst>
                      <a:ext uri="{53640926-AAD7-44D8-BBD7-CCE9431645EC}">
                        <a14:shadowObscured xmlns:a14="http://schemas.microsoft.com/office/drawing/2010/main"/>
                      </a:ext>
                    </a:extLst>
                  </pic:spPr>
                </pic:pic>
              </a:graphicData>
            </a:graphic>
          </wp:inline>
        </w:drawing>
      </w:r>
    </w:p>
    <w:p w14:paraId="3F6A466F" w14:textId="0DA9DBBF" w:rsidR="00264814" w:rsidRPr="000217C7" w:rsidRDefault="00264814" w:rsidP="00264814">
      <w:pPr>
        <w:pStyle w:val="Caption"/>
        <w:rPr>
          <w:color w:val="000000" w:themeColor="text1"/>
        </w:rPr>
      </w:pPr>
      <w:r w:rsidRPr="000217C7">
        <w:rPr>
          <w:color w:val="000000" w:themeColor="text1"/>
        </w:rPr>
        <w:t xml:space="preserve">Connectivity of the ROIs resulting </w:t>
      </w:r>
      <w:r w:rsidR="002306CC" w:rsidRPr="000217C7">
        <w:rPr>
          <w:color w:val="000000" w:themeColor="text1"/>
        </w:rPr>
        <w:t xml:space="preserve">in </w:t>
      </w:r>
      <w:r w:rsidRPr="000217C7">
        <w:rPr>
          <w:color w:val="000000" w:themeColor="text1"/>
        </w:rPr>
        <w:t xml:space="preserve">the group </w:t>
      </w:r>
      <w:r w:rsidR="002306CC" w:rsidRPr="000217C7">
        <w:rPr>
          <w:color w:val="000000" w:themeColor="text1"/>
        </w:rPr>
        <w:t xml:space="preserve">analysis </w:t>
      </w:r>
      <w:r w:rsidRPr="000217C7">
        <w:rPr>
          <w:color w:val="000000" w:themeColor="text1"/>
        </w:rPr>
        <w:t>of the Go/No-Go task in the high and low BMI group.</w:t>
      </w:r>
      <w:r w:rsidR="00750074" w:rsidRPr="000217C7">
        <w:rPr>
          <w:color w:val="000000" w:themeColor="text1"/>
        </w:rPr>
        <w:t xml:space="preserve"> </w:t>
      </w:r>
      <w:r w:rsidR="007363FD" w:rsidRPr="000217C7">
        <w:rPr>
          <w:color w:val="000000" w:themeColor="text1"/>
        </w:rPr>
        <w:t>In green, the voxels with higher connectivity in the high than in the low BMI group.</w:t>
      </w:r>
      <w:r w:rsidR="002306CC" w:rsidRPr="000217C7">
        <w:rPr>
          <w:color w:val="000000" w:themeColor="text1"/>
        </w:rPr>
        <w:t xml:space="preserve"> </w:t>
      </w:r>
      <w:r w:rsidR="00750074" w:rsidRPr="000217C7">
        <w:rPr>
          <w:color w:val="000000" w:themeColor="text1"/>
        </w:rPr>
        <w:t>In violet, the voxel</w:t>
      </w:r>
      <w:r w:rsidR="00E42AA4" w:rsidRPr="000217C7">
        <w:rPr>
          <w:color w:val="000000" w:themeColor="text1"/>
        </w:rPr>
        <w:t>s</w:t>
      </w:r>
      <w:r w:rsidR="00750074" w:rsidRPr="000217C7">
        <w:rPr>
          <w:color w:val="000000" w:themeColor="text1"/>
        </w:rPr>
        <w:t xml:space="preserve"> with lower connectivity in the high</w:t>
      </w:r>
      <w:r w:rsidR="003A7677" w:rsidRPr="000217C7">
        <w:rPr>
          <w:color w:val="000000" w:themeColor="text1"/>
        </w:rPr>
        <w:t>er</w:t>
      </w:r>
      <w:r w:rsidR="00750074" w:rsidRPr="000217C7">
        <w:rPr>
          <w:color w:val="000000" w:themeColor="text1"/>
        </w:rPr>
        <w:t xml:space="preserve"> than in the low</w:t>
      </w:r>
      <w:r w:rsidR="003A7677" w:rsidRPr="000217C7">
        <w:rPr>
          <w:color w:val="000000" w:themeColor="text1"/>
        </w:rPr>
        <w:t>er</w:t>
      </w:r>
      <w:r w:rsidR="00750074" w:rsidRPr="000217C7">
        <w:rPr>
          <w:color w:val="000000" w:themeColor="text1"/>
        </w:rPr>
        <w:t xml:space="preserve"> BMI group. </w:t>
      </w:r>
      <w:r w:rsidRPr="000217C7">
        <w:rPr>
          <w:color w:val="000000" w:themeColor="text1"/>
        </w:rPr>
        <w:t xml:space="preserve"> A) </w:t>
      </w:r>
      <w:r w:rsidR="00750074" w:rsidRPr="000217C7">
        <w:rPr>
          <w:color w:val="000000" w:themeColor="text1"/>
        </w:rPr>
        <w:t>Seed:</w:t>
      </w:r>
      <w:r w:rsidRPr="000217C7">
        <w:rPr>
          <w:color w:val="000000" w:themeColor="text1"/>
        </w:rPr>
        <w:t xml:space="preserve"> right parietal operculum B) </w:t>
      </w:r>
      <w:proofErr w:type="gramStart"/>
      <w:r w:rsidR="00750074" w:rsidRPr="000217C7">
        <w:rPr>
          <w:color w:val="000000" w:themeColor="text1"/>
        </w:rPr>
        <w:t>Seed:</w:t>
      </w:r>
      <w:proofErr w:type="gramEnd"/>
      <w:r w:rsidRPr="000217C7">
        <w:rPr>
          <w:color w:val="000000" w:themeColor="text1"/>
        </w:rPr>
        <w:t xml:space="preserve"> left orbital gyrus</w:t>
      </w:r>
      <w:r w:rsidR="00750074" w:rsidRPr="000217C7">
        <w:rPr>
          <w:color w:val="000000" w:themeColor="text1"/>
        </w:rPr>
        <w:t>.</w:t>
      </w:r>
    </w:p>
    <w:p w14:paraId="60353F96" w14:textId="616E35E1" w:rsidR="0020756C" w:rsidRPr="000217C7" w:rsidRDefault="00264814" w:rsidP="00264814">
      <w:pPr>
        <w:pStyle w:val="Heading5"/>
        <w:rPr>
          <w:color w:val="000000" w:themeColor="text1"/>
        </w:rPr>
      </w:pPr>
      <w:bookmarkStart w:id="35" w:name="_Ref38282778"/>
      <w:r w:rsidRPr="000217C7">
        <w:rPr>
          <w:color w:val="000000" w:themeColor="text1"/>
        </w:rPr>
        <w:t xml:space="preserve">Table </w:t>
      </w:r>
      <w:bookmarkEnd w:id="35"/>
      <w:r w:rsidR="0020756C" w:rsidRPr="000217C7">
        <w:rPr>
          <w:noProof/>
          <w:color w:val="000000" w:themeColor="text1"/>
        </w:rPr>
        <w:t>3</w:t>
      </w:r>
    </w:p>
    <w:tbl>
      <w:tblPr>
        <w:tblStyle w:val="TableGrid"/>
        <w:tblpPr w:leftFromText="180" w:rightFromText="180" w:vertAnchor="text" w:horzAnchor="margin" w:tblpXSpec="center" w:tblpY="601"/>
        <w:tblW w:w="10201" w:type="dxa"/>
        <w:tblLayout w:type="fixed"/>
        <w:tblLook w:val="04A0" w:firstRow="1" w:lastRow="0" w:firstColumn="1" w:lastColumn="0" w:noHBand="0" w:noVBand="1"/>
      </w:tblPr>
      <w:tblGrid>
        <w:gridCol w:w="544"/>
        <w:gridCol w:w="1436"/>
        <w:gridCol w:w="992"/>
        <w:gridCol w:w="992"/>
        <w:gridCol w:w="567"/>
        <w:gridCol w:w="567"/>
        <w:gridCol w:w="567"/>
        <w:gridCol w:w="709"/>
        <w:gridCol w:w="1701"/>
        <w:gridCol w:w="992"/>
        <w:gridCol w:w="1134"/>
      </w:tblGrid>
      <w:tr w:rsidR="000217C7" w:rsidRPr="000217C7" w14:paraId="214ADD0A" w14:textId="77777777" w:rsidTr="00665906">
        <w:trPr>
          <w:trHeight w:val="255"/>
        </w:trPr>
        <w:tc>
          <w:tcPr>
            <w:tcW w:w="544" w:type="dxa"/>
            <w:tcBorders>
              <w:bottom w:val="single" w:sz="4" w:space="0" w:color="auto"/>
            </w:tcBorders>
          </w:tcPr>
          <w:p w14:paraId="75D5390D" w14:textId="77777777" w:rsidR="0020756C" w:rsidRPr="000217C7" w:rsidRDefault="0020756C" w:rsidP="00665906">
            <w:pPr>
              <w:pStyle w:val="Table"/>
              <w:rPr>
                <w:b/>
                <w:bCs/>
                <w:color w:val="000000" w:themeColor="text1"/>
              </w:rPr>
            </w:pPr>
            <w:r w:rsidRPr="000217C7">
              <w:rPr>
                <w:b/>
                <w:bCs/>
                <w:color w:val="000000" w:themeColor="text1"/>
              </w:rPr>
              <w:t>H</w:t>
            </w:r>
          </w:p>
        </w:tc>
        <w:tc>
          <w:tcPr>
            <w:tcW w:w="1436" w:type="dxa"/>
            <w:tcBorders>
              <w:bottom w:val="single" w:sz="4" w:space="0" w:color="auto"/>
            </w:tcBorders>
          </w:tcPr>
          <w:p w14:paraId="0FFAA694" w14:textId="77777777" w:rsidR="0020756C" w:rsidRPr="000217C7" w:rsidRDefault="0020756C" w:rsidP="00665906">
            <w:pPr>
              <w:pStyle w:val="Table"/>
              <w:rPr>
                <w:b/>
                <w:bCs/>
                <w:color w:val="000000" w:themeColor="text1"/>
              </w:rPr>
            </w:pPr>
            <w:r w:rsidRPr="000217C7">
              <w:rPr>
                <w:b/>
                <w:bCs/>
                <w:color w:val="000000" w:themeColor="text1"/>
              </w:rPr>
              <w:t>Brain region</w:t>
            </w:r>
          </w:p>
        </w:tc>
        <w:tc>
          <w:tcPr>
            <w:tcW w:w="992" w:type="dxa"/>
            <w:tcBorders>
              <w:bottom w:val="single" w:sz="4" w:space="0" w:color="auto"/>
            </w:tcBorders>
          </w:tcPr>
          <w:p w14:paraId="1DD5432D" w14:textId="77777777" w:rsidR="0020756C" w:rsidRPr="000217C7" w:rsidRDefault="0020756C" w:rsidP="00665906">
            <w:pPr>
              <w:pStyle w:val="Table"/>
              <w:rPr>
                <w:b/>
                <w:bCs/>
                <w:color w:val="000000" w:themeColor="text1"/>
              </w:rPr>
            </w:pPr>
            <w:r w:rsidRPr="000217C7">
              <w:rPr>
                <w:b/>
                <w:bCs/>
                <w:i/>
                <w:color w:val="000000" w:themeColor="text1"/>
              </w:rPr>
              <w:t>p</w:t>
            </w:r>
            <w:r w:rsidRPr="000217C7">
              <w:rPr>
                <w:b/>
                <w:bCs/>
                <w:color w:val="000000" w:themeColor="text1"/>
              </w:rPr>
              <w:t xml:space="preserve"> value</w:t>
            </w:r>
          </w:p>
        </w:tc>
        <w:tc>
          <w:tcPr>
            <w:tcW w:w="992" w:type="dxa"/>
            <w:tcBorders>
              <w:bottom w:val="single" w:sz="4" w:space="0" w:color="auto"/>
            </w:tcBorders>
          </w:tcPr>
          <w:p w14:paraId="197ECCCC" w14:textId="77777777" w:rsidR="0020756C" w:rsidRPr="000217C7" w:rsidRDefault="0020756C" w:rsidP="00665906">
            <w:pPr>
              <w:pStyle w:val="Table"/>
              <w:rPr>
                <w:b/>
                <w:bCs/>
                <w:color w:val="000000" w:themeColor="text1"/>
              </w:rPr>
            </w:pPr>
            <w:r w:rsidRPr="000217C7">
              <w:rPr>
                <w:b/>
                <w:bCs/>
                <w:color w:val="000000" w:themeColor="text1"/>
              </w:rPr>
              <w:t>Vol (</w:t>
            </w:r>
            <w:r w:rsidRPr="000217C7">
              <w:rPr>
                <w:b/>
                <w:bCs/>
                <w:caps/>
                <w:color w:val="000000" w:themeColor="text1"/>
              </w:rPr>
              <w:t>mm</w:t>
            </w:r>
            <w:r w:rsidRPr="000217C7">
              <w:rPr>
                <w:b/>
                <w:bCs/>
                <w:color w:val="000000" w:themeColor="text1"/>
                <w:vertAlign w:val="superscript"/>
              </w:rPr>
              <w:t>3</w:t>
            </w:r>
            <w:r w:rsidRPr="000217C7">
              <w:rPr>
                <w:b/>
                <w:bCs/>
                <w:color w:val="000000" w:themeColor="text1"/>
              </w:rPr>
              <w:t>)</w:t>
            </w:r>
          </w:p>
        </w:tc>
        <w:tc>
          <w:tcPr>
            <w:tcW w:w="1701" w:type="dxa"/>
            <w:gridSpan w:val="3"/>
            <w:tcBorders>
              <w:bottom w:val="single" w:sz="4" w:space="0" w:color="auto"/>
            </w:tcBorders>
          </w:tcPr>
          <w:p w14:paraId="30837179" w14:textId="77777777" w:rsidR="0020756C" w:rsidRPr="000217C7" w:rsidRDefault="0020756C" w:rsidP="00665906">
            <w:pPr>
              <w:pStyle w:val="Table"/>
              <w:rPr>
                <w:b/>
                <w:bCs/>
                <w:color w:val="000000" w:themeColor="text1"/>
              </w:rPr>
            </w:pPr>
            <w:r w:rsidRPr="000217C7">
              <w:rPr>
                <w:b/>
                <w:bCs/>
                <w:color w:val="000000" w:themeColor="text1"/>
              </w:rPr>
              <w:t>MNI coordinates</w:t>
            </w:r>
          </w:p>
          <w:p w14:paraId="3DA4EDBF" w14:textId="77777777" w:rsidR="0020756C" w:rsidRPr="000217C7" w:rsidRDefault="0020756C" w:rsidP="00665906">
            <w:pPr>
              <w:pStyle w:val="Table"/>
              <w:rPr>
                <w:b/>
                <w:bCs/>
                <w:color w:val="000000" w:themeColor="text1"/>
              </w:rPr>
            </w:pPr>
            <w:r w:rsidRPr="000217C7">
              <w:rPr>
                <w:b/>
                <w:bCs/>
                <w:color w:val="000000" w:themeColor="text1"/>
              </w:rPr>
              <w:lastRenderedPageBreak/>
              <w:t xml:space="preserve">   </w:t>
            </w:r>
            <w:r w:rsidRPr="000217C7">
              <w:rPr>
                <w:b/>
                <w:bCs/>
                <w:caps/>
                <w:color w:val="000000" w:themeColor="text1"/>
              </w:rPr>
              <w:t xml:space="preserve">x         </w:t>
            </w:r>
            <w:r w:rsidRPr="000217C7">
              <w:rPr>
                <w:b/>
                <w:bCs/>
                <w:color w:val="000000" w:themeColor="text1"/>
              </w:rPr>
              <w:t xml:space="preserve"> </w:t>
            </w:r>
            <w:r w:rsidRPr="000217C7">
              <w:rPr>
                <w:b/>
                <w:bCs/>
                <w:caps/>
                <w:color w:val="000000" w:themeColor="text1"/>
              </w:rPr>
              <w:t>y          z</w:t>
            </w:r>
          </w:p>
        </w:tc>
        <w:tc>
          <w:tcPr>
            <w:tcW w:w="709" w:type="dxa"/>
            <w:tcBorders>
              <w:bottom w:val="single" w:sz="4" w:space="0" w:color="auto"/>
            </w:tcBorders>
          </w:tcPr>
          <w:p w14:paraId="7B419A77" w14:textId="77777777" w:rsidR="0020756C" w:rsidRPr="000217C7" w:rsidRDefault="0020756C" w:rsidP="00665906">
            <w:pPr>
              <w:pStyle w:val="Table"/>
              <w:rPr>
                <w:b/>
                <w:bCs/>
                <w:color w:val="000000" w:themeColor="text1"/>
              </w:rPr>
            </w:pPr>
            <w:r w:rsidRPr="000217C7">
              <w:rPr>
                <w:b/>
                <w:bCs/>
                <w:color w:val="000000" w:themeColor="text1"/>
              </w:rPr>
              <w:lastRenderedPageBreak/>
              <w:t>T</w:t>
            </w:r>
          </w:p>
        </w:tc>
        <w:tc>
          <w:tcPr>
            <w:tcW w:w="1701" w:type="dxa"/>
            <w:tcBorders>
              <w:bottom w:val="single" w:sz="4" w:space="0" w:color="auto"/>
            </w:tcBorders>
          </w:tcPr>
          <w:p w14:paraId="1ECFBE85" w14:textId="77777777" w:rsidR="0020756C" w:rsidRPr="000217C7" w:rsidRDefault="0020756C" w:rsidP="00665906">
            <w:pPr>
              <w:pStyle w:val="Table"/>
              <w:rPr>
                <w:b/>
                <w:bCs/>
                <w:color w:val="000000" w:themeColor="text1"/>
              </w:rPr>
            </w:pPr>
            <w:r w:rsidRPr="000217C7">
              <w:rPr>
                <w:b/>
                <w:bCs/>
                <w:color w:val="000000" w:themeColor="text1"/>
              </w:rPr>
              <w:t>Z</w:t>
            </w:r>
          </w:p>
        </w:tc>
        <w:tc>
          <w:tcPr>
            <w:tcW w:w="2126" w:type="dxa"/>
            <w:gridSpan w:val="2"/>
            <w:tcBorders>
              <w:bottom w:val="single" w:sz="4" w:space="0" w:color="auto"/>
            </w:tcBorders>
          </w:tcPr>
          <w:p w14:paraId="22CCAE63" w14:textId="77777777" w:rsidR="0020756C" w:rsidRPr="000217C7" w:rsidRDefault="0020756C" w:rsidP="00665906">
            <w:pPr>
              <w:pStyle w:val="Table"/>
              <w:rPr>
                <w:b/>
                <w:bCs/>
                <w:color w:val="000000" w:themeColor="text1"/>
              </w:rPr>
            </w:pPr>
          </w:p>
        </w:tc>
      </w:tr>
      <w:tr w:rsidR="000217C7" w:rsidRPr="000217C7" w14:paraId="0F1600E7" w14:textId="77777777" w:rsidTr="00665906">
        <w:trPr>
          <w:trHeight w:val="255"/>
        </w:trPr>
        <w:tc>
          <w:tcPr>
            <w:tcW w:w="8075" w:type="dxa"/>
            <w:gridSpan w:val="9"/>
            <w:tcBorders>
              <w:top w:val="single" w:sz="4" w:space="0" w:color="auto"/>
              <w:left w:val="single" w:sz="4" w:space="0" w:color="auto"/>
              <w:bottom w:val="single" w:sz="4" w:space="0" w:color="auto"/>
              <w:right w:val="nil"/>
            </w:tcBorders>
          </w:tcPr>
          <w:p w14:paraId="500E90A3" w14:textId="77777777" w:rsidR="0020756C" w:rsidRPr="000217C7" w:rsidRDefault="0020756C" w:rsidP="00665906">
            <w:pPr>
              <w:pStyle w:val="Table"/>
              <w:jc w:val="center"/>
              <w:rPr>
                <w:b/>
                <w:bCs/>
                <w:color w:val="000000" w:themeColor="text1"/>
              </w:rPr>
            </w:pPr>
            <w:r w:rsidRPr="000217C7">
              <w:rPr>
                <w:b/>
                <w:bCs/>
                <w:color w:val="000000" w:themeColor="text1"/>
              </w:rPr>
              <w:t>Go/No-Go RTs and GM density</w:t>
            </w:r>
          </w:p>
        </w:tc>
        <w:tc>
          <w:tcPr>
            <w:tcW w:w="2126" w:type="dxa"/>
            <w:gridSpan w:val="2"/>
            <w:tcBorders>
              <w:top w:val="single" w:sz="4" w:space="0" w:color="auto"/>
              <w:left w:val="nil"/>
              <w:bottom w:val="single" w:sz="4" w:space="0" w:color="auto"/>
              <w:right w:val="single" w:sz="4" w:space="0" w:color="auto"/>
            </w:tcBorders>
          </w:tcPr>
          <w:p w14:paraId="59CFAC68" w14:textId="77777777" w:rsidR="0020756C" w:rsidRPr="000217C7" w:rsidRDefault="0020756C" w:rsidP="00665906">
            <w:pPr>
              <w:pStyle w:val="Table"/>
              <w:rPr>
                <w:b/>
                <w:bCs/>
                <w:color w:val="000000" w:themeColor="text1"/>
              </w:rPr>
            </w:pPr>
          </w:p>
        </w:tc>
      </w:tr>
      <w:tr w:rsidR="000217C7" w:rsidRPr="000217C7" w14:paraId="23C3F470" w14:textId="77777777" w:rsidTr="00665906">
        <w:trPr>
          <w:trHeight w:val="255"/>
        </w:trPr>
        <w:tc>
          <w:tcPr>
            <w:tcW w:w="544" w:type="dxa"/>
            <w:tcBorders>
              <w:top w:val="single" w:sz="4" w:space="0" w:color="auto"/>
              <w:bottom w:val="single" w:sz="4" w:space="0" w:color="auto"/>
            </w:tcBorders>
            <w:vAlign w:val="center"/>
          </w:tcPr>
          <w:p w14:paraId="5A2D5FB4" w14:textId="77777777" w:rsidR="0020756C" w:rsidRPr="000217C7" w:rsidRDefault="0020756C" w:rsidP="00665906">
            <w:pPr>
              <w:pStyle w:val="Table"/>
              <w:rPr>
                <w:color w:val="000000" w:themeColor="text1"/>
              </w:rPr>
            </w:pPr>
            <w:r w:rsidRPr="000217C7">
              <w:rPr>
                <w:color w:val="000000" w:themeColor="text1"/>
              </w:rPr>
              <w:t>L</w:t>
            </w:r>
          </w:p>
        </w:tc>
        <w:tc>
          <w:tcPr>
            <w:tcW w:w="1436" w:type="dxa"/>
            <w:tcBorders>
              <w:top w:val="single" w:sz="4" w:space="0" w:color="auto"/>
              <w:bottom w:val="single" w:sz="4" w:space="0" w:color="auto"/>
            </w:tcBorders>
            <w:vAlign w:val="center"/>
          </w:tcPr>
          <w:p w14:paraId="19BD68AA" w14:textId="77777777" w:rsidR="0020756C" w:rsidRPr="000217C7" w:rsidRDefault="0020756C" w:rsidP="00665906">
            <w:pPr>
              <w:pStyle w:val="Table"/>
              <w:rPr>
                <w:color w:val="000000" w:themeColor="text1"/>
                <w:lang w:val="it-IT"/>
              </w:rPr>
            </w:pPr>
            <w:r w:rsidRPr="000217C7">
              <w:rPr>
                <w:color w:val="000000" w:themeColor="text1"/>
              </w:rPr>
              <w:t>Frontal p.</w:t>
            </w:r>
          </w:p>
        </w:tc>
        <w:tc>
          <w:tcPr>
            <w:tcW w:w="992" w:type="dxa"/>
            <w:tcBorders>
              <w:top w:val="single" w:sz="4" w:space="0" w:color="auto"/>
              <w:bottom w:val="single" w:sz="4" w:space="0" w:color="auto"/>
            </w:tcBorders>
            <w:vAlign w:val="center"/>
          </w:tcPr>
          <w:p w14:paraId="1265074B" w14:textId="77777777" w:rsidR="0020756C" w:rsidRPr="000217C7" w:rsidRDefault="0020756C" w:rsidP="00665906">
            <w:pPr>
              <w:pStyle w:val="Table"/>
              <w:jc w:val="right"/>
              <w:rPr>
                <w:color w:val="000000" w:themeColor="text1"/>
              </w:rPr>
            </w:pPr>
            <w:r w:rsidRPr="000217C7">
              <w:rPr>
                <w:color w:val="000000" w:themeColor="text1"/>
              </w:rPr>
              <w:t>0.002</w:t>
            </w:r>
          </w:p>
        </w:tc>
        <w:tc>
          <w:tcPr>
            <w:tcW w:w="992" w:type="dxa"/>
            <w:tcBorders>
              <w:top w:val="single" w:sz="4" w:space="0" w:color="auto"/>
              <w:bottom w:val="single" w:sz="4" w:space="0" w:color="auto"/>
            </w:tcBorders>
            <w:vAlign w:val="center"/>
          </w:tcPr>
          <w:p w14:paraId="48D5914D" w14:textId="77777777" w:rsidR="0020756C" w:rsidRPr="000217C7" w:rsidRDefault="0020756C" w:rsidP="00665906">
            <w:pPr>
              <w:pStyle w:val="Table"/>
              <w:rPr>
                <w:color w:val="000000" w:themeColor="text1"/>
              </w:rPr>
            </w:pPr>
            <w:r w:rsidRPr="000217C7">
              <w:rPr>
                <w:color w:val="000000" w:themeColor="text1"/>
              </w:rPr>
              <w:t>1596.38</w:t>
            </w:r>
          </w:p>
        </w:tc>
        <w:tc>
          <w:tcPr>
            <w:tcW w:w="567" w:type="dxa"/>
            <w:tcBorders>
              <w:top w:val="single" w:sz="4" w:space="0" w:color="auto"/>
              <w:bottom w:val="single" w:sz="4" w:space="0" w:color="auto"/>
            </w:tcBorders>
            <w:vAlign w:val="center"/>
          </w:tcPr>
          <w:p w14:paraId="443414A2" w14:textId="77777777" w:rsidR="0020756C" w:rsidRPr="000217C7" w:rsidRDefault="0020756C" w:rsidP="00665906">
            <w:pPr>
              <w:pStyle w:val="Table"/>
              <w:rPr>
                <w:color w:val="000000" w:themeColor="text1"/>
              </w:rPr>
            </w:pPr>
            <w:r w:rsidRPr="000217C7">
              <w:rPr>
                <w:color w:val="000000" w:themeColor="text1"/>
              </w:rPr>
              <w:t>-15</w:t>
            </w:r>
          </w:p>
        </w:tc>
        <w:tc>
          <w:tcPr>
            <w:tcW w:w="567" w:type="dxa"/>
            <w:tcBorders>
              <w:top w:val="single" w:sz="4" w:space="0" w:color="auto"/>
              <w:bottom w:val="single" w:sz="4" w:space="0" w:color="auto"/>
            </w:tcBorders>
            <w:vAlign w:val="center"/>
          </w:tcPr>
          <w:p w14:paraId="1D0866A4" w14:textId="77777777" w:rsidR="0020756C" w:rsidRPr="000217C7" w:rsidRDefault="0020756C" w:rsidP="00665906">
            <w:pPr>
              <w:pStyle w:val="Table"/>
              <w:rPr>
                <w:color w:val="000000" w:themeColor="text1"/>
              </w:rPr>
            </w:pPr>
            <w:r w:rsidRPr="000217C7">
              <w:rPr>
                <w:color w:val="000000" w:themeColor="text1"/>
              </w:rPr>
              <w:t>75</w:t>
            </w:r>
          </w:p>
        </w:tc>
        <w:tc>
          <w:tcPr>
            <w:tcW w:w="567" w:type="dxa"/>
            <w:tcBorders>
              <w:top w:val="single" w:sz="4" w:space="0" w:color="auto"/>
              <w:bottom w:val="single" w:sz="4" w:space="0" w:color="auto"/>
            </w:tcBorders>
            <w:vAlign w:val="center"/>
          </w:tcPr>
          <w:p w14:paraId="6656689C" w14:textId="77777777" w:rsidR="0020756C" w:rsidRPr="000217C7" w:rsidRDefault="0020756C" w:rsidP="00665906">
            <w:pPr>
              <w:pStyle w:val="Table"/>
              <w:rPr>
                <w:color w:val="000000" w:themeColor="text1"/>
              </w:rPr>
            </w:pPr>
            <w:r w:rsidRPr="000217C7">
              <w:rPr>
                <w:color w:val="000000" w:themeColor="text1"/>
              </w:rPr>
              <w:t>-4</w:t>
            </w:r>
          </w:p>
        </w:tc>
        <w:tc>
          <w:tcPr>
            <w:tcW w:w="709" w:type="dxa"/>
            <w:tcBorders>
              <w:top w:val="single" w:sz="4" w:space="0" w:color="auto"/>
              <w:bottom w:val="single" w:sz="4" w:space="0" w:color="auto"/>
            </w:tcBorders>
            <w:vAlign w:val="center"/>
          </w:tcPr>
          <w:p w14:paraId="1BF80A02" w14:textId="77777777" w:rsidR="0020756C" w:rsidRPr="000217C7" w:rsidRDefault="0020756C" w:rsidP="00665906">
            <w:pPr>
              <w:pStyle w:val="Table"/>
              <w:rPr>
                <w:color w:val="000000" w:themeColor="text1"/>
              </w:rPr>
            </w:pPr>
            <w:r w:rsidRPr="000217C7">
              <w:rPr>
                <w:color w:val="000000" w:themeColor="text1"/>
              </w:rPr>
              <w:t>4.41</w:t>
            </w:r>
          </w:p>
        </w:tc>
        <w:tc>
          <w:tcPr>
            <w:tcW w:w="1701" w:type="dxa"/>
            <w:tcBorders>
              <w:top w:val="single" w:sz="4" w:space="0" w:color="auto"/>
              <w:bottom w:val="single" w:sz="4" w:space="0" w:color="auto"/>
            </w:tcBorders>
            <w:vAlign w:val="center"/>
          </w:tcPr>
          <w:p w14:paraId="15A4A055" w14:textId="77777777" w:rsidR="0020756C" w:rsidRPr="000217C7" w:rsidRDefault="0020756C" w:rsidP="00665906">
            <w:pPr>
              <w:pStyle w:val="Table"/>
              <w:rPr>
                <w:color w:val="000000" w:themeColor="text1"/>
              </w:rPr>
            </w:pPr>
            <w:r w:rsidRPr="000217C7">
              <w:rPr>
                <w:color w:val="000000" w:themeColor="text1"/>
              </w:rPr>
              <w:t>4.01</w:t>
            </w:r>
          </w:p>
        </w:tc>
        <w:tc>
          <w:tcPr>
            <w:tcW w:w="2126" w:type="dxa"/>
            <w:gridSpan w:val="2"/>
            <w:tcBorders>
              <w:top w:val="single" w:sz="4" w:space="0" w:color="auto"/>
            </w:tcBorders>
          </w:tcPr>
          <w:p w14:paraId="67A799CB" w14:textId="77777777" w:rsidR="0020756C" w:rsidRPr="000217C7" w:rsidRDefault="0020756C" w:rsidP="00665906">
            <w:pPr>
              <w:pStyle w:val="Table"/>
              <w:rPr>
                <w:color w:val="000000" w:themeColor="text1"/>
              </w:rPr>
            </w:pPr>
            <w:r w:rsidRPr="000217C7">
              <w:rPr>
                <w:color w:val="000000" w:themeColor="text1"/>
              </w:rPr>
              <w:t>direct</w:t>
            </w:r>
          </w:p>
        </w:tc>
      </w:tr>
      <w:tr w:rsidR="000217C7" w:rsidRPr="000217C7" w14:paraId="2F3FC67C" w14:textId="77777777" w:rsidTr="00665906">
        <w:trPr>
          <w:trHeight w:val="255"/>
        </w:trPr>
        <w:tc>
          <w:tcPr>
            <w:tcW w:w="8075" w:type="dxa"/>
            <w:gridSpan w:val="9"/>
            <w:tcBorders>
              <w:right w:val="nil"/>
            </w:tcBorders>
            <w:vAlign w:val="center"/>
          </w:tcPr>
          <w:p w14:paraId="2F85318C" w14:textId="77777777" w:rsidR="0020756C" w:rsidRPr="000217C7" w:rsidRDefault="0020756C" w:rsidP="00665906">
            <w:pPr>
              <w:pStyle w:val="Table"/>
              <w:jc w:val="center"/>
              <w:rPr>
                <w:color w:val="000000" w:themeColor="text1"/>
              </w:rPr>
            </w:pPr>
            <w:r w:rsidRPr="000217C7">
              <w:rPr>
                <w:b/>
                <w:bCs/>
                <w:color w:val="000000" w:themeColor="text1"/>
              </w:rPr>
              <w:t>Go/No-Go false alarms and GM density</w:t>
            </w:r>
          </w:p>
        </w:tc>
        <w:tc>
          <w:tcPr>
            <w:tcW w:w="2126" w:type="dxa"/>
            <w:gridSpan w:val="2"/>
            <w:tcBorders>
              <w:left w:val="nil"/>
            </w:tcBorders>
          </w:tcPr>
          <w:p w14:paraId="23CA9EEE" w14:textId="77777777" w:rsidR="0020756C" w:rsidRPr="000217C7" w:rsidRDefault="0020756C" w:rsidP="00665906">
            <w:pPr>
              <w:pStyle w:val="Table"/>
              <w:rPr>
                <w:color w:val="000000" w:themeColor="text1"/>
              </w:rPr>
            </w:pPr>
          </w:p>
        </w:tc>
      </w:tr>
      <w:tr w:rsidR="000217C7" w:rsidRPr="000217C7" w14:paraId="4BE3E23B" w14:textId="77777777" w:rsidTr="00665906">
        <w:trPr>
          <w:trHeight w:val="255"/>
        </w:trPr>
        <w:tc>
          <w:tcPr>
            <w:tcW w:w="544" w:type="dxa"/>
            <w:tcBorders>
              <w:bottom w:val="single" w:sz="4" w:space="0" w:color="auto"/>
            </w:tcBorders>
            <w:vAlign w:val="center"/>
          </w:tcPr>
          <w:p w14:paraId="3CAE5B76" w14:textId="77777777" w:rsidR="0020756C" w:rsidRPr="000217C7" w:rsidRDefault="0020756C" w:rsidP="00665906">
            <w:pPr>
              <w:pStyle w:val="Table"/>
              <w:rPr>
                <w:color w:val="000000" w:themeColor="text1"/>
              </w:rPr>
            </w:pPr>
            <w:r w:rsidRPr="000217C7">
              <w:rPr>
                <w:color w:val="000000" w:themeColor="text1"/>
              </w:rPr>
              <w:t>R</w:t>
            </w:r>
          </w:p>
        </w:tc>
        <w:tc>
          <w:tcPr>
            <w:tcW w:w="1436" w:type="dxa"/>
            <w:tcBorders>
              <w:bottom w:val="single" w:sz="4" w:space="0" w:color="auto"/>
            </w:tcBorders>
            <w:vAlign w:val="center"/>
          </w:tcPr>
          <w:p w14:paraId="07F7A499" w14:textId="77777777" w:rsidR="0020756C" w:rsidRPr="000217C7" w:rsidRDefault="0020756C" w:rsidP="00665906">
            <w:pPr>
              <w:pStyle w:val="Table"/>
              <w:rPr>
                <w:color w:val="000000" w:themeColor="text1"/>
                <w:lang w:val="it-IT"/>
              </w:rPr>
            </w:pPr>
            <w:r w:rsidRPr="000217C7">
              <w:rPr>
                <w:color w:val="000000" w:themeColor="text1"/>
              </w:rPr>
              <w:t>Cerebellum exterior</w:t>
            </w:r>
          </w:p>
        </w:tc>
        <w:tc>
          <w:tcPr>
            <w:tcW w:w="992" w:type="dxa"/>
            <w:tcBorders>
              <w:bottom w:val="single" w:sz="4" w:space="0" w:color="auto"/>
            </w:tcBorders>
            <w:vAlign w:val="center"/>
          </w:tcPr>
          <w:p w14:paraId="4272362F" w14:textId="77777777" w:rsidR="0020756C" w:rsidRPr="000217C7" w:rsidRDefault="0020756C" w:rsidP="00665906">
            <w:pPr>
              <w:pStyle w:val="Table"/>
              <w:jc w:val="right"/>
              <w:rPr>
                <w:color w:val="000000" w:themeColor="text1"/>
              </w:rPr>
            </w:pPr>
            <w:r w:rsidRPr="000217C7">
              <w:rPr>
                <w:color w:val="000000" w:themeColor="text1"/>
              </w:rPr>
              <w:t>&lt; 0.001</w:t>
            </w:r>
          </w:p>
        </w:tc>
        <w:tc>
          <w:tcPr>
            <w:tcW w:w="992" w:type="dxa"/>
            <w:tcBorders>
              <w:bottom w:val="single" w:sz="4" w:space="0" w:color="auto"/>
            </w:tcBorders>
            <w:vAlign w:val="center"/>
          </w:tcPr>
          <w:p w14:paraId="3295702F" w14:textId="77777777" w:rsidR="0020756C" w:rsidRPr="000217C7" w:rsidRDefault="0020756C" w:rsidP="00665906">
            <w:pPr>
              <w:pStyle w:val="Table"/>
              <w:rPr>
                <w:color w:val="000000" w:themeColor="text1"/>
              </w:rPr>
            </w:pPr>
            <w:r w:rsidRPr="000217C7">
              <w:rPr>
                <w:color w:val="000000" w:themeColor="text1"/>
              </w:rPr>
              <w:t>2004.75</w:t>
            </w:r>
          </w:p>
        </w:tc>
        <w:tc>
          <w:tcPr>
            <w:tcW w:w="567" w:type="dxa"/>
            <w:tcBorders>
              <w:bottom w:val="single" w:sz="4" w:space="0" w:color="auto"/>
            </w:tcBorders>
            <w:vAlign w:val="center"/>
          </w:tcPr>
          <w:p w14:paraId="29FD7D03" w14:textId="77777777" w:rsidR="0020756C" w:rsidRPr="000217C7" w:rsidRDefault="0020756C" w:rsidP="00665906">
            <w:pPr>
              <w:pStyle w:val="Table"/>
              <w:rPr>
                <w:color w:val="000000" w:themeColor="text1"/>
              </w:rPr>
            </w:pPr>
            <w:r w:rsidRPr="000217C7">
              <w:rPr>
                <w:color w:val="000000" w:themeColor="text1"/>
              </w:rPr>
              <w:t>4</w:t>
            </w:r>
          </w:p>
        </w:tc>
        <w:tc>
          <w:tcPr>
            <w:tcW w:w="567" w:type="dxa"/>
            <w:tcBorders>
              <w:bottom w:val="single" w:sz="4" w:space="0" w:color="auto"/>
            </w:tcBorders>
            <w:vAlign w:val="center"/>
          </w:tcPr>
          <w:p w14:paraId="7CB1AFEE" w14:textId="77777777" w:rsidR="0020756C" w:rsidRPr="000217C7" w:rsidRDefault="0020756C" w:rsidP="00665906">
            <w:pPr>
              <w:pStyle w:val="Table"/>
              <w:rPr>
                <w:color w:val="000000" w:themeColor="text1"/>
              </w:rPr>
            </w:pPr>
            <w:r w:rsidRPr="000217C7">
              <w:rPr>
                <w:color w:val="000000" w:themeColor="text1"/>
              </w:rPr>
              <w:t>-63</w:t>
            </w:r>
          </w:p>
        </w:tc>
        <w:tc>
          <w:tcPr>
            <w:tcW w:w="567" w:type="dxa"/>
            <w:tcBorders>
              <w:bottom w:val="single" w:sz="4" w:space="0" w:color="auto"/>
            </w:tcBorders>
            <w:vAlign w:val="center"/>
          </w:tcPr>
          <w:p w14:paraId="47B7477B" w14:textId="77777777" w:rsidR="0020756C" w:rsidRPr="000217C7" w:rsidRDefault="0020756C" w:rsidP="00665906">
            <w:pPr>
              <w:pStyle w:val="Table"/>
              <w:rPr>
                <w:color w:val="000000" w:themeColor="text1"/>
              </w:rPr>
            </w:pPr>
            <w:r w:rsidRPr="000217C7">
              <w:rPr>
                <w:color w:val="000000" w:themeColor="text1"/>
              </w:rPr>
              <w:t>-39</w:t>
            </w:r>
          </w:p>
        </w:tc>
        <w:tc>
          <w:tcPr>
            <w:tcW w:w="709" w:type="dxa"/>
            <w:tcBorders>
              <w:bottom w:val="single" w:sz="4" w:space="0" w:color="auto"/>
            </w:tcBorders>
            <w:vAlign w:val="center"/>
          </w:tcPr>
          <w:p w14:paraId="5D3E03A3" w14:textId="77777777" w:rsidR="0020756C" w:rsidRPr="000217C7" w:rsidRDefault="0020756C" w:rsidP="00665906">
            <w:pPr>
              <w:pStyle w:val="Table"/>
              <w:rPr>
                <w:color w:val="000000" w:themeColor="text1"/>
              </w:rPr>
            </w:pPr>
            <w:r w:rsidRPr="000217C7">
              <w:rPr>
                <w:color w:val="000000" w:themeColor="text1"/>
              </w:rPr>
              <w:t>3.90</w:t>
            </w:r>
          </w:p>
        </w:tc>
        <w:tc>
          <w:tcPr>
            <w:tcW w:w="1701" w:type="dxa"/>
            <w:tcBorders>
              <w:bottom w:val="single" w:sz="4" w:space="0" w:color="auto"/>
            </w:tcBorders>
            <w:vAlign w:val="center"/>
          </w:tcPr>
          <w:p w14:paraId="2F1E68C5" w14:textId="77777777" w:rsidR="0020756C" w:rsidRPr="000217C7" w:rsidRDefault="0020756C" w:rsidP="00665906">
            <w:pPr>
              <w:pStyle w:val="Table"/>
              <w:rPr>
                <w:color w:val="000000" w:themeColor="text1"/>
              </w:rPr>
            </w:pPr>
            <w:r w:rsidRPr="000217C7">
              <w:rPr>
                <w:color w:val="000000" w:themeColor="text1"/>
              </w:rPr>
              <w:t>3.61</w:t>
            </w:r>
          </w:p>
        </w:tc>
        <w:tc>
          <w:tcPr>
            <w:tcW w:w="2126" w:type="dxa"/>
            <w:gridSpan w:val="2"/>
            <w:tcBorders>
              <w:bottom w:val="single" w:sz="4" w:space="0" w:color="auto"/>
            </w:tcBorders>
          </w:tcPr>
          <w:p w14:paraId="3CA61E44" w14:textId="77777777" w:rsidR="0020756C" w:rsidRPr="000217C7" w:rsidRDefault="0020756C" w:rsidP="00665906">
            <w:pPr>
              <w:pStyle w:val="Table"/>
              <w:rPr>
                <w:color w:val="000000" w:themeColor="text1"/>
              </w:rPr>
            </w:pPr>
            <w:r w:rsidRPr="000217C7">
              <w:rPr>
                <w:color w:val="000000" w:themeColor="text1"/>
              </w:rPr>
              <w:t>indirect</w:t>
            </w:r>
          </w:p>
        </w:tc>
      </w:tr>
      <w:tr w:rsidR="000217C7" w:rsidRPr="000217C7" w14:paraId="3812F934" w14:textId="77777777" w:rsidTr="00665906">
        <w:trPr>
          <w:trHeight w:val="255"/>
        </w:trPr>
        <w:tc>
          <w:tcPr>
            <w:tcW w:w="8075" w:type="dxa"/>
            <w:gridSpan w:val="9"/>
            <w:tcBorders>
              <w:top w:val="single" w:sz="4" w:space="0" w:color="auto"/>
              <w:left w:val="single" w:sz="4" w:space="0" w:color="auto"/>
              <w:bottom w:val="single" w:sz="4" w:space="0" w:color="auto"/>
              <w:right w:val="single" w:sz="4" w:space="0" w:color="auto"/>
            </w:tcBorders>
            <w:vAlign w:val="center"/>
          </w:tcPr>
          <w:p w14:paraId="006ACEE0" w14:textId="77777777" w:rsidR="0020756C" w:rsidRPr="000217C7" w:rsidRDefault="0020756C" w:rsidP="00665906">
            <w:pPr>
              <w:pStyle w:val="Table"/>
              <w:jc w:val="center"/>
              <w:rPr>
                <w:b/>
                <w:bCs/>
                <w:color w:val="000000" w:themeColor="text1"/>
              </w:rPr>
            </w:pPr>
            <w:r w:rsidRPr="000217C7">
              <w:rPr>
                <w:b/>
                <w:bCs/>
                <w:color w:val="000000" w:themeColor="text1"/>
              </w:rPr>
              <w:t>Go/No-Go RTs and GM density in the higher BMI and lower BMI groups</w:t>
            </w:r>
          </w:p>
        </w:tc>
        <w:tc>
          <w:tcPr>
            <w:tcW w:w="992" w:type="dxa"/>
            <w:tcBorders>
              <w:top w:val="single" w:sz="4" w:space="0" w:color="auto"/>
              <w:left w:val="single" w:sz="4" w:space="0" w:color="auto"/>
            </w:tcBorders>
          </w:tcPr>
          <w:p w14:paraId="1C8F07E5" w14:textId="77777777" w:rsidR="0020756C" w:rsidRPr="000217C7" w:rsidRDefault="0020756C" w:rsidP="00665906">
            <w:pPr>
              <w:pStyle w:val="Table"/>
              <w:rPr>
                <w:b/>
                <w:bCs/>
                <w:color w:val="000000" w:themeColor="text1"/>
              </w:rPr>
            </w:pPr>
            <w:r w:rsidRPr="000217C7">
              <w:rPr>
                <w:b/>
                <w:bCs/>
                <w:color w:val="000000" w:themeColor="text1"/>
              </w:rPr>
              <w:sym w:font="Symbol" w:char="F062"/>
            </w:r>
            <w:r w:rsidRPr="000217C7">
              <w:rPr>
                <w:b/>
                <w:bCs/>
                <w:color w:val="000000" w:themeColor="text1"/>
              </w:rPr>
              <w:t xml:space="preserve"> lower BMI</w:t>
            </w:r>
          </w:p>
        </w:tc>
        <w:tc>
          <w:tcPr>
            <w:tcW w:w="1134" w:type="dxa"/>
            <w:tcBorders>
              <w:top w:val="single" w:sz="4" w:space="0" w:color="auto"/>
              <w:left w:val="single" w:sz="4" w:space="0" w:color="auto"/>
            </w:tcBorders>
          </w:tcPr>
          <w:p w14:paraId="362EAF97" w14:textId="77777777" w:rsidR="0020756C" w:rsidRPr="000217C7" w:rsidRDefault="0020756C" w:rsidP="00665906">
            <w:pPr>
              <w:pStyle w:val="Table"/>
              <w:rPr>
                <w:b/>
                <w:bCs/>
                <w:color w:val="000000" w:themeColor="text1"/>
              </w:rPr>
            </w:pPr>
            <w:r w:rsidRPr="000217C7">
              <w:rPr>
                <w:b/>
                <w:bCs/>
                <w:color w:val="000000" w:themeColor="text1"/>
              </w:rPr>
              <w:t xml:space="preserve"> </w:t>
            </w:r>
            <w:r w:rsidRPr="000217C7">
              <w:rPr>
                <w:color w:val="000000" w:themeColor="text1"/>
              </w:rPr>
              <w:t xml:space="preserve"> </w:t>
            </w:r>
            <w:r w:rsidRPr="000217C7">
              <w:rPr>
                <w:b/>
                <w:bCs/>
                <w:color w:val="000000" w:themeColor="text1"/>
              </w:rPr>
              <w:sym w:font="Symbol" w:char="F062"/>
            </w:r>
            <w:r w:rsidRPr="000217C7">
              <w:rPr>
                <w:b/>
                <w:bCs/>
                <w:color w:val="000000" w:themeColor="text1"/>
              </w:rPr>
              <w:t xml:space="preserve"> higher BMI</w:t>
            </w:r>
          </w:p>
        </w:tc>
      </w:tr>
      <w:tr w:rsidR="000217C7" w:rsidRPr="000217C7" w14:paraId="0A70BCC2" w14:textId="77777777" w:rsidTr="00665906">
        <w:trPr>
          <w:trHeight w:val="255"/>
        </w:trPr>
        <w:tc>
          <w:tcPr>
            <w:tcW w:w="544" w:type="dxa"/>
            <w:tcBorders>
              <w:top w:val="single" w:sz="4" w:space="0" w:color="auto"/>
            </w:tcBorders>
            <w:vAlign w:val="center"/>
          </w:tcPr>
          <w:p w14:paraId="4AEF0AAB" w14:textId="77777777" w:rsidR="0020756C" w:rsidRPr="000217C7" w:rsidRDefault="0020756C" w:rsidP="00665906">
            <w:pPr>
              <w:pStyle w:val="Table"/>
              <w:rPr>
                <w:color w:val="000000" w:themeColor="text1"/>
              </w:rPr>
            </w:pPr>
            <w:r w:rsidRPr="000217C7">
              <w:rPr>
                <w:color w:val="000000" w:themeColor="text1"/>
              </w:rPr>
              <w:t>R</w:t>
            </w:r>
          </w:p>
        </w:tc>
        <w:tc>
          <w:tcPr>
            <w:tcW w:w="1436" w:type="dxa"/>
            <w:tcBorders>
              <w:top w:val="single" w:sz="4" w:space="0" w:color="auto"/>
            </w:tcBorders>
            <w:vAlign w:val="center"/>
          </w:tcPr>
          <w:p w14:paraId="4F792699" w14:textId="77777777" w:rsidR="0020756C" w:rsidRPr="000217C7" w:rsidRDefault="0020756C" w:rsidP="00665906">
            <w:pPr>
              <w:pStyle w:val="Table"/>
              <w:rPr>
                <w:color w:val="000000" w:themeColor="text1"/>
              </w:rPr>
            </w:pPr>
            <w:r w:rsidRPr="000217C7">
              <w:rPr>
                <w:color w:val="000000" w:themeColor="text1"/>
              </w:rPr>
              <w:t>Parietal operculum</w:t>
            </w:r>
          </w:p>
        </w:tc>
        <w:tc>
          <w:tcPr>
            <w:tcW w:w="992" w:type="dxa"/>
            <w:tcBorders>
              <w:top w:val="single" w:sz="4" w:space="0" w:color="auto"/>
            </w:tcBorders>
            <w:vAlign w:val="center"/>
          </w:tcPr>
          <w:p w14:paraId="75CAABAC" w14:textId="77777777" w:rsidR="0020756C" w:rsidRPr="000217C7" w:rsidRDefault="0020756C" w:rsidP="00665906">
            <w:pPr>
              <w:pStyle w:val="Table"/>
              <w:jc w:val="right"/>
              <w:rPr>
                <w:color w:val="000000" w:themeColor="text1"/>
              </w:rPr>
            </w:pPr>
            <w:r w:rsidRPr="000217C7">
              <w:rPr>
                <w:color w:val="000000" w:themeColor="text1"/>
              </w:rPr>
              <w:t>&lt; 0.001</w:t>
            </w:r>
          </w:p>
        </w:tc>
        <w:tc>
          <w:tcPr>
            <w:tcW w:w="992" w:type="dxa"/>
            <w:tcBorders>
              <w:top w:val="single" w:sz="4" w:space="0" w:color="auto"/>
            </w:tcBorders>
            <w:vAlign w:val="center"/>
          </w:tcPr>
          <w:p w14:paraId="7B28DB7E" w14:textId="77777777" w:rsidR="0020756C" w:rsidRPr="000217C7" w:rsidRDefault="0020756C" w:rsidP="00665906">
            <w:pPr>
              <w:pStyle w:val="Table"/>
              <w:rPr>
                <w:color w:val="000000" w:themeColor="text1"/>
              </w:rPr>
            </w:pPr>
            <w:r w:rsidRPr="000217C7">
              <w:rPr>
                <w:color w:val="000000" w:themeColor="text1"/>
              </w:rPr>
              <w:t>2575.13</w:t>
            </w:r>
          </w:p>
        </w:tc>
        <w:tc>
          <w:tcPr>
            <w:tcW w:w="567" w:type="dxa"/>
            <w:tcBorders>
              <w:top w:val="single" w:sz="4" w:space="0" w:color="auto"/>
            </w:tcBorders>
            <w:vAlign w:val="center"/>
          </w:tcPr>
          <w:p w14:paraId="69797445" w14:textId="77777777" w:rsidR="0020756C" w:rsidRPr="000217C7" w:rsidRDefault="0020756C" w:rsidP="00665906">
            <w:pPr>
              <w:pStyle w:val="Table"/>
              <w:jc w:val="center"/>
              <w:rPr>
                <w:color w:val="000000" w:themeColor="text1"/>
              </w:rPr>
            </w:pPr>
            <w:r w:rsidRPr="000217C7">
              <w:rPr>
                <w:color w:val="000000" w:themeColor="text1"/>
              </w:rPr>
              <w:t>45</w:t>
            </w:r>
          </w:p>
        </w:tc>
        <w:tc>
          <w:tcPr>
            <w:tcW w:w="567" w:type="dxa"/>
            <w:tcBorders>
              <w:top w:val="single" w:sz="4" w:space="0" w:color="auto"/>
            </w:tcBorders>
            <w:vAlign w:val="center"/>
          </w:tcPr>
          <w:p w14:paraId="736E72E0" w14:textId="77777777" w:rsidR="0020756C" w:rsidRPr="000217C7" w:rsidRDefault="0020756C" w:rsidP="00665906">
            <w:pPr>
              <w:pStyle w:val="Table"/>
              <w:jc w:val="center"/>
              <w:rPr>
                <w:color w:val="000000" w:themeColor="text1"/>
              </w:rPr>
            </w:pPr>
            <w:r w:rsidRPr="000217C7">
              <w:rPr>
                <w:color w:val="000000" w:themeColor="text1"/>
              </w:rPr>
              <w:t>-30</w:t>
            </w:r>
          </w:p>
        </w:tc>
        <w:tc>
          <w:tcPr>
            <w:tcW w:w="567" w:type="dxa"/>
            <w:tcBorders>
              <w:top w:val="single" w:sz="4" w:space="0" w:color="auto"/>
            </w:tcBorders>
            <w:vAlign w:val="center"/>
          </w:tcPr>
          <w:p w14:paraId="6F39E638" w14:textId="77777777" w:rsidR="0020756C" w:rsidRPr="000217C7" w:rsidRDefault="0020756C" w:rsidP="00665906">
            <w:pPr>
              <w:pStyle w:val="Table"/>
              <w:jc w:val="center"/>
              <w:rPr>
                <w:color w:val="000000" w:themeColor="text1"/>
              </w:rPr>
            </w:pPr>
            <w:r w:rsidRPr="000217C7">
              <w:rPr>
                <w:color w:val="000000" w:themeColor="text1"/>
              </w:rPr>
              <w:t>22</w:t>
            </w:r>
          </w:p>
        </w:tc>
        <w:tc>
          <w:tcPr>
            <w:tcW w:w="709" w:type="dxa"/>
            <w:tcBorders>
              <w:top w:val="single" w:sz="4" w:space="0" w:color="auto"/>
            </w:tcBorders>
            <w:vAlign w:val="center"/>
          </w:tcPr>
          <w:p w14:paraId="1B41F373" w14:textId="77777777" w:rsidR="0020756C" w:rsidRPr="000217C7" w:rsidRDefault="0020756C" w:rsidP="00665906">
            <w:pPr>
              <w:pStyle w:val="Table"/>
              <w:rPr>
                <w:color w:val="000000" w:themeColor="text1"/>
              </w:rPr>
            </w:pPr>
            <w:r w:rsidRPr="000217C7">
              <w:rPr>
                <w:color w:val="000000" w:themeColor="text1"/>
              </w:rPr>
              <w:t>5.14</w:t>
            </w:r>
          </w:p>
        </w:tc>
        <w:tc>
          <w:tcPr>
            <w:tcW w:w="1701" w:type="dxa"/>
            <w:tcBorders>
              <w:top w:val="single" w:sz="4" w:space="0" w:color="auto"/>
              <w:right w:val="single" w:sz="4" w:space="0" w:color="auto"/>
            </w:tcBorders>
            <w:vAlign w:val="center"/>
          </w:tcPr>
          <w:p w14:paraId="4C25350E" w14:textId="77777777" w:rsidR="0020756C" w:rsidRPr="000217C7" w:rsidRDefault="0020756C" w:rsidP="00665906">
            <w:pPr>
              <w:pStyle w:val="Table"/>
              <w:rPr>
                <w:color w:val="000000" w:themeColor="text1"/>
              </w:rPr>
            </w:pPr>
            <w:r w:rsidRPr="000217C7">
              <w:rPr>
                <w:color w:val="000000" w:themeColor="text1"/>
              </w:rPr>
              <w:t>4.53</w:t>
            </w:r>
          </w:p>
        </w:tc>
        <w:tc>
          <w:tcPr>
            <w:tcW w:w="992" w:type="dxa"/>
            <w:tcBorders>
              <w:left w:val="single" w:sz="4" w:space="0" w:color="auto"/>
            </w:tcBorders>
            <w:vAlign w:val="center"/>
          </w:tcPr>
          <w:p w14:paraId="4A712F5B" w14:textId="77777777" w:rsidR="0020756C" w:rsidRPr="000217C7" w:rsidRDefault="0020756C" w:rsidP="00665906">
            <w:pPr>
              <w:pStyle w:val="Table"/>
              <w:rPr>
                <w:color w:val="000000" w:themeColor="text1"/>
              </w:rPr>
            </w:pPr>
            <w:r w:rsidRPr="000217C7">
              <w:rPr>
                <w:color w:val="000000" w:themeColor="text1"/>
              </w:rPr>
              <w:t>0.713</w:t>
            </w:r>
          </w:p>
          <w:p w14:paraId="733284A8" w14:textId="77777777" w:rsidR="0020756C" w:rsidRPr="000217C7" w:rsidRDefault="0020756C" w:rsidP="00665906">
            <w:pPr>
              <w:pStyle w:val="Table"/>
              <w:rPr>
                <w:color w:val="000000" w:themeColor="text1"/>
              </w:rPr>
            </w:pPr>
          </w:p>
        </w:tc>
        <w:tc>
          <w:tcPr>
            <w:tcW w:w="1134" w:type="dxa"/>
            <w:tcBorders>
              <w:left w:val="single" w:sz="4" w:space="0" w:color="auto"/>
            </w:tcBorders>
            <w:vAlign w:val="center"/>
          </w:tcPr>
          <w:p w14:paraId="74180F9F" w14:textId="77777777" w:rsidR="0020756C" w:rsidRPr="000217C7" w:rsidRDefault="0020756C" w:rsidP="00665906">
            <w:pPr>
              <w:pStyle w:val="Table"/>
              <w:rPr>
                <w:color w:val="000000" w:themeColor="text1"/>
              </w:rPr>
            </w:pPr>
            <w:r w:rsidRPr="000217C7">
              <w:rPr>
                <w:color w:val="000000" w:themeColor="text1"/>
              </w:rPr>
              <w:t>0.471</w:t>
            </w:r>
          </w:p>
          <w:p w14:paraId="5A1C4ADC" w14:textId="77777777" w:rsidR="0020756C" w:rsidRPr="000217C7" w:rsidRDefault="0020756C" w:rsidP="00665906">
            <w:pPr>
              <w:pStyle w:val="Table"/>
              <w:rPr>
                <w:color w:val="000000" w:themeColor="text1"/>
              </w:rPr>
            </w:pPr>
          </w:p>
        </w:tc>
      </w:tr>
      <w:tr w:rsidR="000217C7" w:rsidRPr="000217C7" w14:paraId="01D71963" w14:textId="77777777" w:rsidTr="00665906">
        <w:trPr>
          <w:trHeight w:val="255"/>
        </w:trPr>
        <w:tc>
          <w:tcPr>
            <w:tcW w:w="544" w:type="dxa"/>
            <w:tcBorders>
              <w:bottom w:val="single" w:sz="4" w:space="0" w:color="auto"/>
            </w:tcBorders>
            <w:vAlign w:val="center"/>
          </w:tcPr>
          <w:p w14:paraId="220601FF" w14:textId="77777777" w:rsidR="0020756C" w:rsidRPr="000217C7" w:rsidRDefault="0020756C" w:rsidP="00665906">
            <w:pPr>
              <w:pStyle w:val="Table"/>
              <w:rPr>
                <w:color w:val="000000" w:themeColor="text1"/>
              </w:rPr>
            </w:pPr>
            <w:r w:rsidRPr="000217C7">
              <w:rPr>
                <w:color w:val="000000" w:themeColor="text1"/>
              </w:rPr>
              <w:t>L</w:t>
            </w:r>
          </w:p>
        </w:tc>
        <w:tc>
          <w:tcPr>
            <w:tcW w:w="1436" w:type="dxa"/>
            <w:tcBorders>
              <w:bottom w:val="single" w:sz="4" w:space="0" w:color="auto"/>
            </w:tcBorders>
            <w:vAlign w:val="center"/>
          </w:tcPr>
          <w:p w14:paraId="5B874ADC" w14:textId="77777777" w:rsidR="0020756C" w:rsidRPr="000217C7" w:rsidRDefault="0020756C" w:rsidP="00665906">
            <w:pPr>
              <w:pStyle w:val="Table"/>
              <w:rPr>
                <w:color w:val="000000" w:themeColor="text1"/>
              </w:rPr>
            </w:pPr>
            <w:r w:rsidRPr="000217C7">
              <w:rPr>
                <w:color w:val="000000" w:themeColor="text1"/>
              </w:rPr>
              <w:t>Orbital g./ temporal pole</w:t>
            </w:r>
          </w:p>
        </w:tc>
        <w:tc>
          <w:tcPr>
            <w:tcW w:w="992" w:type="dxa"/>
            <w:tcBorders>
              <w:bottom w:val="single" w:sz="4" w:space="0" w:color="auto"/>
            </w:tcBorders>
            <w:vAlign w:val="center"/>
          </w:tcPr>
          <w:p w14:paraId="704FAEBD" w14:textId="77777777" w:rsidR="0020756C" w:rsidRPr="000217C7" w:rsidRDefault="0020756C" w:rsidP="00665906">
            <w:pPr>
              <w:pStyle w:val="Table"/>
              <w:jc w:val="right"/>
              <w:rPr>
                <w:color w:val="000000" w:themeColor="text1"/>
              </w:rPr>
            </w:pPr>
            <w:r w:rsidRPr="000217C7">
              <w:rPr>
                <w:color w:val="000000" w:themeColor="text1"/>
              </w:rPr>
              <w:t>0.005</w:t>
            </w:r>
          </w:p>
        </w:tc>
        <w:tc>
          <w:tcPr>
            <w:tcW w:w="992" w:type="dxa"/>
            <w:tcBorders>
              <w:bottom w:val="single" w:sz="4" w:space="0" w:color="auto"/>
            </w:tcBorders>
            <w:vAlign w:val="center"/>
          </w:tcPr>
          <w:p w14:paraId="3BEF7A2D" w14:textId="77777777" w:rsidR="0020756C" w:rsidRPr="000217C7" w:rsidRDefault="0020756C" w:rsidP="00665906">
            <w:pPr>
              <w:pStyle w:val="Table"/>
              <w:rPr>
                <w:color w:val="000000" w:themeColor="text1"/>
              </w:rPr>
            </w:pPr>
            <w:r w:rsidRPr="000217C7">
              <w:rPr>
                <w:color w:val="000000" w:themeColor="text1"/>
              </w:rPr>
              <w:t>1370.25</w:t>
            </w:r>
          </w:p>
        </w:tc>
        <w:tc>
          <w:tcPr>
            <w:tcW w:w="567" w:type="dxa"/>
            <w:tcBorders>
              <w:bottom w:val="single" w:sz="4" w:space="0" w:color="auto"/>
            </w:tcBorders>
            <w:vAlign w:val="center"/>
          </w:tcPr>
          <w:p w14:paraId="6D2EF161" w14:textId="77777777" w:rsidR="0020756C" w:rsidRPr="000217C7" w:rsidRDefault="0020756C" w:rsidP="00665906">
            <w:pPr>
              <w:pStyle w:val="Table"/>
              <w:jc w:val="center"/>
              <w:rPr>
                <w:color w:val="000000" w:themeColor="text1"/>
              </w:rPr>
            </w:pPr>
            <w:r w:rsidRPr="000217C7">
              <w:rPr>
                <w:color w:val="000000" w:themeColor="text1"/>
              </w:rPr>
              <w:t>-24</w:t>
            </w:r>
          </w:p>
        </w:tc>
        <w:tc>
          <w:tcPr>
            <w:tcW w:w="567" w:type="dxa"/>
            <w:tcBorders>
              <w:bottom w:val="single" w:sz="4" w:space="0" w:color="auto"/>
            </w:tcBorders>
            <w:vAlign w:val="center"/>
          </w:tcPr>
          <w:p w14:paraId="3CEEF8B2" w14:textId="77777777" w:rsidR="0020756C" w:rsidRPr="000217C7" w:rsidRDefault="0020756C" w:rsidP="00665906">
            <w:pPr>
              <w:pStyle w:val="Table"/>
              <w:jc w:val="center"/>
              <w:rPr>
                <w:color w:val="000000" w:themeColor="text1"/>
              </w:rPr>
            </w:pPr>
            <w:r w:rsidRPr="000217C7">
              <w:rPr>
                <w:color w:val="000000" w:themeColor="text1"/>
              </w:rPr>
              <w:t>27</w:t>
            </w:r>
          </w:p>
        </w:tc>
        <w:tc>
          <w:tcPr>
            <w:tcW w:w="567" w:type="dxa"/>
            <w:tcBorders>
              <w:bottom w:val="single" w:sz="4" w:space="0" w:color="auto"/>
            </w:tcBorders>
            <w:vAlign w:val="center"/>
          </w:tcPr>
          <w:p w14:paraId="36C79237" w14:textId="77777777" w:rsidR="0020756C" w:rsidRPr="000217C7" w:rsidRDefault="0020756C" w:rsidP="00665906">
            <w:pPr>
              <w:pStyle w:val="Table"/>
              <w:jc w:val="center"/>
              <w:rPr>
                <w:color w:val="000000" w:themeColor="text1"/>
              </w:rPr>
            </w:pPr>
            <w:r w:rsidRPr="000217C7">
              <w:rPr>
                <w:color w:val="000000" w:themeColor="text1"/>
              </w:rPr>
              <w:t>-32</w:t>
            </w:r>
          </w:p>
        </w:tc>
        <w:tc>
          <w:tcPr>
            <w:tcW w:w="709" w:type="dxa"/>
            <w:tcBorders>
              <w:bottom w:val="single" w:sz="4" w:space="0" w:color="auto"/>
            </w:tcBorders>
            <w:vAlign w:val="center"/>
          </w:tcPr>
          <w:p w14:paraId="214121BF" w14:textId="77777777" w:rsidR="0020756C" w:rsidRPr="000217C7" w:rsidRDefault="0020756C" w:rsidP="00665906">
            <w:pPr>
              <w:pStyle w:val="Table"/>
              <w:rPr>
                <w:color w:val="000000" w:themeColor="text1"/>
              </w:rPr>
            </w:pPr>
            <w:r w:rsidRPr="000217C7">
              <w:rPr>
                <w:color w:val="000000" w:themeColor="text1"/>
              </w:rPr>
              <w:t>4.97</w:t>
            </w:r>
          </w:p>
        </w:tc>
        <w:tc>
          <w:tcPr>
            <w:tcW w:w="1701" w:type="dxa"/>
            <w:tcBorders>
              <w:bottom w:val="single" w:sz="4" w:space="0" w:color="auto"/>
              <w:right w:val="single" w:sz="4" w:space="0" w:color="auto"/>
            </w:tcBorders>
            <w:vAlign w:val="center"/>
          </w:tcPr>
          <w:p w14:paraId="5AB86717" w14:textId="77777777" w:rsidR="0020756C" w:rsidRPr="000217C7" w:rsidRDefault="0020756C" w:rsidP="00665906">
            <w:pPr>
              <w:pStyle w:val="Table"/>
              <w:rPr>
                <w:color w:val="000000" w:themeColor="text1"/>
              </w:rPr>
            </w:pPr>
            <w:r w:rsidRPr="000217C7">
              <w:rPr>
                <w:color w:val="000000" w:themeColor="text1"/>
              </w:rPr>
              <w:t>4.41</w:t>
            </w:r>
          </w:p>
        </w:tc>
        <w:tc>
          <w:tcPr>
            <w:tcW w:w="992" w:type="dxa"/>
            <w:tcBorders>
              <w:left w:val="single" w:sz="4" w:space="0" w:color="auto"/>
              <w:bottom w:val="single" w:sz="4" w:space="0" w:color="auto"/>
            </w:tcBorders>
            <w:vAlign w:val="center"/>
          </w:tcPr>
          <w:p w14:paraId="6F57BADD" w14:textId="77777777" w:rsidR="0020756C" w:rsidRPr="000217C7" w:rsidRDefault="0020756C" w:rsidP="00665906">
            <w:pPr>
              <w:pStyle w:val="Table"/>
              <w:rPr>
                <w:color w:val="000000" w:themeColor="text1"/>
              </w:rPr>
            </w:pPr>
            <w:r w:rsidRPr="000217C7">
              <w:rPr>
                <w:color w:val="000000" w:themeColor="text1"/>
              </w:rPr>
              <w:t>-1.037</w:t>
            </w:r>
          </w:p>
        </w:tc>
        <w:tc>
          <w:tcPr>
            <w:tcW w:w="1134" w:type="dxa"/>
            <w:tcBorders>
              <w:left w:val="single" w:sz="4" w:space="0" w:color="auto"/>
            </w:tcBorders>
            <w:vAlign w:val="center"/>
          </w:tcPr>
          <w:p w14:paraId="13A8A481" w14:textId="77777777" w:rsidR="0020756C" w:rsidRPr="000217C7" w:rsidRDefault="0020756C" w:rsidP="00665906">
            <w:pPr>
              <w:pStyle w:val="Table"/>
              <w:rPr>
                <w:color w:val="000000" w:themeColor="text1"/>
              </w:rPr>
            </w:pPr>
            <w:r w:rsidRPr="000217C7">
              <w:rPr>
                <w:color w:val="000000" w:themeColor="text1"/>
              </w:rPr>
              <w:t xml:space="preserve">-0.529 </w:t>
            </w:r>
          </w:p>
          <w:p w14:paraId="47BB91D9" w14:textId="77777777" w:rsidR="0020756C" w:rsidRPr="000217C7" w:rsidRDefault="0020756C" w:rsidP="00665906">
            <w:pPr>
              <w:pStyle w:val="Table"/>
              <w:rPr>
                <w:color w:val="000000" w:themeColor="text1"/>
              </w:rPr>
            </w:pPr>
          </w:p>
        </w:tc>
      </w:tr>
      <w:tr w:rsidR="000217C7" w:rsidRPr="000217C7" w14:paraId="187CA35F" w14:textId="77777777" w:rsidTr="00665906">
        <w:trPr>
          <w:trHeight w:val="255"/>
        </w:trPr>
        <w:tc>
          <w:tcPr>
            <w:tcW w:w="6374" w:type="dxa"/>
            <w:gridSpan w:val="8"/>
            <w:tcBorders>
              <w:top w:val="single" w:sz="4" w:space="0" w:color="auto"/>
              <w:left w:val="single" w:sz="4" w:space="0" w:color="auto"/>
              <w:bottom w:val="single" w:sz="4" w:space="0" w:color="auto"/>
              <w:right w:val="nil"/>
            </w:tcBorders>
          </w:tcPr>
          <w:p w14:paraId="33F59F7E" w14:textId="77777777" w:rsidR="0020756C" w:rsidRPr="000217C7" w:rsidRDefault="0020756C" w:rsidP="00665906">
            <w:pPr>
              <w:pStyle w:val="Table"/>
              <w:jc w:val="center"/>
              <w:rPr>
                <w:b/>
                <w:bCs/>
                <w:color w:val="000000" w:themeColor="text1"/>
              </w:rPr>
            </w:pPr>
            <w:proofErr w:type="spellStart"/>
            <w:r w:rsidRPr="000217C7">
              <w:rPr>
                <w:b/>
                <w:bCs/>
                <w:color w:val="000000" w:themeColor="text1"/>
              </w:rPr>
              <w:t>bCFS</w:t>
            </w:r>
            <w:proofErr w:type="spellEnd"/>
            <w:r w:rsidRPr="000217C7">
              <w:rPr>
                <w:b/>
                <w:bCs/>
                <w:color w:val="000000" w:themeColor="text1"/>
              </w:rPr>
              <w:t xml:space="preserve"> RTs and connectivity in the higher and lower BMI groups</w:t>
            </w:r>
          </w:p>
        </w:tc>
        <w:tc>
          <w:tcPr>
            <w:tcW w:w="1701" w:type="dxa"/>
            <w:tcBorders>
              <w:top w:val="single" w:sz="4" w:space="0" w:color="auto"/>
              <w:left w:val="nil"/>
              <w:bottom w:val="single" w:sz="4" w:space="0" w:color="auto"/>
              <w:right w:val="nil"/>
            </w:tcBorders>
          </w:tcPr>
          <w:p w14:paraId="70F464E9" w14:textId="77777777" w:rsidR="0020756C" w:rsidRPr="000217C7" w:rsidRDefault="0020756C" w:rsidP="00665906">
            <w:pPr>
              <w:pStyle w:val="Table"/>
              <w:jc w:val="center"/>
              <w:rPr>
                <w:b/>
                <w:bCs/>
                <w:color w:val="000000" w:themeColor="text1"/>
              </w:rPr>
            </w:pPr>
            <w:r w:rsidRPr="000217C7">
              <w:rPr>
                <w:b/>
                <w:bCs/>
                <w:color w:val="000000" w:themeColor="text1"/>
              </w:rPr>
              <w:t>Seed</w:t>
            </w:r>
          </w:p>
        </w:tc>
        <w:tc>
          <w:tcPr>
            <w:tcW w:w="992" w:type="dxa"/>
            <w:tcBorders>
              <w:left w:val="nil"/>
              <w:right w:val="nil"/>
            </w:tcBorders>
          </w:tcPr>
          <w:p w14:paraId="6AD04211" w14:textId="77777777" w:rsidR="0020756C" w:rsidRPr="000217C7" w:rsidRDefault="0020756C" w:rsidP="00665906">
            <w:pPr>
              <w:pStyle w:val="Table"/>
              <w:rPr>
                <w:b/>
                <w:bCs/>
                <w:color w:val="000000" w:themeColor="text1"/>
              </w:rPr>
            </w:pPr>
          </w:p>
        </w:tc>
        <w:tc>
          <w:tcPr>
            <w:tcW w:w="1134" w:type="dxa"/>
            <w:tcBorders>
              <w:left w:val="nil"/>
            </w:tcBorders>
          </w:tcPr>
          <w:p w14:paraId="52837718" w14:textId="77777777" w:rsidR="0020756C" w:rsidRPr="000217C7" w:rsidRDefault="0020756C" w:rsidP="00665906">
            <w:pPr>
              <w:pStyle w:val="Table"/>
              <w:rPr>
                <w:b/>
                <w:bCs/>
                <w:color w:val="000000" w:themeColor="text1"/>
              </w:rPr>
            </w:pPr>
          </w:p>
        </w:tc>
      </w:tr>
      <w:tr w:rsidR="000217C7" w:rsidRPr="000217C7" w14:paraId="1E40D3D2" w14:textId="77777777" w:rsidTr="00665906">
        <w:trPr>
          <w:trHeight w:val="255"/>
        </w:trPr>
        <w:tc>
          <w:tcPr>
            <w:tcW w:w="544" w:type="dxa"/>
            <w:tcBorders>
              <w:top w:val="single" w:sz="4" w:space="0" w:color="auto"/>
            </w:tcBorders>
          </w:tcPr>
          <w:p w14:paraId="00942A37" w14:textId="77777777" w:rsidR="0020756C" w:rsidRPr="000217C7" w:rsidRDefault="0020756C" w:rsidP="00665906">
            <w:pPr>
              <w:pStyle w:val="Table"/>
              <w:rPr>
                <w:color w:val="000000" w:themeColor="text1"/>
              </w:rPr>
            </w:pPr>
            <w:r w:rsidRPr="000217C7">
              <w:rPr>
                <w:color w:val="000000" w:themeColor="text1"/>
              </w:rPr>
              <w:t>L</w:t>
            </w:r>
          </w:p>
        </w:tc>
        <w:tc>
          <w:tcPr>
            <w:tcW w:w="1436" w:type="dxa"/>
          </w:tcPr>
          <w:p w14:paraId="4F242405" w14:textId="77777777" w:rsidR="0020756C" w:rsidRPr="000217C7" w:rsidRDefault="0020756C" w:rsidP="00665906">
            <w:pPr>
              <w:pStyle w:val="Table"/>
              <w:rPr>
                <w:color w:val="000000" w:themeColor="text1"/>
              </w:rPr>
            </w:pPr>
            <w:r w:rsidRPr="000217C7">
              <w:rPr>
                <w:color w:val="000000" w:themeColor="text1"/>
              </w:rPr>
              <w:t xml:space="preserve">Precentral/ </w:t>
            </w:r>
            <w:proofErr w:type="spellStart"/>
            <w:r w:rsidRPr="000217C7">
              <w:rPr>
                <w:color w:val="000000" w:themeColor="text1"/>
              </w:rPr>
              <w:t>postcental</w:t>
            </w:r>
            <w:proofErr w:type="spellEnd"/>
            <w:r w:rsidRPr="000217C7">
              <w:rPr>
                <w:color w:val="000000" w:themeColor="text1"/>
              </w:rPr>
              <w:t xml:space="preserve"> g.</w:t>
            </w:r>
          </w:p>
        </w:tc>
        <w:tc>
          <w:tcPr>
            <w:tcW w:w="992" w:type="dxa"/>
            <w:vAlign w:val="center"/>
          </w:tcPr>
          <w:p w14:paraId="3886BBD2" w14:textId="77777777" w:rsidR="0020756C" w:rsidRPr="000217C7" w:rsidRDefault="0020756C" w:rsidP="00665906">
            <w:pPr>
              <w:pStyle w:val="Table"/>
              <w:jc w:val="right"/>
              <w:rPr>
                <w:color w:val="000000" w:themeColor="text1"/>
              </w:rPr>
            </w:pPr>
            <w:r w:rsidRPr="000217C7">
              <w:rPr>
                <w:color w:val="000000" w:themeColor="text1"/>
              </w:rPr>
              <w:t>0.009</w:t>
            </w:r>
          </w:p>
        </w:tc>
        <w:tc>
          <w:tcPr>
            <w:tcW w:w="992" w:type="dxa"/>
            <w:vAlign w:val="center"/>
          </w:tcPr>
          <w:p w14:paraId="23E02ABA" w14:textId="77777777" w:rsidR="0020756C" w:rsidRPr="000217C7" w:rsidRDefault="0020756C" w:rsidP="00665906">
            <w:pPr>
              <w:pStyle w:val="Table"/>
              <w:jc w:val="center"/>
              <w:rPr>
                <w:color w:val="000000" w:themeColor="text1"/>
              </w:rPr>
            </w:pPr>
            <w:r w:rsidRPr="000217C7">
              <w:rPr>
                <w:color w:val="000000" w:themeColor="text1"/>
              </w:rPr>
              <w:t>1272.38</w:t>
            </w:r>
          </w:p>
        </w:tc>
        <w:tc>
          <w:tcPr>
            <w:tcW w:w="567" w:type="dxa"/>
            <w:vAlign w:val="center"/>
          </w:tcPr>
          <w:p w14:paraId="69D3E754" w14:textId="77777777" w:rsidR="0020756C" w:rsidRPr="000217C7" w:rsidRDefault="0020756C" w:rsidP="00665906">
            <w:pPr>
              <w:pStyle w:val="Table"/>
              <w:jc w:val="center"/>
              <w:rPr>
                <w:color w:val="000000" w:themeColor="text1"/>
              </w:rPr>
            </w:pPr>
            <w:r w:rsidRPr="000217C7">
              <w:rPr>
                <w:color w:val="000000" w:themeColor="text1"/>
              </w:rPr>
              <w:t>-52</w:t>
            </w:r>
          </w:p>
        </w:tc>
        <w:tc>
          <w:tcPr>
            <w:tcW w:w="567" w:type="dxa"/>
            <w:vAlign w:val="center"/>
          </w:tcPr>
          <w:p w14:paraId="015E5F7B" w14:textId="77777777" w:rsidR="0020756C" w:rsidRPr="000217C7" w:rsidRDefault="0020756C" w:rsidP="00665906">
            <w:pPr>
              <w:pStyle w:val="Table"/>
              <w:jc w:val="center"/>
              <w:rPr>
                <w:color w:val="000000" w:themeColor="text1"/>
              </w:rPr>
            </w:pPr>
            <w:r w:rsidRPr="000217C7">
              <w:rPr>
                <w:color w:val="000000" w:themeColor="text1"/>
              </w:rPr>
              <w:t>-8</w:t>
            </w:r>
          </w:p>
        </w:tc>
        <w:tc>
          <w:tcPr>
            <w:tcW w:w="567" w:type="dxa"/>
            <w:vAlign w:val="center"/>
          </w:tcPr>
          <w:p w14:paraId="1C819C9F" w14:textId="77777777" w:rsidR="0020756C" w:rsidRPr="000217C7" w:rsidRDefault="0020756C" w:rsidP="00665906">
            <w:pPr>
              <w:pStyle w:val="Table"/>
              <w:jc w:val="center"/>
              <w:rPr>
                <w:color w:val="000000" w:themeColor="text1"/>
              </w:rPr>
            </w:pPr>
            <w:r w:rsidRPr="000217C7">
              <w:rPr>
                <w:color w:val="000000" w:themeColor="text1"/>
              </w:rPr>
              <w:t>22</w:t>
            </w:r>
          </w:p>
        </w:tc>
        <w:tc>
          <w:tcPr>
            <w:tcW w:w="709" w:type="dxa"/>
            <w:vAlign w:val="center"/>
          </w:tcPr>
          <w:p w14:paraId="33623650" w14:textId="77777777" w:rsidR="0020756C" w:rsidRPr="000217C7" w:rsidRDefault="0020756C" w:rsidP="00665906">
            <w:pPr>
              <w:pStyle w:val="Table"/>
              <w:jc w:val="center"/>
              <w:rPr>
                <w:color w:val="000000" w:themeColor="text1"/>
              </w:rPr>
            </w:pPr>
            <w:r w:rsidRPr="000217C7">
              <w:rPr>
                <w:color w:val="000000" w:themeColor="text1"/>
              </w:rPr>
              <w:t>4.52</w:t>
            </w:r>
          </w:p>
        </w:tc>
        <w:tc>
          <w:tcPr>
            <w:tcW w:w="1701" w:type="dxa"/>
            <w:tcBorders>
              <w:right w:val="single" w:sz="4" w:space="0" w:color="auto"/>
            </w:tcBorders>
          </w:tcPr>
          <w:p w14:paraId="59CA6308" w14:textId="77777777" w:rsidR="0020756C" w:rsidRPr="000217C7" w:rsidRDefault="0020756C" w:rsidP="00665906">
            <w:pPr>
              <w:pStyle w:val="Table"/>
              <w:rPr>
                <w:color w:val="000000" w:themeColor="text1"/>
              </w:rPr>
            </w:pPr>
            <w:r w:rsidRPr="000217C7">
              <w:rPr>
                <w:color w:val="000000" w:themeColor="text1"/>
              </w:rPr>
              <w:t>R parietal operculum</w:t>
            </w:r>
          </w:p>
        </w:tc>
        <w:tc>
          <w:tcPr>
            <w:tcW w:w="992" w:type="dxa"/>
            <w:tcBorders>
              <w:left w:val="single" w:sz="4" w:space="0" w:color="auto"/>
            </w:tcBorders>
            <w:vAlign w:val="center"/>
          </w:tcPr>
          <w:p w14:paraId="4446026F" w14:textId="77777777" w:rsidR="0020756C" w:rsidRPr="000217C7" w:rsidRDefault="0020756C" w:rsidP="00665906">
            <w:pPr>
              <w:pStyle w:val="Table"/>
              <w:rPr>
                <w:color w:val="000000" w:themeColor="text1"/>
              </w:rPr>
            </w:pPr>
            <w:r w:rsidRPr="000217C7">
              <w:rPr>
                <w:color w:val="000000" w:themeColor="text1"/>
              </w:rPr>
              <w:t>3.58</w:t>
            </w:r>
          </w:p>
        </w:tc>
        <w:tc>
          <w:tcPr>
            <w:tcW w:w="1134" w:type="dxa"/>
            <w:tcBorders>
              <w:left w:val="single" w:sz="4" w:space="0" w:color="auto"/>
            </w:tcBorders>
            <w:vAlign w:val="center"/>
          </w:tcPr>
          <w:p w14:paraId="4CD83A49" w14:textId="77777777" w:rsidR="0020756C" w:rsidRPr="000217C7" w:rsidRDefault="0020756C" w:rsidP="00665906">
            <w:pPr>
              <w:pStyle w:val="Table"/>
              <w:rPr>
                <w:color w:val="000000" w:themeColor="text1"/>
              </w:rPr>
            </w:pPr>
            <w:r w:rsidRPr="000217C7">
              <w:rPr>
                <w:color w:val="000000" w:themeColor="text1"/>
              </w:rPr>
              <w:t>-1.14</w:t>
            </w:r>
          </w:p>
        </w:tc>
      </w:tr>
      <w:tr w:rsidR="000217C7" w:rsidRPr="000217C7" w14:paraId="3D47DBD6" w14:textId="77777777" w:rsidTr="00665906">
        <w:trPr>
          <w:trHeight w:val="255"/>
        </w:trPr>
        <w:tc>
          <w:tcPr>
            <w:tcW w:w="544" w:type="dxa"/>
          </w:tcPr>
          <w:p w14:paraId="380AD5D6" w14:textId="77777777" w:rsidR="0020756C" w:rsidRPr="000217C7" w:rsidRDefault="0020756C" w:rsidP="00665906">
            <w:pPr>
              <w:pStyle w:val="Table"/>
              <w:rPr>
                <w:color w:val="000000" w:themeColor="text1"/>
              </w:rPr>
            </w:pPr>
            <w:r w:rsidRPr="000217C7">
              <w:rPr>
                <w:color w:val="000000" w:themeColor="text1"/>
              </w:rPr>
              <w:t>R</w:t>
            </w:r>
          </w:p>
        </w:tc>
        <w:tc>
          <w:tcPr>
            <w:tcW w:w="1436" w:type="dxa"/>
            <w:vAlign w:val="center"/>
          </w:tcPr>
          <w:p w14:paraId="12BA5593" w14:textId="77777777" w:rsidR="0020756C" w:rsidRPr="000217C7" w:rsidRDefault="0020756C" w:rsidP="00665906">
            <w:pPr>
              <w:pStyle w:val="Table"/>
              <w:rPr>
                <w:color w:val="000000" w:themeColor="text1"/>
              </w:rPr>
            </w:pPr>
            <w:r w:rsidRPr="000217C7">
              <w:rPr>
                <w:color w:val="000000" w:themeColor="text1"/>
              </w:rPr>
              <w:t>Fusiform gyrus</w:t>
            </w:r>
          </w:p>
        </w:tc>
        <w:tc>
          <w:tcPr>
            <w:tcW w:w="992" w:type="dxa"/>
            <w:vAlign w:val="center"/>
          </w:tcPr>
          <w:p w14:paraId="1171B249" w14:textId="77777777" w:rsidR="0020756C" w:rsidRPr="000217C7" w:rsidRDefault="0020756C" w:rsidP="00665906">
            <w:pPr>
              <w:pStyle w:val="Table"/>
              <w:jc w:val="right"/>
              <w:rPr>
                <w:color w:val="000000" w:themeColor="text1"/>
              </w:rPr>
            </w:pPr>
            <w:r w:rsidRPr="000217C7">
              <w:rPr>
                <w:color w:val="000000" w:themeColor="text1"/>
              </w:rPr>
              <w:t>&lt; 0.001</w:t>
            </w:r>
          </w:p>
        </w:tc>
        <w:tc>
          <w:tcPr>
            <w:tcW w:w="992" w:type="dxa"/>
            <w:vAlign w:val="center"/>
          </w:tcPr>
          <w:p w14:paraId="51D151BE" w14:textId="77777777" w:rsidR="0020756C" w:rsidRPr="000217C7" w:rsidRDefault="0020756C" w:rsidP="00665906">
            <w:pPr>
              <w:pStyle w:val="Table"/>
              <w:jc w:val="center"/>
              <w:rPr>
                <w:color w:val="000000" w:themeColor="text1"/>
              </w:rPr>
            </w:pPr>
            <w:r w:rsidRPr="000217C7">
              <w:rPr>
                <w:color w:val="000000" w:themeColor="text1"/>
              </w:rPr>
              <w:t>1478.25</w:t>
            </w:r>
          </w:p>
        </w:tc>
        <w:tc>
          <w:tcPr>
            <w:tcW w:w="567" w:type="dxa"/>
            <w:vAlign w:val="center"/>
          </w:tcPr>
          <w:p w14:paraId="6639BAD7" w14:textId="77777777" w:rsidR="0020756C" w:rsidRPr="000217C7" w:rsidRDefault="0020756C" w:rsidP="00665906">
            <w:pPr>
              <w:pStyle w:val="Table"/>
              <w:jc w:val="center"/>
              <w:rPr>
                <w:color w:val="000000" w:themeColor="text1"/>
              </w:rPr>
            </w:pPr>
            <w:r w:rsidRPr="000217C7">
              <w:rPr>
                <w:color w:val="000000" w:themeColor="text1"/>
              </w:rPr>
              <w:t>32</w:t>
            </w:r>
          </w:p>
        </w:tc>
        <w:tc>
          <w:tcPr>
            <w:tcW w:w="567" w:type="dxa"/>
            <w:vAlign w:val="center"/>
          </w:tcPr>
          <w:p w14:paraId="4FC1BB9F" w14:textId="77777777" w:rsidR="0020756C" w:rsidRPr="000217C7" w:rsidRDefault="0020756C" w:rsidP="00665906">
            <w:pPr>
              <w:pStyle w:val="Table"/>
              <w:jc w:val="center"/>
              <w:rPr>
                <w:color w:val="000000" w:themeColor="text1"/>
              </w:rPr>
            </w:pPr>
            <w:r w:rsidRPr="000217C7">
              <w:rPr>
                <w:color w:val="000000" w:themeColor="text1"/>
              </w:rPr>
              <w:t>-60</w:t>
            </w:r>
          </w:p>
        </w:tc>
        <w:tc>
          <w:tcPr>
            <w:tcW w:w="567" w:type="dxa"/>
            <w:vAlign w:val="center"/>
          </w:tcPr>
          <w:p w14:paraId="5647A3B8" w14:textId="77777777" w:rsidR="0020756C" w:rsidRPr="000217C7" w:rsidRDefault="0020756C" w:rsidP="00665906">
            <w:pPr>
              <w:pStyle w:val="Table"/>
              <w:jc w:val="center"/>
              <w:rPr>
                <w:color w:val="000000" w:themeColor="text1"/>
              </w:rPr>
            </w:pPr>
            <w:r w:rsidRPr="000217C7">
              <w:rPr>
                <w:color w:val="000000" w:themeColor="text1"/>
              </w:rPr>
              <w:t>-14</w:t>
            </w:r>
          </w:p>
        </w:tc>
        <w:tc>
          <w:tcPr>
            <w:tcW w:w="709" w:type="dxa"/>
            <w:vAlign w:val="center"/>
          </w:tcPr>
          <w:p w14:paraId="1560A556" w14:textId="77777777" w:rsidR="0020756C" w:rsidRPr="000217C7" w:rsidRDefault="0020756C" w:rsidP="00665906">
            <w:pPr>
              <w:pStyle w:val="Table"/>
              <w:jc w:val="center"/>
              <w:rPr>
                <w:color w:val="000000" w:themeColor="text1"/>
              </w:rPr>
            </w:pPr>
            <w:r w:rsidRPr="000217C7">
              <w:rPr>
                <w:color w:val="000000" w:themeColor="text1"/>
              </w:rPr>
              <w:t>-4.64</w:t>
            </w:r>
          </w:p>
        </w:tc>
        <w:tc>
          <w:tcPr>
            <w:tcW w:w="1701" w:type="dxa"/>
            <w:tcBorders>
              <w:right w:val="single" w:sz="4" w:space="0" w:color="auto"/>
            </w:tcBorders>
          </w:tcPr>
          <w:p w14:paraId="37B37F67" w14:textId="77777777" w:rsidR="0020756C" w:rsidRPr="000217C7" w:rsidRDefault="0020756C" w:rsidP="00665906">
            <w:pPr>
              <w:pStyle w:val="Table"/>
              <w:rPr>
                <w:color w:val="000000" w:themeColor="text1"/>
              </w:rPr>
            </w:pPr>
            <w:r w:rsidRPr="000217C7">
              <w:rPr>
                <w:color w:val="000000" w:themeColor="text1"/>
              </w:rPr>
              <w:t>L orbital gyrus</w:t>
            </w:r>
          </w:p>
        </w:tc>
        <w:tc>
          <w:tcPr>
            <w:tcW w:w="992" w:type="dxa"/>
            <w:tcBorders>
              <w:left w:val="single" w:sz="4" w:space="0" w:color="auto"/>
            </w:tcBorders>
            <w:vAlign w:val="center"/>
          </w:tcPr>
          <w:p w14:paraId="7C2B5DDE" w14:textId="77777777" w:rsidR="0020756C" w:rsidRPr="000217C7" w:rsidRDefault="0020756C" w:rsidP="00665906">
            <w:pPr>
              <w:pStyle w:val="Table"/>
              <w:rPr>
                <w:color w:val="000000" w:themeColor="text1"/>
              </w:rPr>
            </w:pPr>
            <w:r w:rsidRPr="000217C7">
              <w:rPr>
                <w:color w:val="000000" w:themeColor="text1"/>
              </w:rPr>
              <w:t>-2.52</w:t>
            </w:r>
          </w:p>
        </w:tc>
        <w:tc>
          <w:tcPr>
            <w:tcW w:w="1134" w:type="dxa"/>
            <w:tcBorders>
              <w:left w:val="single" w:sz="4" w:space="0" w:color="auto"/>
            </w:tcBorders>
            <w:vAlign w:val="center"/>
          </w:tcPr>
          <w:p w14:paraId="26BD0A7B" w14:textId="77777777" w:rsidR="0020756C" w:rsidRPr="000217C7" w:rsidRDefault="0020756C" w:rsidP="00665906">
            <w:pPr>
              <w:pStyle w:val="Table"/>
              <w:rPr>
                <w:color w:val="000000" w:themeColor="text1"/>
              </w:rPr>
            </w:pPr>
            <w:r w:rsidRPr="000217C7">
              <w:rPr>
                <w:color w:val="000000" w:themeColor="text1"/>
              </w:rPr>
              <w:t>1.87</w:t>
            </w:r>
          </w:p>
        </w:tc>
      </w:tr>
      <w:tr w:rsidR="000217C7" w:rsidRPr="000217C7" w14:paraId="30DC3707" w14:textId="77777777" w:rsidTr="00665906">
        <w:trPr>
          <w:trHeight w:val="255"/>
        </w:trPr>
        <w:tc>
          <w:tcPr>
            <w:tcW w:w="544" w:type="dxa"/>
          </w:tcPr>
          <w:p w14:paraId="08C981B4" w14:textId="77777777" w:rsidR="0020756C" w:rsidRPr="000217C7" w:rsidRDefault="0020756C" w:rsidP="00665906">
            <w:pPr>
              <w:pStyle w:val="Table"/>
              <w:rPr>
                <w:color w:val="000000" w:themeColor="text1"/>
              </w:rPr>
            </w:pPr>
            <w:r w:rsidRPr="000217C7">
              <w:rPr>
                <w:color w:val="000000" w:themeColor="text1"/>
              </w:rPr>
              <w:t>R</w:t>
            </w:r>
          </w:p>
        </w:tc>
        <w:tc>
          <w:tcPr>
            <w:tcW w:w="1436" w:type="dxa"/>
            <w:vAlign w:val="center"/>
          </w:tcPr>
          <w:p w14:paraId="35818B84" w14:textId="77777777" w:rsidR="0020756C" w:rsidRPr="000217C7" w:rsidRDefault="0020756C" w:rsidP="00665906">
            <w:pPr>
              <w:pStyle w:val="Table"/>
              <w:rPr>
                <w:color w:val="000000" w:themeColor="text1"/>
              </w:rPr>
            </w:pPr>
            <w:r w:rsidRPr="000217C7">
              <w:rPr>
                <w:color w:val="000000" w:themeColor="text1"/>
              </w:rPr>
              <w:t>Lat. occipital cortex</w:t>
            </w:r>
          </w:p>
        </w:tc>
        <w:tc>
          <w:tcPr>
            <w:tcW w:w="992" w:type="dxa"/>
            <w:vAlign w:val="center"/>
          </w:tcPr>
          <w:p w14:paraId="45D2187A" w14:textId="77777777" w:rsidR="0020756C" w:rsidRPr="000217C7" w:rsidRDefault="0020756C" w:rsidP="00665906">
            <w:pPr>
              <w:pStyle w:val="Table"/>
              <w:jc w:val="right"/>
              <w:rPr>
                <w:color w:val="000000" w:themeColor="text1"/>
              </w:rPr>
            </w:pPr>
            <w:r w:rsidRPr="000217C7">
              <w:rPr>
                <w:color w:val="000000" w:themeColor="text1"/>
              </w:rPr>
              <w:t>&lt; 0.001</w:t>
            </w:r>
          </w:p>
        </w:tc>
        <w:tc>
          <w:tcPr>
            <w:tcW w:w="992" w:type="dxa"/>
            <w:vAlign w:val="center"/>
          </w:tcPr>
          <w:p w14:paraId="2801CBC6" w14:textId="77777777" w:rsidR="0020756C" w:rsidRPr="000217C7" w:rsidRDefault="0020756C" w:rsidP="00665906">
            <w:pPr>
              <w:pStyle w:val="Table"/>
              <w:jc w:val="center"/>
              <w:rPr>
                <w:color w:val="000000" w:themeColor="text1"/>
              </w:rPr>
            </w:pPr>
            <w:r w:rsidRPr="000217C7">
              <w:rPr>
                <w:color w:val="000000" w:themeColor="text1"/>
              </w:rPr>
              <w:t>806.63</w:t>
            </w:r>
          </w:p>
        </w:tc>
        <w:tc>
          <w:tcPr>
            <w:tcW w:w="567" w:type="dxa"/>
            <w:vAlign w:val="center"/>
          </w:tcPr>
          <w:p w14:paraId="67F34165" w14:textId="77777777" w:rsidR="0020756C" w:rsidRPr="000217C7" w:rsidRDefault="0020756C" w:rsidP="00665906">
            <w:pPr>
              <w:pStyle w:val="Table"/>
              <w:jc w:val="center"/>
              <w:rPr>
                <w:color w:val="000000" w:themeColor="text1"/>
              </w:rPr>
            </w:pPr>
            <w:r w:rsidRPr="000217C7">
              <w:rPr>
                <w:color w:val="000000" w:themeColor="text1"/>
              </w:rPr>
              <w:t>32</w:t>
            </w:r>
          </w:p>
        </w:tc>
        <w:tc>
          <w:tcPr>
            <w:tcW w:w="567" w:type="dxa"/>
            <w:vAlign w:val="center"/>
          </w:tcPr>
          <w:p w14:paraId="7A20B10E" w14:textId="77777777" w:rsidR="0020756C" w:rsidRPr="000217C7" w:rsidRDefault="0020756C" w:rsidP="00665906">
            <w:pPr>
              <w:pStyle w:val="Table"/>
              <w:jc w:val="center"/>
              <w:rPr>
                <w:color w:val="000000" w:themeColor="text1"/>
              </w:rPr>
            </w:pPr>
            <w:r w:rsidRPr="000217C7">
              <w:rPr>
                <w:color w:val="000000" w:themeColor="text1"/>
              </w:rPr>
              <w:t>-70</w:t>
            </w:r>
          </w:p>
        </w:tc>
        <w:tc>
          <w:tcPr>
            <w:tcW w:w="567" w:type="dxa"/>
            <w:vAlign w:val="center"/>
          </w:tcPr>
          <w:p w14:paraId="53355F78" w14:textId="77777777" w:rsidR="0020756C" w:rsidRPr="000217C7" w:rsidRDefault="0020756C" w:rsidP="00665906">
            <w:pPr>
              <w:pStyle w:val="Table"/>
              <w:jc w:val="center"/>
              <w:rPr>
                <w:color w:val="000000" w:themeColor="text1"/>
              </w:rPr>
            </w:pPr>
            <w:r w:rsidRPr="000217C7">
              <w:rPr>
                <w:color w:val="000000" w:themeColor="text1"/>
              </w:rPr>
              <w:t>18</w:t>
            </w:r>
          </w:p>
        </w:tc>
        <w:tc>
          <w:tcPr>
            <w:tcW w:w="709" w:type="dxa"/>
            <w:vAlign w:val="center"/>
          </w:tcPr>
          <w:p w14:paraId="419C6253" w14:textId="77777777" w:rsidR="0020756C" w:rsidRPr="000217C7" w:rsidRDefault="0020756C" w:rsidP="00665906">
            <w:pPr>
              <w:pStyle w:val="Table"/>
              <w:jc w:val="center"/>
              <w:rPr>
                <w:color w:val="000000" w:themeColor="text1"/>
              </w:rPr>
            </w:pPr>
            <w:r w:rsidRPr="000217C7">
              <w:rPr>
                <w:color w:val="000000" w:themeColor="text1"/>
              </w:rPr>
              <w:t>-4.51</w:t>
            </w:r>
          </w:p>
        </w:tc>
        <w:tc>
          <w:tcPr>
            <w:tcW w:w="1701" w:type="dxa"/>
            <w:tcBorders>
              <w:right w:val="single" w:sz="4" w:space="0" w:color="auto"/>
            </w:tcBorders>
          </w:tcPr>
          <w:p w14:paraId="2774DAED" w14:textId="77777777" w:rsidR="0020756C" w:rsidRPr="000217C7" w:rsidRDefault="0020756C" w:rsidP="00665906">
            <w:pPr>
              <w:pStyle w:val="Table"/>
              <w:rPr>
                <w:color w:val="000000" w:themeColor="text1"/>
              </w:rPr>
            </w:pPr>
            <w:r w:rsidRPr="000217C7">
              <w:rPr>
                <w:color w:val="000000" w:themeColor="text1"/>
              </w:rPr>
              <w:t>L orbital gyrus</w:t>
            </w:r>
          </w:p>
        </w:tc>
        <w:tc>
          <w:tcPr>
            <w:tcW w:w="992" w:type="dxa"/>
            <w:tcBorders>
              <w:left w:val="single" w:sz="4" w:space="0" w:color="auto"/>
            </w:tcBorders>
            <w:vAlign w:val="center"/>
          </w:tcPr>
          <w:p w14:paraId="48FF8898" w14:textId="77777777" w:rsidR="0020756C" w:rsidRPr="000217C7" w:rsidRDefault="0020756C" w:rsidP="00665906">
            <w:pPr>
              <w:pStyle w:val="Table"/>
              <w:rPr>
                <w:color w:val="000000" w:themeColor="text1"/>
              </w:rPr>
            </w:pPr>
            <w:r w:rsidRPr="000217C7">
              <w:rPr>
                <w:color w:val="000000" w:themeColor="text1"/>
              </w:rPr>
              <w:t>-2.15</w:t>
            </w:r>
          </w:p>
        </w:tc>
        <w:tc>
          <w:tcPr>
            <w:tcW w:w="1134" w:type="dxa"/>
            <w:tcBorders>
              <w:left w:val="single" w:sz="4" w:space="0" w:color="auto"/>
            </w:tcBorders>
            <w:vAlign w:val="center"/>
          </w:tcPr>
          <w:p w14:paraId="0E280889" w14:textId="77777777" w:rsidR="0020756C" w:rsidRPr="000217C7" w:rsidRDefault="0020756C" w:rsidP="00665906">
            <w:pPr>
              <w:pStyle w:val="Table"/>
              <w:rPr>
                <w:color w:val="000000" w:themeColor="text1"/>
              </w:rPr>
            </w:pPr>
            <w:r w:rsidRPr="000217C7">
              <w:rPr>
                <w:color w:val="000000" w:themeColor="text1"/>
              </w:rPr>
              <w:t>2.58</w:t>
            </w:r>
          </w:p>
        </w:tc>
      </w:tr>
      <w:tr w:rsidR="000217C7" w:rsidRPr="000217C7" w14:paraId="493A0D51" w14:textId="77777777" w:rsidTr="00665906">
        <w:trPr>
          <w:trHeight w:val="255"/>
        </w:trPr>
        <w:tc>
          <w:tcPr>
            <w:tcW w:w="544" w:type="dxa"/>
          </w:tcPr>
          <w:p w14:paraId="0B37D76C" w14:textId="77777777" w:rsidR="0020756C" w:rsidRPr="000217C7" w:rsidRDefault="0020756C" w:rsidP="00665906">
            <w:pPr>
              <w:pStyle w:val="Table"/>
              <w:rPr>
                <w:color w:val="000000" w:themeColor="text1"/>
              </w:rPr>
            </w:pPr>
            <w:r w:rsidRPr="000217C7">
              <w:rPr>
                <w:color w:val="000000" w:themeColor="text1"/>
              </w:rPr>
              <w:t>L</w:t>
            </w:r>
          </w:p>
        </w:tc>
        <w:tc>
          <w:tcPr>
            <w:tcW w:w="1436" w:type="dxa"/>
            <w:vAlign w:val="center"/>
          </w:tcPr>
          <w:p w14:paraId="784FEF78" w14:textId="77777777" w:rsidR="0020756C" w:rsidRPr="000217C7" w:rsidRDefault="0020756C" w:rsidP="00665906">
            <w:pPr>
              <w:pStyle w:val="Table"/>
              <w:rPr>
                <w:color w:val="000000" w:themeColor="text1"/>
              </w:rPr>
            </w:pPr>
            <w:r w:rsidRPr="000217C7">
              <w:rPr>
                <w:color w:val="000000" w:themeColor="text1"/>
              </w:rPr>
              <w:t>Lat. occipital cortex</w:t>
            </w:r>
          </w:p>
        </w:tc>
        <w:tc>
          <w:tcPr>
            <w:tcW w:w="992" w:type="dxa"/>
            <w:vAlign w:val="center"/>
          </w:tcPr>
          <w:p w14:paraId="2DA2D95D" w14:textId="77777777" w:rsidR="0020756C" w:rsidRPr="000217C7" w:rsidRDefault="0020756C" w:rsidP="00665906">
            <w:pPr>
              <w:pStyle w:val="Table"/>
              <w:jc w:val="right"/>
              <w:rPr>
                <w:color w:val="000000" w:themeColor="text1"/>
              </w:rPr>
            </w:pPr>
            <w:r w:rsidRPr="000217C7">
              <w:rPr>
                <w:color w:val="000000" w:themeColor="text1"/>
              </w:rPr>
              <w:t>&lt; 0.001</w:t>
            </w:r>
          </w:p>
        </w:tc>
        <w:tc>
          <w:tcPr>
            <w:tcW w:w="992" w:type="dxa"/>
            <w:vAlign w:val="center"/>
          </w:tcPr>
          <w:p w14:paraId="5B79878B" w14:textId="77777777" w:rsidR="0020756C" w:rsidRPr="000217C7" w:rsidRDefault="0020756C" w:rsidP="00665906">
            <w:pPr>
              <w:pStyle w:val="Table"/>
              <w:jc w:val="center"/>
              <w:rPr>
                <w:color w:val="000000" w:themeColor="text1"/>
              </w:rPr>
            </w:pPr>
            <w:r w:rsidRPr="000217C7">
              <w:rPr>
                <w:color w:val="000000" w:themeColor="text1"/>
              </w:rPr>
              <w:t>688.5</w:t>
            </w:r>
          </w:p>
        </w:tc>
        <w:tc>
          <w:tcPr>
            <w:tcW w:w="567" w:type="dxa"/>
            <w:vAlign w:val="center"/>
          </w:tcPr>
          <w:p w14:paraId="6051D9A1" w14:textId="77777777" w:rsidR="0020756C" w:rsidRPr="000217C7" w:rsidRDefault="0020756C" w:rsidP="00665906">
            <w:pPr>
              <w:pStyle w:val="Table"/>
              <w:jc w:val="center"/>
              <w:rPr>
                <w:color w:val="000000" w:themeColor="text1"/>
              </w:rPr>
            </w:pPr>
            <w:r w:rsidRPr="000217C7">
              <w:rPr>
                <w:color w:val="000000" w:themeColor="text1"/>
              </w:rPr>
              <w:t>-22</w:t>
            </w:r>
          </w:p>
        </w:tc>
        <w:tc>
          <w:tcPr>
            <w:tcW w:w="567" w:type="dxa"/>
            <w:vAlign w:val="center"/>
          </w:tcPr>
          <w:p w14:paraId="3F16D22D" w14:textId="77777777" w:rsidR="0020756C" w:rsidRPr="000217C7" w:rsidRDefault="0020756C" w:rsidP="00665906">
            <w:pPr>
              <w:pStyle w:val="Table"/>
              <w:jc w:val="center"/>
              <w:rPr>
                <w:color w:val="000000" w:themeColor="text1"/>
              </w:rPr>
            </w:pPr>
            <w:r w:rsidRPr="000217C7">
              <w:rPr>
                <w:color w:val="000000" w:themeColor="text1"/>
              </w:rPr>
              <w:t>-82</w:t>
            </w:r>
          </w:p>
        </w:tc>
        <w:tc>
          <w:tcPr>
            <w:tcW w:w="567" w:type="dxa"/>
            <w:vAlign w:val="center"/>
          </w:tcPr>
          <w:p w14:paraId="6989D645" w14:textId="77777777" w:rsidR="0020756C" w:rsidRPr="000217C7" w:rsidRDefault="0020756C" w:rsidP="00665906">
            <w:pPr>
              <w:pStyle w:val="Table"/>
              <w:jc w:val="center"/>
              <w:rPr>
                <w:color w:val="000000" w:themeColor="text1"/>
              </w:rPr>
            </w:pPr>
            <w:r w:rsidRPr="000217C7">
              <w:rPr>
                <w:color w:val="000000" w:themeColor="text1"/>
              </w:rPr>
              <w:t>26</w:t>
            </w:r>
          </w:p>
        </w:tc>
        <w:tc>
          <w:tcPr>
            <w:tcW w:w="709" w:type="dxa"/>
            <w:vAlign w:val="center"/>
          </w:tcPr>
          <w:p w14:paraId="67EE11AC" w14:textId="77777777" w:rsidR="0020756C" w:rsidRPr="000217C7" w:rsidRDefault="0020756C" w:rsidP="00665906">
            <w:pPr>
              <w:pStyle w:val="Table"/>
              <w:jc w:val="center"/>
              <w:rPr>
                <w:color w:val="000000" w:themeColor="text1"/>
              </w:rPr>
            </w:pPr>
            <w:r w:rsidRPr="000217C7">
              <w:rPr>
                <w:color w:val="000000" w:themeColor="text1"/>
              </w:rPr>
              <w:t>-4.34</w:t>
            </w:r>
          </w:p>
        </w:tc>
        <w:tc>
          <w:tcPr>
            <w:tcW w:w="1701" w:type="dxa"/>
            <w:tcBorders>
              <w:right w:val="single" w:sz="4" w:space="0" w:color="auto"/>
            </w:tcBorders>
          </w:tcPr>
          <w:p w14:paraId="3328CFF2" w14:textId="77777777" w:rsidR="0020756C" w:rsidRPr="000217C7" w:rsidRDefault="0020756C" w:rsidP="00665906">
            <w:pPr>
              <w:pStyle w:val="Table"/>
              <w:rPr>
                <w:color w:val="000000" w:themeColor="text1"/>
              </w:rPr>
            </w:pPr>
            <w:r w:rsidRPr="000217C7">
              <w:rPr>
                <w:color w:val="000000" w:themeColor="text1"/>
              </w:rPr>
              <w:t>L orbital gyrus</w:t>
            </w:r>
          </w:p>
        </w:tc>
        <w:tc>
          <w:tcPr>
            <w:tcW w:w="992" w:type="dxa"/>
            <w:tcBorders>
              <w:left w:val="single" w:sz="4" w:space="0" w:color="auto"/>
            </w:tcBorders>
            <w:vAlign w:val="center"/>
          </w:tcPr>
          <w:p w14:paraId="3FBE564C" w14:textId="77777777" w:rsidR="0020756C" w:rsidRPr="000217C7" w:rsidRDefault="0020756C" w:rsidP="00665906">
            <w:pPr>
              <w:pStyle w:val="Table"/>
              <w:rPr>
                <w:color w:val="000000" w:themeColor="text1"/>
              </w:rPr>
            </w:pPr>
            <w:r w:rsidRPr="000217C7">
              <w:rPr>
                <w:color w:val="000000" w:themeColor="text1"/>
              </w:rPr>
              <w:t>-2.14</w:t>
            </w:r>
          </w:p>
        </w:tc>
        <w:tc>
          <w:tcPr>
            <w:tcW w:w="1134" w:type="dxa"/>
            <w:tcBorders>
              <w:left w:val="single" w:sz="4" w:space="0" w:color="auto"/>
            </w:tcBorders>
            <w:vAlign w:val="center"/>
          </w:tcPr>
          <w:p w14:paraId="04018438" w14:textId="77777777" w:rsidR="0020756C" w:rsidRPr="000217C7" w:rsidRDefault="0020756C" w:rsidP="00665906">
            <w:pPr>
              <w:pStyle w:val="Table"/>
              <w:rPr>
                <w:color w:val="000000" w:themeColor="text1"/>
              </w:rPr>
            </w:pPr>
            <w:r w:rsidRPr="000217C7">
              <w:rPr>
                <w:color w:val="000000" w:themeColor="text1"/>
              </w:rPr>
              <w:t>2.70</w:t>
            </w:r>
          </w:p>
        </w:tc>
      </w:tr>
    </w:tbl>
    <w:p w14:paraId="71BA68B3" w14:textId="6310BB37" w:rsidR="00264814" w:rsidRPr="000217C7" w:rsidRDefault="0020756C" w:rsidP="00DA6ABB">
      <w:pPr>
        <w:pStyle w:val="Caption"/>
        <w:rPr>
          <w:color w:val="000000" w:themeColor="text1"/>
        </w:rPr>
      </w:pPr>
      <w:r w:rsidRPr="000217C7">
        <w:rPr>
          <w:color w:val="000000" w:themeColor="text1"/>
        </w:rPr>
        <w:t xml:space="preserve">Neural correlates of the Go/No-Go </w:t>
      </w:r>
      <w:proofErr w:type="spellStart"/>
      <w:r w:rsidRPr="000217C7">
        <w:rPr>
          <w:color w:val="000000" w:themeColor="text1"/>
        </w:rPr>
        <w:t>taks</w:t>
      </w:r>
      <w:proofErr w:type="spellEnd"/>
      <w:r w:rsidRPr="000217C7">
        <w:rPr>
          <w:color w:val="000000" w:themeColor="text1"/>
        </w:rPr>
        <w:t>.</w:t>
      </w:r>
    </w:p>
    <w:p w14:paraId="174F7F70" w14:textId="77777777" w:rsidR="00360F1F" w:rsidRPr="000217C7" w:rsidRDefault="00360F1F" w:rsidP="00360F1F">
      <w:pPr>
        <w:pStyle w:val="Heading3"/>
      </w:pPr>
      <w:r w:rsidRPr="000217C7">
        <w:t>3.3 Neural correlates of BMI</w:t>
      </w:r>
    </w:p>
    <w:p w14:paraId="5FD89F29" w14:textId="77777777" w:rsidR="00222CC3" w:rsidRPr="000217C7" w:rsidRDefault="00360F1F" w:rsidP="00360F1F">
      <w:pPr>
        <w:pStyle w:val="Heading4"/>
        <w:rPr>
          <w:rFonts w:eastAsia="Times New Roman"/>
        </w:rPr>
      </w:pPr>
      <w:r w:rsidRPr="000217C7">
        <w:rPr>
          <w:rFonts w:eastAsia="Times New Roman"/>
        </w:rPr>
        <w:t xml:space="preserve">3.3.1 </w:t>
      </w:r>
      <w:r w:rsidR="00222CC3" w:rsidRPr="000217C7">
        <w:rPr>
          <w:rFonts w:eastAsia="Times New Roman"/>
        </w:rPr>
        <w:t>Correlation between grey matter density and BMI</w:t>
      </w:r>
    </w:p>
    <w:p w14:paraId="195F276C" w14:textId="075526AD" w:rsidR="0017633E" w:rsidRPr="000217C7" w:rsidRDefault="00C709AC" w:rsidP="00140923">
      <w:pPr>
        <w:tabs>
          <w:tab w:val="left" w:pos="2326"/>
        </w:tabs>
        <w:rPr>
          <w:color w:val="000000" w:themeColor="text1"/>
        </w:rPr>
      </w:pPr>
      <w:r w:rsidRPr="000217C7">
        <w:rPr>
          <w:color w:val="000000" w:themeColor="text1"/>
        </w:rPr>
        <w:t xml:space="preserve">The </w:t>
      </w:r>
      <w:r w:rsidR="00BC1218" w:rsidRPr="000217C7">
        <w:rPr>
          <w:color w:val="000000" w:themeColor="text1"/>
        </w:rPr>
        <w:t>VBM on</w:t>
      </w:r>
      <w:r w:rsidRPr="000217C7">
        <w:rPr>
          <w:color w:val="000000" w:themeColor="text1"/>
        </w:rPr>
        <w:t xml:space="preserve"> BMI </w:t>
      </w:r>
      <w:r w:rsidR="00BC1218" w:rsidRPr="000217C7">
        <w:rPr>
          <w:color w:val="000000" w:themeColor="text1"/>
        </w:rPr>
        <w:t xml:space="preserve">(see </w:t>
      </w:r>
      <w:r w:rsidR="00140923" w:rsidRPr="000217C7">
        <w:rPr>
          <w:color w:val="000000" w:themeColor="text1"/>
        </w:rPr>
        <w:t xml:space="preserve">Supplementary </w:t>
      </w:r>
      <w:r w:rsidR="000D57BC" w:rsidRPr="000217C7">
        <w:rPr>
          <w:color w:val="000000" w:themeColor="text1"/>
        </w:rPr>
        <w:t>F</w:t>
      </w:r>
      <w:r w:rsidR="00140923" w:rsidRPr="000217C7">
        <w:rPr>
          <w:color w:val="000000" w:themeColor="text1"/>
        </w:rPr>
        <w:t xml:space="preserve">igure 2 </w:t>
      </w:r>
      <w:r w:rsidR="00836310" w:rsidRPr="000217C7">
        <w:rPr>
          <w:color w:val="000000" w:themeColor="text1"/>
        </w:rPr>
        <w:t>and</w:t>
      </w:r>
      <w:r w:rsidR="00A33169" w:rsidRPr="000217C7">
        <w:rPr>
          <w:color w:val="000000" w:themeColor="text1"/>
        </w:rPr>
        <w:t xml:space="preserve"> </w:t>
      </w:r>
      <w:r w:rsidR="000D57BC" w:rsidRPr="000217C7">
        <w:rPr>
          <w:color w:val="000000" w:themeColor="text1"/>
        </w:rPr>
        <w:t>Supplementary Table 6</w:t>
      </w:r>
      <w:r w:rsidR="00BC1218" w:rsidRPr="000217C7">
        <w:rPr>
          <w:color w:val="000000" w:themeColor="text1"/>
        </w:rPr>
        <w:t xml:space="preserve">) </w:t>
      </w:r>
      <w:r w:rsidRPr="000217C7">
        <w:rPr>
          <w:color w:val="000000" w:themeColor="text1"/>
        </w:rPr>
        <w:t xml:space="preserve">showed </w:t>
      </w:r>
      <w:r w:rsidR="00812FA7" w:rsidRPr="000217C7">
        <w:rPr>
          <w:color w:val="000000" w:themeColor="text1"/>
        </w:rPr>
        <w:t xml:space="preserve">that participants’ BMI </w:t>
      </w:r>
      <w:r w:rsidR="009128F4" w:rsidRPr="000217C7">
        <w:rPr>
          <w:color w:val="000000" w:themeColor="text1"/>
        </w:rPr>
        <w:t xml:space="preserve">positively </w:t>
      </w:r>
      <w:r w:rsidR="00812FA7" w:rsidRPr="000217C7">
        <w:rPr>
          <w:color w:val="000000" w:themeColor="text1"/>
        </w:rPr>
        <w:t xml:space="preserve">correlated </w:t>
      </w:r>
      <w:r w:rsidR="00BC1218" w:rsidRPr="000217C7">
        <w:rPr>
          <w:color w:val="000000" w:themeColor="text1"/>
        </w:rPr>
        <w:t>with</w:t>
      </w:r>
      <w:r w:rsidR="00812FA7" w:rsidRPr="000217C7">
        <w:rPr>
          <w:color w:val="000000" w:themeColor="text1"/>
        </w:rPr>
        <w:t xml:space="preserve"> GM density</w:t>
      </w:r>
      <w:r w:rsidR="0069229D" w:rsidRPr="000217C7">
        <w:rPr>
          <w:color w:val="000000" w:themeColor="text1"/>
        </w:rPr>
        <w:t xml:space="preserve"> in a large subcortical cluster located in the left, and partially right ventral </w:t>
      </w:r>
      <w:r w:rsidR="008E3BD1" w:rsidRPr="000217C7">
        <w:rPr>
          <w:color w:val="000000" w:themeColor="text1"/>
        </w:rPr>
        <w:t>diencephalon</w:t>
      </w:r>
      <w:r w:rsidR="009E6CCB" w:rsidRPr="000217C7">
        <w:rPr>
          <w:color w:val="000000" w:themeColor="text1"/>
        </w:rPr>
        <w:t>, including peaks</w:t>
      </w:r>
      <w:r w:rsidR="00D1361E" w:rsidRPr="000217C7">
        <w:rPr>
          <w:color w:val="000000" w:themeColor="text1"/>
        </w:rPr>
        <w:t xml:space="preserve"> </w:t>
      </w:r>
      <w:r w:rsidR="009E6CCB" w:rsidRPr="000217C7">
        <w:rPr>
          <w:color w:val="000000" w:themeColor="text1"/>
        </w:rPr>
        <w:t>in the left and right hypo</w:t>
      </w:r>
      <w:r w:rsidR="00D1361E" w:rsidRPr="000217C7">
        <w:rPr>
          <w:color w:val="000000" w:themeColor="text1"/>
        </w:rPr>
        <w:t>th</w:t>
      </w:r>
      <w:r w:rsidR="009E6CCB" w:rsidRPr="000217C7">
        <w:rPr>
          <w:color w:val="000000" w:themeColor="text1"/>
        </w:rPr>
        <w:t>alamus</w:t>
      </w:r>
      <w:r w:rsidR="0069229D" w:rsidRPr="000217C7">
        <w:rPr>
          <w:color w:val="000000" w:themeColor="text1"/>
        </w:rPr>
        <w:t>.</w:t>
      </w:r>
    </w:p>
    <w:p w14:paraId="3CB58FB7" w14:textId="77777777" w:rsidR="000A7086" w:rsidRPr="000217C7" w:rsidRDefault="00360F1F" w:rsidP="00360F1F">
      <w:pPr>
        <w:pStyle w:val="Heading4"/>
      </w:pPr>
      <w:bookmarkStart w:id="36" w:name="_Toc528590112"/>
      <w:r w:rsidRPr="000217C7">
        <w:rPr>
          <w:rFonts w:eastAsia="Times New Roman"/>
        </w:rPr>
        <w:t xml:space="preserve">3.3.2 </w:t>
      </w:r>
      <w:r w:rsidR="000A7086" w:rsidRPr="000217C7">
        <w:t>Body Mass Index ROI connectivity</w:t>
      </w:r>
    </w:p>
    <w:p w14:paraId="1C572730" w14:textId="77777777" w:rsidR="000A7086" w:rsidRPr="000217C7" w:rsidRDefault="001440D3" w:rsidP="006F6EBC">
      <w:pPr>
        <w:rPr>
          <w:color w:val="000000" w:themeColor="text1"/>
        </w:rPr>
      </w:pPr>
      <w:r w:rsidRPr="000217C7">
        <w:rPr>
          <w:color w:val="000000" w:themeColor="text1"/>
        </w:rPr>
        <w:t>Higher</w:t>
      </w:r>
      <w:r w:rsidR="006F6EBC" w:rsidRPr="000217C7">
        <w:rPr>
          <w:color w:val="000000" w:themeColor="text1"/>
        </w:rPr>
        <w:t xml:space="preserve"> participants’ BMI</w:t>
      </w:r>
      <w:r w:rsidRPr="000217C7">
        <w:rPr>
          <w:color w:val="000000" w:themeColor="text1"/>
        </w:rPr>
        <w:t xml:space="preserve"> correlated with lower functional connectivity</w:t>
      </w:r>
      <w:r w:rsidR="006F6EBC" w:rsidRPr="000217C7">
        <w:rPr>
          <w:color w:val="000000" w:themeColor="text1"/>
        </w:rPr>
        <w:t xml:space="preserve"> </w:t>
      </w:r>
      <w:r w:rsidRPr="000217C7">
        <w:rPr>
          <w:color w:val="000000" w:themeColor="text1"/>
        </w:rPr>
        <w:t>between the ROI located in the hypothalamus and</w:t>
      </w:r>
      <w:r w:rsidR="006F6EBC" w:rsidRPr="000217C7">
        <w:rPr>
          <w:color w:val="000000" w:themeColor="text1"/>
        </w:rPr>
        <w:t xml:space="preserve"> </w:t>
      </w:r>
      <w:r w:rsidR="0063388B" w:rsidRPr="000217C7">
        <w:rPr>
          <w:color w:val="000000" w:themeColor="text1"/>
        </w:rPr>
        <w:t>two clusters located in visual areas, namely a big cluster located between the left lingual gyrus, the bilateral calcarine cortex</w:t>
      </w:r>
      <w:r w:rsidR="00964A7F" w:rsidRPr="000217C7">
        <w:rPr>
          <w:color w:val="000000" w:themeColor="text1"/>
        </w:rPr>
        <w:t>,</w:t>
      </w:r>
      <w:r w:rsidR="0063388B" w:rsidRPr="000217C7">
        <w:rPr>
          <w:color w:val="000000" w:themeColor="text1"/>
        </w:rPr>
        <w:t xml:space="preserve"> and the left cuneal cortex, and a smaller cluster located in the left temporal occipital fusiform gyrus.</w:t>
      </w:r>
    </w:p>
    <w:p w14:paraId="56872FC2" w14:textId="22C5BE29" w:rsidR="0063388B" w:rsidRPr="000217C7" w:rsidRDefault="0001735A" w:rsidP="0063388B">
      <w:pPr>
        <w:rPr>
          <w:color w:val="000000" w:themeColor="text1"/>
        </w:rPr>
      </w:pPr>
      <w:r w:rsidRPr="000217C7">
        <w:rPr>
          <w:color w:val="000000" w:themeColor="text1"/>
        </w:rPr>
        <w:t>The results</w:t>
      </w:r>
      <w:r w:rsidR="007625E1" w:rsidRPr="000217C7">
        <w:rPr>
          <w:color w:val="000000" w:themeColor="text1"/>
        </w:rPr>
        <w:t xml:space="preserve"> are depicted in</w:t>
      </w:r>
      <w:r w:rsidR="00A82EF4" w:rsidRPr="000217C7">
        <w:rPr>
          <w:color w:val="000000" w:themeColor="text1"/>
        </w:rPr>
        <w:t xml:space="preserve"> </w:t>
      </w:r>
      <w:r w:rsidR="00140923" w:rsidRPr="000217C7">
        <w:rPr>
          <w:color w:val="000000" w:themeColor="text1"/>
        </w:rPr>
        <w:t xml:space="preserve">Supplementary </w:t>
      </w:r>
      <w:r w:rsidR="000D57BC" w:rsidRPr="000217C7">
        <w:rPr>
          <w:color w:val="000000" w:themeColor="text1"/>
        </w:rPr>
        <w:t>F</w:t>
      </w:r>
      <w:r w:rsidR="00140923" w:rsidRPr="000217C7">
        <w:rPr>
          <w:color w:val="000000" w:themeColor="text1"/>
        </w:rPr>
        <w:t xml:space="preserve">igure 3 </w:t>
      </w:r>
      <w:r w:rsidR="0002685D" w:rsidRPr="000217C7">
        <w:rPr>
          <w:color w:val="000000" w:themeColor="text1"/>
        </w:rPr>
        <w:t xml:space="preserve">and reported in </w:t>
      </w:r>
      <w:r w:rsidR="000D57BC" w:rsidRPr="000217C7">
        <w:rPr>
          <w:color w:val="000000" w:themeColor="text1"/>
        </w:rPr>
        <w:t>Supplementary Table 6</w:t>
      </w:r>
      <w:r w:rsidR="0002685D" w:rsidRPr="000217C7">
        <w:rPr>
          <w:color w:val="000000" w:themeColor="text1"/>
        </w:rPr>
        <w:t>.</w:t>
      </w:r>
    </w:p>
    <w:p w14:paraId="1F9BB3FA" w14:textId="627C906D" w:rsidR="00E63A23" w:rsidRPr="000217C7" w:rsidRDefault="00360F1F" w:rsidP="00B66623">
      <w:pPr>
        <w:pStyle w:val="Heading1"/>
      </w:pPr>
      <w:r w:rsidRPr="000217C7">
        <w:lastRenderedPageBreak/>
        <w:t xml:space="preserve">4 - </w:t>
      </w:r>
      <w:r w:rsidR="007C3800" w:rsidRPr="000217C7">
        <w:t>Discussion</w:t>
      </w:r>
      <w:bookmarkEnd w:id="36"/>
    </w:p>
    <w:p w14:paraId="335443E1" w14:textId="5812933A" w:rsidR="00856EBC" w:rsidRPr="000217C7" w:rsidRDefault="0046691B" w:rsidP="00B637AE">
      <w:pPr>
        <w:ind w:firstLine="0"/>
        <w:rPr>
          <w:color w:val="000000" w:themeColor="text1"/>
        </w:rPr>
      </w:pPr>
      <w:r w:rsidRPr="000217C7">
        <w:rPr>
          <w:color w:val="000000" w:themeColor="text1"/>
        </w:rPr>
        <w:t xml:space="preserve">In this study, we investigated </w:t>
      </w:r>
      <w:r w:rsidRPr="000217C7">
        <w:rPr>
          <w:color w:val="000000" w:themeColor="text1"/>
          <w:lang w:val="en-GB"/>
        </w:rPr>
        <w:t>subliminal attentional bias and inhibition</w:t>
      </w:r>
      <w:r w:rsidRPr="000217C7">
        <w:rPr>
          <w:color w:val="000000" w:themeColor="text1"/>
        </w:rPr>
        <w:t xml:space="preserve"> toward food in individuals with different BMIs and </w:t>
      </w:r>
      <w:r w:rsidR="00661CB5" w:rsidRPr="000217C7">
        <w:rPr>
          <w:color w:val="000000" w:themeColor="text1"/>
        </w:rPr>
        <w:t xml:space="preserve">identified the regions that </w:t>
      </w:r>
      <w:r w:rsidRPr="000217C7">
        <w:rPr>
          <w:color w:val="000000" w:themeColor="text1"/>
        </w:rPr>
        <w:t xml:space="preserve">correlated with individual differences in </w:t>
      </w:r>
      <w:r w:rsidR="00445FBE" w:rsidRPr="000217C7">
        <w:rPr>
          <w:color w:val="000000" w:themeColor="text1"/>
        </w:rPr>
        <w:t>subliminal processing times</w:t>
      </w:r>
      <w:r w:rsidRPr="000217C7">
        <w:rPr>
          <w:color w:val="000000" w:themeColor="text1"/>
        </w:rPr>
        <w:t xml:space="preserve"> and inhibitory performance</w:t>
      </w:r>
      <w:r w:rsidR="002B3EAB" w:rsidRPr="000217C7">
        <w:rPr>
          <w:color w:val="000000" w:themeColor="text1"/>
        </w:rPr>
        <w:t xml:space="preserve"> </w:t>
      </w:r>
      <w:r w:rsidR="0001735A" w:rsidRPr="000217C7">
        <w:rPr>
          <w:color w:val="000000" w:themeColor="text1"/>
        </w:rPr>
        <w:t xml:space="preserve">through </w:t>
      </w:r>
      <w:r w:rsidR="00661CB5" w:rsidRPr="000217C7">
        <w:rPr>
          <w:color w:val="000000" w:themeColor="text1"/>
        </w:rPr>
        <w:t xml:space="preserve">brain </w:t>
      </w:r>
      <w:r w:rsidR="00661CB5" w:rsidRPr="000217C7">
        <w:rPr>
          <w:rStyle w:val="e24kjd"/>
          <w:bCs/>
          <w:color w:val="000000" w:themeColor="text1"/>
        </w:rPr>
        <w:t>morphometry</w:t>
      </w:r>
      <w:r w:rsidR="00661CB5" w:rsidRPr="000217C7">
        <w:rPr>
          <w:color w:val="000000" w:themeColor="text1"/>
        </w:rPr>
        <w:t xml:space="preserve"> and connectivity analyses.</w:t>
      </w:r>
    </w:p>
    <w:p w14:paraId="24E731FB" w14:textId="44708A02" w:rsidR="009E10D1" w:rsidRPr="000217C7" w:rsidRDefault="00F664EF" w:rsidP="009E10D1">
      <w:pPr>
        <w:pStyle w:val="Heading3"/>
      </w:pPr>
      <w:r w:rsidRPr="000217C7">
        <w:t xml:space="preserve">Slower subliminal processing and </w:t>
      </w:r>
      <w:r w:rsidR="00037F81" w:rsidRPr="000217C7">
        <w:t xml:space="preserve">reduced </w:t>
      </w:r>
      <w:r w:rsidRPr="000217C7">
        <w:t xml:space="preserve">inhibition towards food in </w:t>
      </w:r>
      <w:r w:rsidR="002810FE" w:rsidRPr="000217C7">
        <w:t xml:space="preserve">individuals with a higher BMI </w:t>
      </w:r>
      <w:r w:rsidR="00856EBC" w:rsidRPr="000217C7">
        <w:tab/>
      </w:r>
    </w:p>
    <w:p w14:paraId="633EF26E" w14:textId="6B91EFCB" w:rsidR="00856EBC" w:rsidRPr="000217C7" w:rsidRDefault="00EE7865" w:rsidP="00DF52D5">
      <w:pPr>
        <w:ind w:firstLine="0"/>
        <w:rPr>
          <w:color w:val="000000" w:themeColor="text1"/>
        </w:rPr>
      </w:pPr>
      <w:r w:rsidRPr="000217C7">
        <w:rPr>
          <w:color w:val="000000" w:themeColor="text1"/>
        </w:rPr>
        <w:t xml:space="preserve">In line with our previous study </w:t>
      </w:r>
      <w:r w:rsidR="00BC2CCF" w:rsidRPr="000217C7">
        <w:rPr>
          <w:color w:val="000000" w:themeColor="text1"/>
        </w:rPr>
        <w:fldChar w:fldCharType="begin"/>
      </w:r>
      <w:r w:rsidRPr="000217C7">
        <w:rPr>
          <w:color w:val="000000" w:themeColor="text1"/>
        </w:rPr>
        <w:instrText xml:space="preserve"> ADDIN ZOTERO_ITEM CSL_CITATION {"citationID":"LNMFeroT","properties":{"formattedCitation":"(Osimo et al., 2019)","plainCitation":"(Osimo et al., 2019)","noteIndex":0},"citationItems":[{"id":1829,"uris":["http://zotero.org/users/local/ukz7dhIj/items/KF44F9QX"],"uri":["http://zotero.org/users/local/ukz7dhIj/items/KF44F9QX"],"itemData":{"id":1829,"type":"article-journal","abstract":"The prefrontal cortex (PFC) plays a central role in food choice, and may be partly dysfunctional in obesity – a condition linked to altered attention and inhibition processes, particularly in response to food-related stimuli. We investigated the role of the PFC in subliminal visual processing and response inhibition to food pictures using anodal, cathodal, or sham transcranial direct current stimulation (tDCS) in a sample of 53 normal weight, overweight, or obese participants. Subliminal processing was measured with a breaking continuous flash suppression task (bCFS), and inhibition with a Go/No-Go task. BMI was included in the analyses as a continuous predictor. Higher BMI was associated with prolonged subliminal processing for both food and nonfood pictures in the bCFS task, and with longer RTs in food Go trials in the Go/No-Go task. Therefore, higher BMI was associated with an attentional bias for food images during supraliminal, but not subliminal visual processing. Moreover, anodal tDCS resulted in shorter detection times in the bCFS task, especially in participants with higher BMI. We conclude that anodal tDCS affects subliminal perception and attentional processes, and speculate that these effects may explain previous reports of reduced craving and food intake after anodal tDCS.","container-title":"Behaviour Research and Therapy","DOI":"10.1016/j.brat.2019.05.005","ISSN":"0005-7967","journalAbbreviation":"Behaviour Research and Therapy","source":"ScienceDirect","title":"Obesity, subliminal perception and inhibition: Neuromodulation of the prefrontal cortex","title-short":"Obesity, subliminal perception and inhibition","URL":"http://www.sciencedirect.com/science/article/pii/S0005796719300889","author":[{"family":"Osimo","given":"Sofia Adelaide"},{"family":"Korb","given":"Sebastian"},{"family":"Aiello","given":"Marilena"}],"accessed":{"date-parts":[["2019",5,28]]},"issued":{"date-parts":[["2019",5,19]]}}}],"schema":"https://github.com/citation-style-language/schema/raw/master/csl-citation.json"} </w:instrText>
      </w:r>
      <w:r w:rsidR="00BC2CCF" w:rsidRPr="000217C7">
        <w:rPr>
          <w:color w:val="000000" w:themeColor="text1"/>
        </w:rPr>
        <w:fldChar w:fldCharType="separate"/>
      </w:r>
      <w:r w:rsidRPr="000217C7">
        <w:rPr>
          <w:noProof/>
          <w:color w:val="000000" w:themeColor="text1"/>
        </w:rPr>
        <w:t>(Osimo et al., 2019)</w:t>
      </w:r>
      <w:r w:rsidR="00BC2CCF" w:rsidRPr="000217C7">
        <w:rPr>
          <w:color w:val="000000" w:themeColor="text1"/>
        </w:rPr>
        <w:fldChar w:fldCharType="end"/>
      </w:r>
      <w:r w:rsidRPr="000217C7">
        <w:rPr>
          <w:color w:val="000000" w:themeColor="text1"/>
        </w:rPr>
        <w:t>, w</w:t>
      </w:r>
      <w:r w:rsidR="00283887" w:rsidRPr="000217C7">
        <w:rPr>
          <w:color w:val="000000" w:themeColor="text1"/>
        </w:rPr>
        <w:t xml:space="preserve">e </w:t>
      </w:r>
      <w:r w:rsidR="00C311D6" w:rsidRPr="000217C7">
        <w:rPr>
          <w:color w:val="000000" w:themeColor="text1"/>
        </w:rPr>
        <w:t xml:space="preserve">observed </w:t>
      </w:r>
      <w:r w:rsidR="0046691B" w:rsidRPr="000217C7">
        <w:rPr>
          <w:color w:val="000000" w:themeColor="text1"/>
        </w:rPr>
        <w:t xml:space="preserve">that </w:t>
      </w:r>
      <w:r w:rsidR="00E57B3E" w:rsidRPr="000217C7">
        <w:rPr>
          <w:color w:val="000000" w:themeColor="text1"/>
        </w:rPr>
        <w:t xml:space="preserve">individuals with a higher BMI </w:t>
      </w:r>
      <w:r w:rsidR="00140F45" w:rsidRPr="000217C7">
        <w:rPr>
          <w:color w:val="000000" w:themeColor="text1"/>
        </w:rPr>
        <w:t>show</w:t>
      </w:r>
      <w:r w:rsidR="00661B8D" w:rsidRPr="000217C7">
        <w:rPr>
          <w:color w:val="000000" w:themeColor="text1"/>
        </w:rPr>
        <w:t>ed</w:t>
      </w:r>
      <w:r w:rsidR="00140F45" w:rsidRPr="000217C7">
        <w:rPr>
          <w:color w:val="000000" w:themeColor="text1"/>
        </w:rPr>
        <w:t xml:space="preserve"> slower subliminal processing of images than </w:t>
      </w:r>
      <w:r w:rsidR="00037F81" w:rsidRPr="000217C7">
        <w:rPr>
          <w:color w:val="000000" w:themeColor="text1"/>
        </w:rPr>
        <w:t xml:space="preserve">individuals with a </w:t>
      </w:r>
      <w:r w:rsidR="00E57B3E" w:rsidRPr="000217C7">
        <w:rPr>
          <w:color w:val="000000" w:themeColor="text1"/>
        </w:rPr>
        <w:t>lower BMI</w:t>
      </w:r>
      <w:r w:rsidR="00140F45" w:rsidRPr="000217C7">
        <w:rPr>
          <w:color w:val="000000" w:themeColor="text1"/>
        </w:rPr>
        <w:t xml:space="preserve"> </w:t>
      </w:r>
      <w:r w:rsidR="00C311D6" w:rsidRPr="000217C7">
        <w:rPr>
          <w:color w:val="000000" w:themeColor="text1"/>
        </w:rPr>
        <w:t>and that t</w:t>
      </w:r>
      <w:r w:rsidR="00140F45" w:rsidRPr="000217C7">
        <w:rPr>
          <w:color w:val="000000" w:themeColor="text1"/>
        </w:rPr>
        <w:t xml:space="preserve">his </w:t>
      </w:r>
      <w:r w:rsidR="00745A51" w:rsidRPr="000217C7">
        <w:rPr>
          <w:color w:val="000000" w:themeColor="text1"/>
        </w:rPr>
        <w:t xml:space="preserve">subliminal processing </w:t>
      </w:r>
      <w:r w:rsidR="00140F45" w:rsidRPr="000217C7">
        <w:rPr>
          <w:color w:val="000000" w:themeColor="text1"/>
        </w:rPr>
        <w:t xml:space="preserve">disadvantage was not specific for </w:t>
      </w:r>
      <w:r w:rsidR="00F41A6B" w:rsidRPr="000217C7">
        <w:rPr>
          <w:color w:val="000000" w:themeColor="text1"/>
        </w:rPr>
        <w:t xml:space="preserve">food </w:t>
      </w:r>
      <w:r w:rsidR="00745A51" w:rsidRPr="000217C7">
        <w:rPr>
          <w:color w:val="000000" w:themeColor="text1"/>
        </w:rPr>
        <w:t>images</w:t>
      </w:r>
      <w:r w:rsidR="00C60D8F" w:rsidRPr="000217C7">
        <w:rPr>
          <w:color w:val="000000" w:themeColor="text1"/>
        </w:rPr>
        <w:t xml:space="preserve">. </w:t>
      </w:r>
      <w:r w:rsidR="00992394" w:rsidRPr="000217C7">
        <w:rPr>
          <w:color w:val="000000" w:themeColor="text1"/>
        </w:rPr>
        <w:t xml:space="preserve">Also, </w:t>
      </w:r>
      <w:r w:rsidR="00E57B3E" w:rsidRPr="000217C7">
        <w:rPr>
          <w:color w:val="000000" w:themeColor="text1"/>
        </w:rPr>
        <w:t>individuals with a higher BMI</w:t>
      </w:r>
      <w:r w:rsidR="00037F81" w:rsidRPr="000217C7">
        <w:rPr>
          <w:color w:val="000000" w:themeColor="text1"/>
        </w:rPr>
        <w:t xml:space="preserve"> </w:t>
      </w:r>
      <w:r w:rsidR="00477AA0" w:rsidRPr="000217C7">
        <w:rPr>
          <w:color w:val="000000" w:themeColor="text1"/>
        </w:rPr>
        <w:t>were slower in responding to nonfood go trials than to food go trials in the</w:t>
      </w:r>
      <w:r w:rsidR="00AB46F8" w:rsidRPr="000217C7">
        <w:rPr>
          <w:color w:val="000000" w:themeColor="text1"/>
        </w:rPr>
        <w:t xml:space="preserve"> </w:t>
      </w:r>
      <w:r w:rsidR="003334B2" w:rsidRPr="000217C7">
        <w:rPr>
          <w:color w:val="000000" w:themeColor="text1"/>
        </w:rPr>
        <w:t>Go/No-Go task</w:t>
      </w:r>
      <w:r w:rsidR="00477AA0" w:rsidRPr="000217C7">
        <w:rPr>
          <w:color w:val="000000" w:themeColor="text1"/>
        </w:rPr>
        <w:t xml:space="preserve">. Slower RTs </w:t>
      </w:r>
      <w:r w:rsidR="00992394" w:rsidRPr="000217C7">
        <w:rPr>
          <w:color w:val="000000" w:themeColor="text1"/>
        </w:rPr>
        <w:t xml:space="preserve">in nonfood go trials </w:t>
      </w:r>
      <w:r w:rsidR="00477AA0" w:rsidRPr="000217C7">
        <w:rPr>
          <w:color w:val="000000" w:themeColor="text1"/>
        </w:rPr>
        <w:t>indicate greater difficul</w:t>
      </w:r>
      <w:r w:rsidR="00992394" w:rsidRPr="000217C7">
        <w:rPr>
          <w:color w:val="000000" w:themeColor="text1"/>
        </w:rPr>
        <w:t>t</w:t>
      </w:r>
      <w:r w:rsidR="00477AA0" w:rsidRPr="000217C7">
        <w:rPr>
          <w:color w:val="000000" w:themeColor="text1"/>
        </w:rPr>
        <w:t>y in inhibiting response to food</w:t>
      </w:r>
      <w:r w:rsidR="00992394" w:rsidRPr="000217C7">
        <w:rPr>
          <w:color w:val="000000" w:themeColor="text1"/>
        </w:rPr>
        <w:t xml:space="preserve">, suggesting </w:t>
      </w:r>
      <w:r w:rsidR="00477AA0" w:rsidRPr="000217C7">
        <w:rPr>
          <w:color w:val="000000" w:themeColor="text1"/>
        </w:rPr>
        <w:t>a food-specific bias at a later stage of stimulus processing</w:t>
      </w:r>
      <w:r w:rsidR="003334B2" w:rsidRPr="000217C7">
        <w:rPr>
          <w:color w:val="000000" w:themeColor="text1"/>
        </w:rPr>
        <w:t xml:space="preserve">. </w:t>
      </w:r>
      <w:r w:rsidR="005336DD" w:rsidRPr="000217C7">
        <w:rPr>
          <w:color w:val="000000" w:themeColor="text1"/>
        </w:rPr>
        <w:t>The present</w:t>
      </w:r>
      <w:r w:rsidR="00C311D6" w:rsidRPr="000217C7">
        <w:rPr>
          <w:color w:val="000000" w:themeColor="text1"/>
        </w:rPr>
        <w:t xml:space="preserve"> result</w:t>
      </w:r>
      <w:r w:rsidR="008227A8" w:rsidRPr="000217C7">
        <w:rPr>
          <w:color w:val="000000" w:themeColor="text1"/>
        </w:rPr>
        <w:t>s</w:t>
      </w:r>
      <w:r w:rsidR="00C311D6" w:rsidRPr="000217C7">
        <w:rPr>
          <w:color w:val="000000" w:themeColor="text1"/>
        </w:rPr>
        <w:t xml:space="preserve"> confirm</w:t>
      </w:r>
      <w:r w:rsidR="00661B8D" w:rsidRPr="000217C7">
        <w:rPr>
          <w:color w:val="000000" w:themeColor="text1"/>
        </w:rPr>
        <w:t>,</w:t>
      </w:r>
      <w:r w:rsidR="00C311D6" w:rsidRPr="000217C7">
        <w:rPr>
          <w:color w:val="000000" w:themeColor="text1"/>
        </w:rPr>
        <w:t xml:space="preserve"> therefor</w:t>
      </w:r>
      <w:r w:rsidR="0046691B" w:rsidRPr="000217C7">
        <w:rPr>
          <w:color w:val="000000" w:themeColor="text1"/>
        </w:rPr>
        <w:t>e</w:t>
      </w:r>
      <w:r w:rsidR="00661B8D" w:rsidRPr="000217C7">
        <w:rPr>
          <w:color w:val="000000" w:themeColor="text1"/>
        </w:rPr>
        <w:t>,</w:t>
      </w:r>
      <w:r w:rsidR="00C311D6" w:rsidRPr="000217C7">
        <w:rPr>
          <w:color w:val="000000" w:themeColor="text1"/>
        </w:rPr>
        <w:t xml:space="preserve"> that </w:t>
      </w:r>
      <w:r w:rsidR="00DC46A4" w:rsidRPr="000217C7">
        <w:rPr>
          <w:color w:val="000000" w:themeColor="text1"/>
        </w:rPr>
        <w:t xml:space="preserve">the condition of </w:t>
      </w:r>
      <w:r w:rsidR="0046691B" w:rsidRPr="000217C7">
        <w:rPr>
          <w:color w:val="000000" w:themeColor="text1"/>
        </w:rPr>
        <w:t xml:space="preserve">obesity is not associated with a bias toward food at a subliminal stage of information processing but </w:t>
      </w:r>
      <w:r w:rsidR="00661CB5" w:rsidRPr="000217C7">
        <w:rPr>
          <w:color w:val="000000" w:themeColor="text1"/>
        </w:rPr>
        <w:t xml:space="preserve">seems </w:t>
      </w:r>
      <w:r w:rsidR="0046691B" w:rsidRPr="000217C7">
        <w:rPr>
          <w:color w:val="000000" w:themeColor="text1"/>
        </w:rPr>
        <w:t xml:space="preserve">characterized by </w:t>
      </w:r>
      <w:r w:rsidR="00C311D6" w:rsidRPr="000217C7">
        <w:rPr>
          <w:color w:val="000000" w:themeColor="text1"/>
        </w:rPr>
        <w:t>a domain</w:t>
      </w:r>
      <w:r w:rsidR="00661B8D" w:rsidRPr="000217C7">
        <w:rPr>
          <w:color w:val="000000" w:themeColor="text1"/>
        </w:rPr>
        <w:t>-</w:t>
      </w:r>
      <w:r w:rsidR="00C311D6" w:rsidRPr="000217C7">
        <w:rPr>
          <w:color w:val="000000" w:themeColor="text1"/>
        </w:rPr>
        <w:t>gen</w:t>
      </w:r>
      <w:r w:rsidR="0046691B" w:rsidRPr="000217C7">
        <w:rPr>
          <w:color w:val="000000" w:themeColor="text1"/>
        </w:rPr>
        <w:t xml:space="preserve">eral attentional deficit at </w:t>
      </w:r>
      <w:r w:rsidR="003334B2" w:rsidRPr="000217C7">
        <w:rPr>
          <w:color w:val="000000" w:themeColor="text1"/>
        </w:rPr>
        <w:t xml:space="preserve">this </w:t>
      </w:r>
      <w:r w:rsidR="00661CB5" w:rsidRPr="000217C7">
        <w:rPr>
          <w:color w:val="000000" w:themeColor="text1"/>
        </w:rPr>
        <w:t>stage</w:t>
      </w:r>
      <w:r w:rsidR="003334B2" w:rsidRPr="000217C7">
        <w:rPr>
          <w:color w:val="000000" w:themeColor="text1"/>
        </w:rPr>
        <w:t xml:space="preserve">. </w:t>
      </w:r>
      <w:r w:rsidR="000225EB" w:rsidRPr="000217C7">
        <w:rPr>
          <w:color w:val="000000" w:themeColor="text1"/>
        </w:rPr>
        <w:t xml:space="preserve">This </w:t>
      </w:r>
      <w:r w:rsidR="005336DD" w:rsidRPr="000217C7">
        <w:rPr>
          <w:color w:val="000000" w:themeColor="text1"/>
        </w:rPr>
        <w:t>observation</w:t>
      </w:r>
      <w:r w:rsidR="000225EB" w:rsidRPr="000217C7">
        <w:rPr>
          <w:color w:val="000000" w:themeColor="text1"/>
        </w:rPr>
        <w:t xml:space="preserve"> complements various findings of general cognitive and attentional deficits in </w:t>
      </w:r>
      <w:r w:rsidR="00DC46A4" w:rsidRPr="000217C7">
        <w:rPr>
          <w:color w:val="000000" w:themeColor="text1"/>
        </w:rPr>
        <w:t xml:space="preserve">individuals with </w:t>
      </w:r>
      <w:r w:rsidR="00EA3D32" w:rsidRPr="000217C7">
        <w:rPr>
          <w:color w:val="000000" w:themeColor="text1"/>
        </w:rPr>
        <w:t>obesity, while our findings on Go/No-Go task are coherent with the literature that reports lower inhibition towards food images in</w:t>
      </w:r>
      <w:r w:rsidR="00700D02" w:rsidRPr="000217C7">
        <w:rPr>
          <w:color w:val="000000" w:themeColor="text1"/>
        </w:rPr>
        <w:t xml:space="preserve"> individuals with</w:t>
      </w:r>
      <w:r w:rsidR="00EA3D32" w:rsidRPr="000217C7">
        <w:rPr>
          <w:color w:val="000000" w:themeColor="text1"/>
        </w:rPr>
        <w:t xml:space="preserve"> overweight and obesity </w:t>
      </w:r>
      <w:r w:rsidR="00BC2CCF" w:rsidRPr="000217C7">
        <w:rPr>
          <w:color w:val="000000" w:themeColor="text1"/>
        </w:rPr>
        <w:fldChar w:fldCharType="begin"/>
      </w:r>
      <w:r w:rsidR="00EA3D32" w:rsidRPr="000217C7">
        <w:rPr>
          <w:color w:val="000000" w:themeColor="text1"/>
        </w:rPr>
        <w:instrText xml:space="preserve"> ADDIN ZOTERO_ITEM CSL_CITATION {"citationID":"8RboykYU","properties":{"formattedCitation":"(Kulendran et al., 2017; Price et al., 2015; Svaldi et al., 2015)","plainCitation":"(Kulendran et al., 2017; Price et al., 2015; Svaldi et al., 2015)","noteIndex":0},"citationItems":[{"id":319,"uris":["http://zotero.org/users/local/ukz7dhIj/items/F5JUE6KM"],"uri":["http://zotero.org/users/local/ukz7dhIj/items/F5JUE6KM"],"itemData":{"id":319,"type":"article-journal","abstract":"Objective: There is evidence that executive function (and specifically inhibitory control) is related to obesity and eating behaviour. The go-no go task, the Stop Signal Paradigm and the Stroop Task are examples of behavioural tasks to measure inhibitory control.Methods: This paper systematically reviews the literature on inhibitory control and its role in obesity and eating behaviours. Studies involving animals, particular clinical population (addiction, eating or psychiatric disorder) and work not related to obesity or psychology were excluded. Only papers that examined the relationship between inhibitory control and one or more eating-related measurements (BMI, BMI change or laboratory food intake measures) were included. Twenty one studies met the selection criteria. Computerized tasks to measure inhibitory control were used in the studies analysed in this review.Results: The studies that used the go-no go task reveal that age can moderate the relationship between impulsivity and body weight or reported no association. Studies using the Stop Signal Paradigm reveal that the results on the task are a predictor of weight loss in both adolescents and adults populations. Studies using the Stroop Task demonstrate a difference between obese and normal weight groups.Conclusions: These results reveal the role of inhibitory control in obesity. However, a better understanding of the mechanisms behind this connection is needed. We also conclude that performance tasks that measure inhibitory control are able to differentiate between obese and non-obese groups, but it is recommended wider population range and larger samples in future studies.","container-title":"Medical Research Archives","ISSN":"2375-1924","issue":"8","language":"en","title":"The Role of Impulsivity in Obesity as Measured by Inhibitory Control: A Systematic Review","title-short":"The Role of Impulsivity in Obesity as Measured by Inhibitory Control","URL":"https://journals.ke-i.org/index.php/mra/article/view/1168","volume":"5","author":[{"family":"Kulendran","given":"Myutan"},{"family":"Vlaev","given":"Ivo"},{"family":"Gamboa","given":"Patricia"},{"family":"Darzi","given":"Ara"}],"issued":{"date-parts":[["2017",8,15]]}}},{"id":102,"uris":["http://zotero.org/users/local/ukz7dhIj/items/RA8RD4QE"],"uri":["http://zotero.org/users/local/ukz7dhIj/items/RA8RD4QE"],"itemData":{"id":102,"type":"article-journal","abstract":"Original Article","container-title":"International Journal of Obesity","DOI":"10.1038/ijo.2015.235","ISSN":"1476-5497","issue":"5","language":"en","page":"1:6","source":"www.nature.com","title":"Food-specific response inhibition, dietary restraint and snack intake in lean and overweight/obese adults: a moderated-mediation model","title-short":"Food-specific response inhibition, dietary restraint and snack intake in lean and overweight/obese adults","volume":"40","author":[{"family":"Price","given":"M."},{"family":"Lee","given":"M."},{"family":"Higgs","given":"S."}],"issued":{"date-parts":[["2015",11,23]]}}},{"id":736,"uris":["http://zotero.org/users/local/ukz7dhIj/items/8JH7BGXS"],"uri":["http://zotero.org/users/local/ukz7dhIj/items/8JH7BGXS"],"itemData":{"id":736,"type":"article-journal","abstract":"Objective Several studies report increased reward sensitivity towards food in overweight individuals. By contrast, data is inconclusive with respect to response inhibition in overweight individuals without binge eating disorder (BED). Hence, the latter was addressed in the present study in a group of overweight/obese females with and without BED and a normal-weight control group without eating disorders. Method A group of women with BED (n = 29), a group of overweight women without BED (n = 33) and normal-weight females (n = 30) participated in a pictorial priming paradigm, with food items (relevant primes) and office utensils (neutral primes) and color blobs (neutral primes) as stimuli. Increased response priming effects (i.e. priming with switches between stimulus categories) were taken as indicators of deficient behavioral inhibition. Results Priming effects for neutral primes were moderate and comparable across all groups. However, primes associated with the food task set lead to increased priming effects in both overweight groups. But, effects were comparable for overweight/obese participants with and without BED. Discussion Results suggest that early response inhibition in the context of food is impaired in overweight individuals compared to normal-weight individuals.","container-title":"PLOS ONE","DOI":"10.1371/journal.pone.0133534","ISSN":"1932-6203","issue":"7","journalAbbreviation":"PLOS ONE","language":"en","page":"e0133534","source":"PLoS Journals","title":"Impaired Early-Response Inhibition in Overweight Females with and without Binge Eating Disorder","volume":"10","author":[{"family":"Svaldi","given":"Jennifer"},{"family":"Naumann","given":"Eva"},{"family":"Biehl","given":"Stefanie"},{"family":"Schmitz","given":"Florian"}],"issued":{"date-parts":[["2015",7,22]]}}}],"schema":"https://github.com/citation-style-language/schema/raw/master/csl-citation.json"} </w:instrText>
      </w:r>
      <w:r w:rsidR="00BC2CCF" w:rsidRPr="000217C7">
        <w:rPr>
          <w:color w:val="000000" w:themeColor="text1"/>
        </w:rPr>
        <w:fldChar w:fldCharType="separate"/>
      </w:r>
      <w:r w:rsidR="00EA3D32" w:rsidRPr="000217C7">
        <w:rPr>
          <w:noProof/>
          <w:color w:val="000000" w:themeColor="text1"/>
        </w:rPr>
        <w:t>(Kulendran et al., 2017; Price et al., 2015; Svaldi et al., 2015)</w:t>
      </w:r>
      <w:r w:rsidR="00BC2CCF" w:rsidRPr="000217C7">
        <w:rPr>
          <w:color w:val="000000" w:themeColor="text1"/>
        </w:rPr>
        <w:fldChar w:fldCharType="end"/>
      </w:r>
      <w:r w:rsidR="00EA3D32" w:rsidRPr="000217C7">
        <w:rPr>
          <w:color w:val="000000" w:themeColor="text1"/>
        </w:rPr>
        <w:t>.</w:t>
      </w:r>
    </w:p>
    <w:p w14:paraId="06FB2854" w14:textId="7645F469" w:rsidR="00856EBC" w:rsidRPr="000217C7" w:rsidRDefault="00856EBC" w:rsidP="009E10D1">
      <w:pPr>
        <w:pStyle w:val="Heading3"/>
      </w:pPr>
      <w:r w:rsidRPr="000217C7">
        <w:t>S</w:t>
      </w:r>
      <w:proofErr w:type="spellStart"/>
      <w:r w:rsidR="004F6E8B" w:rsidRPr="000217C7">
        <w:rPr>
          <w:lang w:val="en-GB"/>
        </w:rPr>
        <w:t>ubliminal</w:t>
      </w:r>
      <w:proofErr w:type="spellEnd"/>
      <w:r w:rsidR="004F6E8B" w:rsidRPr="000217C7">
        <w:rPr>
          <w:lang w:val="en-GB"/>
        </w:rPr>
        <w:t xml:space="preserve"> processing disadvantages </w:t>
      </w:r>
      <w:r w:rsidR="004F6E8B" w:rsidRPr="000217C7">
        <w:t xml:space="preserve">in </w:t>
      </w:r>
      <w:r w:rsidR="00E57B3E" w:rsidRPr="000217C7">
        <w:t>individuals with a higher BMI</w:t>
      </w:r>
      <w:r w:rsidR="00AB46F8" w:rsidRPr="000217C7">
        <w:t xml:space="preserve"> </w:t>
      </w:r>
      <w:r w:rsidR="004F6E8B" w:rsidRPr="000217C7">
        <w:rPr>
          <w:lang w:val="en-GB"/>
        </w:rPr>
        <w:t>are linked to lower GM density in key regions deputed to</w:t>
      </w:r>
      <w:r w:rsidR="004F6E8B" w:rsidRPr="000217C7">
        <w:rPr>
          <w:rFonts w:eastAsia="Times New Roman" w:cs="Times New Roman"/>
          <w:lang w:eastAsia="en-GB"/>
        </w:rPr>
        <w:t xml:space="preserve"> </w:t>
      </w:r>
      <w:r w:rsidR="004F6E8B" w:rsidRPr="000217C7">
        <w:t>awareness, high-level sensory integration, and reward</w:t>
      </w:r>
      <w:r w:rsidRPr="000217C7">
        <w:t>.</w:t>
      </w:r>
    </w:p>
    <w:p w14:paraId="44004B68" w14:textId="49F047A2" w:rsidR="00B8097C" w:rsidRPr="000217C7" w:rsidRDefault="00D069D7" w:rsidP="004745AA">
      <w:pPr>
        <w:rPr>
          <w:color w:val="000000" w:themeColor="text1"/>
        </w:rPr>
      </w:pPr>
      <w:r w:rsidRPr="000217C7">
        <w:rPr>
          <w:rFonts w:eastAsia="Times New Roman" w:cs="Times New Roman"/>
          <w:color w:val="000000" w:themeColor="text1"/>
          <w:lang w:eastAsia="en-GB"/>
        </w:rPr>
        <w:t>We found that</w:t>
      </w:r>
      <w:r w:rsidRPr="000217C7">
        <w:rPr>
          <w:color w:val="000000" w:themeColor="text1"/>
          <w:lang w:val="en-GB"/>
        </w:rPr>
        <w:t xml:space="preserve"> subliminal processing disadvantages </w:t>
      </w:r>
      <w:r w:rsidRPr="000217C7">
        <w:rPr>
          <w:color w:val="000000" w:themeColor="text1"/>
        </w:rPr>
        <w:t xml:space="preserve">in participants with a higher BMI </w:t>
      </w:r>
      <w:r w:rsidRPr="000217C7">
        <w:rPr>
          <w:color w:val="000000" w:themeColor="text1"/>
          <w:lang w:val="en-GB"/>
        </w:rPr>
        <w:t>resulted</w:t>
      </w:r>
      <w:r w:rsidR="00EF2663" w:rsidRPr="000217C7">
        <w:rPr>
          <w:color w:val="000000" w:themeColor="text1"/>
          <w:lang w:val="en-GB"/>
        </w:rPr>
        <w:t xml:space="preserve"> linked to regions implicated in top-down control such as the prefrontal cortex </w:t>
      </w:r>
      <w:r w:rsidR="00EF2663" w:rsidRPr="000217C7">
        <w:rPr>
          <w:color w:val="000000" w:themeColor="text1"/>
          <w:lang w:val="en-GB"/>
        </w:rPr>
        <w:fldChar w:fldCharType="begin"/>
      </w:r>
      <w:r w:rsidR="00EF2663" w:rsidRPr="000217C7">
        <w:rPr>
          <w:color w:val="000000" w:themeColor="text1"/>
          <w:lang w:val="en-GB"/>
        </w:rPr>
        <w:instrText xml:space="preserve"> ADDIN ZOTERO_ITEM CSL_CITATION {"citationID":"aj82hff5pq","properties":{"formattedCitation":"(Osimo et al., 2019)","plainCitation":"(Osimo et al., 2019)","noteIndex":0},"citationItems":[{"id":1829,"uris":["http://zotero.org/users/local/ukz7dhIj/items/KF44F9QX"],"uri":["http://zotero.org/users/local/ukz7dhIj/items/KF44F9QX"],"itemData":{"id":1829,"type":"article-journal","abstract":"The prefrontal cortex (PFC) plays a central role in food choice, and may be partly dysfunctional in obesity – a condition linked to altered attention and inhibition processes, particularly in response to food-related stimuli. We investigated the role of the PFC in subliminal visual processing and response inhibition to food pictures using anodal, cathodal, or sham transcranial direct current stimulation (tDCS) in a sample of 53 normal weight, overweight, or obese participants. Subliminal processing was measured with a breaking continuous flash suppression task (bCFS), and inhibition with a Go/No-Go task. BMI was included in the analyses as a continuous predictor. Higher BMI was associated with prolonged subliminal processing for both food and nonfood pictures in the bCFS task, and with longer RTs in food Go trials in the Go/No-Go task. Therefore, higher BMI was associated with an attentional bias for food images during supraliminal, but not subliminal visual processing. Moreover, anodal tDCS resulted in shorter detection times in the bCFS task, especially in participants with higher BMI. We conclude that anodal tDCS affects subliminal perception and attentional processes, and speculate that these effects may explain previous reports of reduced craving and food intake after anodal tDCS.","container-title":"Behaviour Research and Therapy","DOI":"10.1016/j.brat.2019.05.005","ISSN":"0005-7967","journalAbbreviation":"Behaviour Research and Therapy","source":"ScienceDirect","title":"Obesity, subliminal perception and inhibition: Neuromodulation of the prefrontal cortex","title-short":"Obesity, subliminal perception and inhibition","URL":"http://www.sciencedirect.com/science/article/pii/S0005796719300889","author":[{"family":"Osimo","given":"Sofia Adelaide"},{"family":"Korb","given":"Sebastian"},{"family":"Aiello","given":"Marilena"}],"accessed":{"date-parts":[["2019",5,28]]},"issued":{"date-parts":[["2019",5,19]]}}}],"schema":"https://github.com/citation-style-language/schema/raw/master/csl-citation.json"} </w:instrText>
      </w:r>
      <w:r w:rsidR="00EF2663" w:rsidRPr="000217C7">
        <w:rPr>
          <w:color w:val="000000" w:themeColor="text1"/>
          <w:lang w:val="en-GB"/>
        </w:rPr>
        <w:fldChar w:fldCharType="separate"/>
      </w:r>
      <w:r w:rsidR="00EF2663" w:rsidRPr="000217C7">
        <w:rPr>
          <w:rFonts w:cs="Times New Roman"/>
          <w:color w:val="000000" w:themeColor="text1"/>
          <w:lang w:val="en-GB"/>
        </w:rPr>
        <w:t>(Osimo et al., 2019)</w:t>
      </w:r>
      <w:r w:rsidR="00EF2663" w:rsidRPr="000217C7">
        <w:rPr>
          <w:color w:val="000000" w:themeColor="text1"/>
          <w:lang w:val="en-GB"/>
        </w:rPr>
        <w:fldChar w:fldCharType="end"/>
      </w:r>
      <w:r w:rsidR="00EF2663" w:rsidRPr="000217C7">
        <w:rPr>
          <w:color w:val="000000" w:themeColor="text1"/>
          <w:lang w:val="en-GB"/>
        </w:rPr>
        <w:t xml:space="preserve">, as well as with </w:t>
      </w:r>
      <w:r w:rsidR="00EF2663" w:rsidRPr="000217C7">
        <w:rPr>
          <w:color w:val="000000" w:themeColor="text1"/>
        </w:rPr>
        <w:t xml:space="preserve">GM density of </w:t>
      </w:r>
      <w:r w:rsidR="00EF2663" w:rsidRPr="000217C7">
        <w:rPr>
          <w:bCs/>
          <w:color w:val="000000" w:themeColor="text1"/>
        </w:rPr>
        <w:t>brain</w:t>
      </w:r>
      <w:r w:rsidR="00EF2663" w:rsidRPr="000217C7">
        <w:rPr>
          <w:color w:val="000000" w:themeColor="text1"/>
        </w:rPr>
        <w:t xml:space="preserve"> </w:t>
      </w:r>
      <w:r w:rsidR="00EF2663" w:rsidRPr="000217C7">
        <w:rPr>
          <w:bCs/>
          <w:color w:val="000000" w:themeColor="text1"/>
        </w:rPr>
        <w:t>regions</w:t>
      </w:r>
      <w:r w:rsidR="00EF2663" w:rsidRPr="000217C7">
        <w:rPr>
          <w:color w:val="000000" w:themeColor="text1"/>
          <w:lang w:val="en-GB"/>
        </w:rPr>
        <w:t xml:space="preserve"> dedicated to</w:t>
      </w:r>
      <w:r w:rsidR="00EF2663" w:rsidRPr="000217C7">
        <w:rPr>
          <w:rFonts w:eastAsia="Times New Roman" w:cs="Times New Roman"/>
          <w:color w:val="000000" w:themeColor="text1"/>
          <w:lang w:eastAsia="en-GB"/>
        </w:rPr>
        <w:t xml:space="preserve"> </w:t>
      </w:r>
      <w:r w:rsidR="00EF2663" w:rsidRPr="000217C7">
        <w:rPr>
          <w:color w:val="000000" w:themeColor="text1"/>
        </w:rPr>
        <w:t>awareness, high-level sensory integration</w:t>
      </w:r>
      <w:r w:rsidR="00D1361E" w:rsidRPr="000217C7">
        <w:rPr>
          <w:color w:val="000000" w:themeColor="text1"/>
        </w:rPr>
        <w:t>,</w:t>
      </w:r>
      <w:r w:rsidRPr="000217C7">
        <w:rPr>
          <w:color w:val="000000" w:themeColor="text1"/>
        </w:rPr>
        <w:t xml:space="preserve"> and reward such as the right temporal pole/middle temporal gyrus, </w:t>
      </w:r>
      <w:r w:rsidRPr="000217C7">
        <w:rPr>
          <w:rFonts w:eastAsia="Times New Roman" w:cs="Times New Roman"/>
          <w:color w:val="000000" w:themeColor="text1"/>
          <w:lang w:eastAsia="en-GB"/>
        </w:rPr>
        <w:t xml:space="preserve">the left </w:t>
      </w:r>
      <w:r w:rsidRPr="000217C7">
        <w:rPr>
          <w:color w:val="000000" w:themeColor="text1"/>
        </w:rPr>
        <w:t>central operculum and anterior insula, and the left posterior orbital gyrus</w:t>
      </w:r>
      <w:r w:rsidR="00B8097C" w:rsidRPr="000217C7">
        <w:rPr>
          <w:color w:val="000000" w:themeColor="text1"/>
        </w:rPr>
        <w:t xml:space="preserve">. </w:t>
      </w:r>
      <w:r w:rsidR="002306CC" w:rsidRPr="000217C7">
        <w:rPr>
          <w:color w:val="000000" w:themeColor="text1"/>
        </w:rPr>
        <w:t>Among others, t</w:t>
      </w:r>
      <w:r w:rsidR="00B8097C" w:rsidRPr="000217C7">
        <w:rPr>
          <w:color w:val="000000" w:themeColor="text1"/>
        </w:rPr>
        <w:t xml:space="preserve">he anterior insula </w:t>
      </w:r>
      <w:r w:rsidR="007C79E2" w:rsidRPr="000217C7">
        <w:rPr>
          <w:color w:val="000000" w:themeColor="text1"/>
        </w:rPr>
        <w:t>is</w:t>
      </w:r>
      <w:r w:rsidR="00B8097C" w:rsidRPr="000217C7">
        <w:rPr>
          <w:color w:val="000000" w:themeColor="text1"/>
        </w:rPr>
        <w:t xml:space="preserve"> a key region in awareness </w:t>
      </w:r>
      <w:r w:rsidR="00B8097C" w:rsidRPr="000217C7">
        <w:rPr>
          <w:color w:val="000000" w:themeColor="text1"/>
        </w:rPr>
        <w:fldChar w:fldCharType="begin"/>
      </w:r>
      <w:r w:rsidR="00B8097C" w:rsidRPr="000217C7">
        <w:rPr>
          <w:color w:val="000000" w:themeColor="text1"/>
        </w:rPr>
        <w:instrText xml:space="preserve"> ADDIN ZOTERO_ITEM CSL_CITATION {"citationID":"a2e406pv85k","properties":{"formattedCitation":"(Craig, 2009)","plainCitation":"(Craig, 2009)","noteIndex":0},"citationItems":[{"id":1139,"uris":["http://zotero.org/users/local/ukz7dhIj/items/TMTQA5I5"],"uri":["http://zotero.org/users/local/ukz7dhIj/items/TMTQA5I5"],"itemData":{"id":1139,"type":"article-journal","abstract":"The anterior insular cortex (AIC) is implicated in a wide range of conditions and behaviours, from bowel distension and orgasm, to cigarette craving and maternal love, to decision making and sudden insight. Its function in the re-representation of interoception offers one possible basis for its involvement in all subjective feelings. New findings suggest a fundamental role for the AIC (and the von Economo neurons it contains) in awareness, and thus it needs to be considered as a potential neural correlate of consciousness.","container-title":"Nature Reviews Neuroscience","DOI":"10.1038/nrn2555","ISSN":"1471-0048","issue":"1","language":"en","page":"59-70","source":"www.nature.com","title":"How do you feel — now? The anterior insula and human awareness","title-short":"How do you feel — now?","volume":"10","author":[{"family":"Craig","given":"A. D. (Bud)"}],"issued":{"date-parts":[["2009",1]]}}}],"schema":"https://github.com/citation-style-language/schema/raw/master/csl-citation.json"} </w:instrText>
      </w:r>
      <w:r w:rsidR="00B8097C" w:rsidRPr="000217C7">
        <w:rPr>
          <w:color w:val="000000" w:themeColor="text1"/>
        </w:rPr>
        <w:fldChar w:fldCharType="separate"/>
      </w:r>
      <w:r w:rsidR="00B8097C" w:rsidRPr="000217C7">
        <w:rPr>
          <w:color w:val="000000" w:themeColor="text1"/>
        </w:rPr>
        <w:t>(Craig, 2009)</w:t>
      </w:r>
      <w:r w:rsidR="00B8097C" w:rsidRPr="000217C7">
        <w:rPr>
          <w:color w:val="000000" w:themeColor="text1"/>
        </w:rPr>
        <w:fldChar w:fldCharType="end"/>
      </w:r>
      <w:r w:rsidR="00B8097C" w:rsidRPr="000217C7">
        <w:rPr>
          <w:color w:val="000000" w:themeColor="text1"/>
        </w:rPr>
        <w:t xml:space="preserve"> and play</w:t>
      </w:r>
      <w:r w:rsidR="00D1361E" w:rsidRPr="000217C7">
        <w:rPr>
          <w:color w:val="000000" w:themeColor="text1"/>
        </w:rPr>
        <w:t>s</w:t>
      </w:r>
      <w:r w:rsidR="00B8097C" w:rsidRPr="000217C7">
        <w:rPr>
          <w:color w:val="000000" w:themeColor="text1"/>
        </w:rPr>
        <w:t xml:space="preserve"> a central role in </w:t>
      </w:r>
      <w:r w:rsidR="002306CC" w:rsidRPr="000217C7">
        <w:rPr>
          <w:color w:val="000000" w:themeColor="text1"/>
        </w:rPr>
        <w:t>the</w:t>
      </w:r>
      <w:r w:rsidR="00B8097C" w:rsidRPr="000217C7">
        <w:rPr>
          <w:color w:val="000000" w:themeColor="text1"/>
        </w:rPr>
        <w:t xml:space="preserve"> emotional “salience network" that encodes </w:t>
      </w:r>
      <w:r w:rsidR="00B8097C" w:rsidRPr="000217C7">
        <w:rPr>
          <w:color w:val="000000" w:themeColor="text1"/>
        </w:rPr>
        <w:lastRenderedPageBreak/>
        <w:t>emotional awareness of cognitive functions and emotionally modulates cognition</w:t>
      </w:r>
      <w:r w:rsidR="002306CC" w:rsidRPr="000217C7">
        <w:rPr>
          <w:color w:val="000000" w:themeColor="text1"/>
        </w:rPr>
        <w:t xml:space="preserve"> </w:t>
      </w:r>
      <w:r w:rsidR="00B8097C" w:rsidRPr="000217C7">
        <w:rPr>
          <w:color w:val="000000" w:themeColor="text1"/>
        </w:rPr>
        <w:fldChar w:fldCharType="begin"/>
      </w:r>
      <w:r w:rsidR="00B8097C" w:rsidRPr="000217C7">
        <w:rPr>
          <w:color w:val="000000" w:themeColor="text1"/>
        </w:rPr>
        <w:instrText xml:space="preserve"> ADDIN ZOTERO_ITEM CSL_CITATION {"citationID":"a29usha4loi","properties":{"formattedCitation":"(Harrison et al., 2010; Seeley et al., 2007)","plainCitation":"(Harrison et al., 2010; Seeley et al., 2007)","noteIndex":0},"citationItems":[{"id":2316,"uris":["http://zotero.org/users/local/ukz7dhIj/items/TBC3BHNI"],"uri":["http://zotero.org/users/local/ukz7dhIj/items/TBC3BHNI"],"itemData":{"id":2316,"type":"article-journal","abstract":"Central to Walter Cannon's challenge to peripheral theories of emotion was that bodily arousal responses are too undifferentiated to account for the wealth of emotional feelings. Despite considerable evidence to the contrary, this remains widely accepted and for nearly a century has left the issue of whether visceral afferent signals are essential for emotional experience unresolved. Here we combine functional magnetic resonance imaging and multiorgan physiological recording to dissect experience of two distinct disgust forms and their relationship to peripheral and central physiological activity. We show that experience of core and body-boundary-violation disgust are dissociable in both peripheral autonomic and central neural responses and also that emotional experience specific to anterior insular activity encodes these different underlying patterns of peripheral physiological responses. These findings demonstrate that organ-specific physiological responses differentiate emotional feeling states and support the hypothesis that central representations of organism physiological homeostasis constitute a critical aspect of the neural basis of feelings.","container-title":"The Journal of Neuroscience: The Official Journal of the Society for Neuroscience","DOI":"10.1523/JNEUROSCI.1725-10.2010","ISSN":"1529-2401","issue":"38","journalAbbreviation":"J. Neurosci.","language":"eng","note":"PMID: 20861391\nPMCID: PMC3044882","page":"12878-12884","source":"PubMed","title":"The embodiment of emotional feelings in the brain","volume":"30","author":[{"family":"Harrison","given":"Neil A."},{"family":"Gray","given":"Marcus A."},{"family":"Gianaros","given":"Peter J."},{"family":"Critchley","given":"Hugo D."}],"issued":{"date-parts":[["2010",9,22]]}}},{"id":2305,"uris":["http://zotero.org/users/local/ukz7dhIj/items/J4QUSMS3"],"uri":["http://zotero.org/users/local/ukz7dhIj/items/J4QUSMS3"],"itemData":{"id":2305,"type":"article-journal","abstract":"Variations in neural circuitry, inherited or acquired, may underlie important individual differences in thought, feeling, and action patterns. Here, we used task-free connectivity analyses to isolate and characterize two distinct networks typically coactivated during functional MRI tasks. We identified a \"salience network,\" anchored by dorsal anterior cingulate (dACC) and orbital frontoinsular cortices with robust connectivity to subcortical and limbic structures, and an \"executive-control network\" that links dorsolateral frontal and parietal neocortices. These intrinsic connectivity networks showed dissociable correlations with functions measured outside the scanner. Prescan anxiety ratings correlated with intrinsic functional connectivity of the dACC node of the salience network, but with no region in the executive-control network, whereas executive task performance correlated with lateral parietal nodes of the executive-control network, but with no region in the salience network. Our findings suggest that task-free analysis of intrinsic connectivity networks may help elucidate the neural architectures that support fundamental aspects of human behavior.","container-title":"The Journal of Neuroscience: The Official Journal of the Society for Neuroscience","DOI":"10.1523/JNEUROSCI.5587-06.2007","ISSN":"1529-2401","issue":"9","journalAbbreviation":"J. Neurosci.","language":"eng","note":"PMID: 17329432\nPMCID: PMC2680293","page":"2349-2356","source":"PubMed","title":"Dissociable intrinsic connectivity networks for salience processing and executive control","volume":"27","author":[{"family":"Seeley","given":"William W."},{"family":"Menon","given":"Vinod"},{"family":"Schatzberg","given":"Alan F."},{"family":"Keller","given":"Jennifer"},{"family":"Glover","given":"Gary H."},{"family":"Kenna","given":"Heather"},{"family":"Reiss","given":"Allan L."},{"family":"Greicius","given":"Michael D."}],"issued":{"date-parts":[["2007",2,28]]}}}],"schema":"https://github.com/citation-style-language/schema/raw/master/csl-citation.json"} </w:instrText>
      </w:r>
      <w:r w:rsidR="00B8097C" w:rsidRPr="000217C7">
        <w:rPr>
          <w:color w:val="000000" w:themeColor="text1"/>
        </w:rPr>
        <w:fldChar w:fldCharType="separate"/>
      </w:r>
      <w:r w:rsidR="00B8097C" w:rsidRPr="000217C7">
        <w:rPr>
          <w:color w:val="000000" w:themeColor="text1"/>
        </w:rPr>
        <w:t>(Harrison et al., 2010; Seeley et al., 2007)</w:t>
      </w:r>
      <w:r w:rsidR="00B8097C" w:rsidRPr="000217C7">
        <w:rPr>
          <w:color w:val="000000" w:themeColor="text1"/>
        </w:rPr>
        <w:fldChar w:fldCharType="end"/>
      </w:r>
      <w:r w:rsidR="002306CC" w:rsidRPr="000217C7">
        <w:rPr>
          <w:color w:val="000000" w:themeColor="text1"/>
        </w:rPr>
        <w:t xml:space="preserve">. </w:t>
      </w:r>
      <w:r w:rsidR="00EC554C" w:rsidRPr="000217C7">
        <w:rPr>
          <w:color w:val="000000" w:themeColor="text1"/>
        </w:rPr>
        <w:t xml:space="preserve">Interestingly, mental slowness in </w:t>
      </w:r>
      <w:r w:rsidR="00DC46A4" w:rsidRPr="000217C7">
        <w:rPr>
          <w:color w:val="000000" w:themeColor="text1"/>
        </w:rPr>
        <w:t xml:space="preserve">individuals with </w:t>
      </w:r>
      <w:r w:rsidR="00EC554C" w:rsidRPr="000217C7">
        <w:rPr>
          <w:color w:val="000000" w:themeColor="text1"/>
        </w:rPr>
        <w:t xml:space="preserve">obesity has recently been found to be associated with an alteration in the </w:t>
      </w:r>
      <w:r w:rsidR="00B8097C" w:rsidRPr="000217C7">
        <w:rPr>
          <w:color w:val="000000" w:themeColor="text1"/>
        </w:rPr>
        <w:t>s</w:t>
      </w:r>
      <w:r w:rsidR="00EC554C" w:rsidRPr="000217C7">
        <w:rPr>
          <w:color w:val="000000" w:themeColor="text1"/>
        </w:rPr>
        <w:t>alience network</w:t>
      </w:r>
      <w:r w:rsidR="00B8097C" w:rsidRPr="000217C7">
        <w:rPr>
          <w:color w:val="000000" w:themeColor="text1"/>
        </w:rPr>
        <w:t xml:space="preserve"> </w:t>
      </w:r>
      <w:r w:rsidR="00B8097C" w:rsidRPr="000217C7">
        <w:rPr>
          <w:color w:val="000000" w:themeColor="text1"/>
        </w:rPr>
        <w:fldChar w:fldCharType="begin"/>
      </w:r>
      <w:r w:rsidR="006C3543" w:rsidRPr="000217C7">
        <w:rPr>
          <w:color w:val="000000" w:themeColor="text1"/>
        </w:rPr>
        <w:instrText xml:space="preserve"> ADDIN ZOTERO_ITEM CSL_CITATION {"citationID":"a2aj73d9g2a","properties":{"formattedCitation":"(Garc\\uc0\\u237{}a\\uc0\\u8208{}Garc\\uc0\\u237{}a et al., 2013)","plainCitation":"(García‐García et al., 2013)","noteIndex":0},"citationItems":[{"id":2534,"uris":["http://zotero.org/users/local/ukz7dhIj/items/QATXD47S"],"uri":["http://zotero.org/users/local/ukz7dhIj/items/QATXD47S"],"itemData":{"id":2534,"type":"article-journal","abstract":"Obesity is a major health problem in modern societies. It has been related to abnormal functional organization of brain networks believed to process homeostatic (internal) and/or salience (external) information. This study used resting-state functional magnetic resonance imaging analysis to delineate possible functional changes in brain networks related to obesity. A group of 18 healthy adult participants with obesity were compared with a group of 16 lean participants while performing a resting-state task, with the data being evaluated by independent component analysis. Participants also completed a neuropsychological assessment. Results showed that the functional connectivity strength of the putamen nucleus in the salience network was increased in the obese group. We speculate that this abnormal activation may contribute to overeating through an imbalance between autonomic processing and reward processing of food stimuli. A correlation was also observed in obesity between activation of the putamen nucleus in the salience network and mental slowness, which is consistent with the notion that basal ganglia circuits modulate rapid processing of information. Hum Brain Mapp 34:2786–2797, 2013. © 2012 Wiley Periodicals, Inc.","container-title":"Human Brain Mapping","DOI":"10.1002/hbm.22104","ISSN":"1097-0193","issue":"11","language":"en","note":"_eprint: https://onlinelibrary.wiley.com/doi/pdf/10.1002/hbm.22104","page":"2786-2797","source":"Wiley Online Library","title":"Alterations of the salience network in obesity: A resting-state fMRI study","title-short":"Alterations of the salience network in obesity","volume":"34","author":[{"family":"García‐García","given":"Isabel"},{"family":"Jurado","given":"María Ángeles"},{"family":"Garolera","given":"Maite"},{"family":"Segura","given":"Bàrbara"},{"family":"Sala‐Llonch","given":"Roser"},{"family":"Marqués‐Iturria","given":"Idoia"},{"family":"Pueyo","given":"Roser"},{"family":"Sender‐Palacios","given":"María José"},{"family":"Vernet‐Vernet","given":"Maria"},{"family":"Narberhaus","given":"Ana"},{"family":"Ariza","given":"Mar"},{"family":"Junqué","given":"Carme"}],"issued":{"date-parts":[["2013"]]}}}],"schema":"https://github.com/citation-style-language/schema/raw/master/csl-citation.json"} </w:instrText>
      </w:r>
      <w:r w:rsidR="00B8097C" w:rsidRPr="000217C7">
        <w:rPr>
          <w:color w:val="000000" w:themeColor="text1"/>
        </w:rPr>
        <w:fldChar w:fldCharType="separate"/>
      </w:r>
      <w:r w:rsidR="006C3543" w:rsidRPr="000217C7">
        <w:rPr>
          <w:rFonts w:cs="Times New Roman"/>
          <w:color w:val="000000" w:themeColor="text1"/>
          <w:lang w:val="en-GB"/>
        </w:rPr>
        <w:t>(García‐García et al., 2013)</w:t>
      </w:r>
      <w:r w:rsidR="00B8097C" w:rsidRPr="000217C7">
        <w:rPr>
          <w:color w:val="000000" w:themeColor="text1"/>
        </w:rPr>
        <w:fldChar w:fldCharType="end"/>
      </w:r>
      <w:r w:rsidR="00EC554C" w:rsidRPr="000217C7">
        <w:rPr>
          <w:color w:val="000000" w:themeColor="text1"/>
        </w:rPr>
        <w:t xml:space="preserve">. This is the first study documenting </w:t>
      </w:r>
      <w:r w:rsidR="00D336CD" w:rsidRPr="000217C7">
        <w:rPr>
          <w:color w:val="000000" w:themeColor="text1"/>
        </w:rPr>
        <w:t xml:space="preserve">reduced </w:t>
      </w:r>
      <w:r w:rsidR="00EC554C" w:rsidRPr="000217C7">
        <w:rPr>
          <w:color w:val="000000" w:themeColor="text1"/>
        </w:rPr>
        <w:t>gr</w:t>
      </w:r>
      <w:r w:rsidR="00EA55D8" w:rsidRPr="000217C7">
        <w:rPr>
          <w:color w:val="000000" w:themeColor="text1"/>
        </w:rPr>
        <w:t>e</w:t>
      </w:r>
      <w:r w:rsidR="00EC554C" w:rsidRPr="000217C7">
        <w:rPr>
          <w:color w:val="000000" w:themeColor="text1"/>
        </w:rPr>
        <w:t xml:space="preserve">y matter density associated with </w:t>
      </w:r>
      <w:r w:rsidR="002306CC" w:rsidRPr="000217C7">
        <w:rPr>
          <w:color w:val="000000" w:themeColor="text1"/>
        </w:rPr>
        <w:t xml:space="preserve">the </w:t>
      </w:r>
      <w:r w:rsidR="00EC554C" w:rsidRPr="000217C7">
        <w:rPr>
          <w:color w:val="000000" w:themeColor="text1"/>
        </w:rPr>
        <w:t xml:space="preserve">slowness of preconscious processing of stimuli in </w:t>
      </w:r>
      <w:r w:rsidR="00DC46A4" w:rsidRPr="000217C7">
        <w:rPr>
          <w:color w:val="000000" w:themeColor="text1"/>
        </w:rPr>
        <w:t xml:space="preserve">individuals with </w:t>
      </w:r>
      <w:r w:rsidR="00EC554C" w:rsidRPr="000217C7">
        <w:rPr>
          <w:color w:val="000000" w:themeColor="text1"/>
        </w:rPr>
        <w:t>obesity</w:t>
      </w:r>
      <w:r w:rsidR="00DC46A4" w:rsidRPr="000217C7">
        <w:rPr>
          <w:color w:val="000000" w:themeColor="text1"/>
        </w:rPr>
        <w:t>,</w:t>
      </w:r>
      <w:r w:rsidR="00EC554C" w:rsidRPr="000217C7">
        <w:rPr>
          <w:color w:val="000000" w:themeColor="text1"/>
        </w:rPr>
        <w:t xml:space="preserve"> and more studies </w:t>
      </w:r>
      <w:r w:rsidR="0001735A" w:rsidRPr="000217C7">
        <w:rPr>
          <w:color w:val="000000" w:themeColor="text1"/>
        </w:rPr>
        <w:t xml:space="preserve">addressing this issue </w:t>
      </w:r>
      <w:r w:rsidR="00EC554C" w:rsidRPr="000217C7">
        <w:rPr>
          <w:color w:val="000000" w:themeColor="text1"/>
        </w:rPr>
        <w:t>are needed since</w:t>
      </w:r>
      <w:r w:rsidR="00F664EF" w:rsidRPr="000217C7">
        <w:rPr>
          <w:color w:val="000000" w:themeColor="text1"/>
        </w:rPr>
        <w:t xml:space="preserve"> </w:t>
      </w:r>
      <w:r w:rsidR="00F27382" w:rsidRPr="000217C7">
        <w:rPr>
          <w:color w:val="000000" w:themeColor="text1"/>
        </w:rPr>
        <w:t>subliminal biases have been shown to have a strong influence on appetitive behavior</w:t>
      </w:r>
      <w:r w:rsidR="002306CC" w:rsidRPr="000217C7">
        <w:rPr>
          <w:color w:val="000000" w:themeColor="text1"/>
        </w:rPr>
        <w:t xml:space="preserve"> </w:t>
      </w:r>
      <w:r w:rsidR="00BC2CCF" w:rsidRPr="000217C7">
        <w:rPr>
          <w:color w:val="000000" w:themeColor="text1"/>
        </w:rPr>
        <w:fldChar w:fldCharType="begin"/>
      </w:r>
      <w:r w:rsidR="00F27382" w:rsidRPr="000217C7">
        <w:rPr>
          <w:color w:val="000000" w:themeColor="text1"/>
        </w:rPr>
        <w:instrText xml:space="preserve"> ADDIN ZOTERO_ITEM CSL_CITATION {"citationID":"jWWg08Uh","properties":{"formattedCitation":"(Finlayson et al., 2008; Forman et al., 2018; Takada et al., 2018)","plainCitation":"(Finlayson et al., 2008; Forman et al., 2018; Takada et al., 2018)","noteIndex":0},"citationItems":[{"id":859,"uris":["http://zotero.org/users/local/ukz7dhIj/items/B6EV6QEE"],"uri":["http://zotero.org/users/local/ukz7dhIj/items/B6EV6QEE"],"itemData":{"id":859,"type":"article-journal","abstract":"Eating is an action open to awareness by the individual; however, it cannot be claimed that processes that control the expression of eating habits are necessarily explicit. This distinction between implicit and explicit processes may enhance understanding of the expression of food reward (particularly the concepts of liking and wanting [Berridge, K. C., &amp; Robinson, T. E. (2003). Parsing reward. Trends in Neurosciences, 26, 507–513] and its importance for human appetite control [Finlayson, G. S., King, N. A., &amp; Blundell, J. E. (2007b). Liking vs. wanting food: Importance for human appetite control and weight regulation. Neuroscience and Biobehavioural Reviews, in press]. The present study investigated the effect of meal-induced satiation on implicit and explicit processes of liking (L) and wanting (W) by developing a computer-based procedure to measure L and W in hungry and satiated states. Explicit measures were derived from analogue ratings whilst an implicit W measure was derived from reaction time in a forced-choice procedure, which also identified food preferences. Seventy subjects (21.8±0.9 years, BMI: 22.2±0.5kg/m2) completed the procedure before and immediately following consumption of a savoury test meal. Satiation caused explicit ratings of L and W to decrease in all food categories (p&lt;0.01); but with a more marked decrease for savoury foods compared with sweet foods (p&lt;0.01). Implicit W was increased for sweet categories (p&lt;0.01), but not for savoury. Implicit and explicit measures of L and W independently correlated with preference for sweet foods. This study provides support that implicit and explicit processes of food reward can be simultaneously measured and dissociated using a test meal. Adjustments in hunger were linked to changes in explicit L and W in a manner consistent with sensory specific satiety, while a relationship between hunger and implicit W was absent. We suggest that implicit W is not systematically downregulated by the physiological consequences of food consumption in the same way as hunger and therefore may be largely independent of homoeostatic processes influencing intake.","container-title":"Appetite","DOI":"10.1016/j.appet.2007.06.007","ISSN":"0195-6663","issue":"1","journalAbbreviation":"Appetite","page":"120-127","source":"ScienceDirect","title":"The role of implicit wanting in relation to explicit liking and wanting for food: Implications for appetite control","title-short":"The role of implicit wanting in relation to explicit liking and wanting for food","volume":"50","author":[{"family":"Finlayson","given":"Graham"},{"family":"King","given":"Neil"},{"family":"Blundell","given":"John"}],"issued":{"date-parts":[["2008",1,1]]}}},{"id":856,"uris":["http://zotero.org/users/local/ukz7dhIj/items/S8KH4PFA"],"uri":["http://zotero.org/users/local/ukz7dhIj/items/S8KH4PFA"],"itemData":{"id":856,"type":"article-journal","abstract":"One potential reason for the suboptimal outcomes of treatments targeting appetitive behavior, such as eating and alcohol consumption, is that they do not target the implicit cognitive processes that may be driving these behaviors. Two groups of related neurocognitive processes that are robustly associated with dysregulated eating and drinking are attention bias (AB; selective attention to specific stimuli) and executive function (EF; a set of cognitive control processes such as inhibitory control, working memory, set shifting, that govern goal-directed behaviors). An increasing body of work suggests that EF and AB training programs improve regulation of appetitive behaviors, especially if trainings are frequent and sustained. However, several key challenges, such as adherence to the trainings in the long term, and overall potency of the training, remain. The current manuscript describes five technological innovations that have the potential to address difficulties related to the effectiveness and feasibility of EF and AB trainings: (1) deployment of training in the home, (2) training via smartphone, (3) gamification, (4) virtual reality, and (5) personalization. The drawbacks of these innovations, as well as areas for future research, are also discussed. The above-mentioned innovations are likely to be instrumental in the future empirical work to develop and evaluate effective EF and AB trainings for appetitive behaviors.","collection-title":"Executive function training &amp; eating behavior","container-title":"Appetite","DOI":"10.1016/j.appet.2017.04.011","ISSN":"0195-6663","journalAbbreviation":"Appetite","page":"68-77","source":"ScienceDirect","title":"Promising technological innovations in cognitive training to treat eating-related behavior","volume":"124","author":[{"family":"Forman","given":"Evan M."},{"family":"Goldstein","given":"Stephanie P."},{"family":"Flack","given":"Daniel"},{"family":"Evans","given":"Brittney C."},{"family":"Manasse","given":"Stephanie M."},{"family":"Dochat","given":"Cara"}],"issued":{"date-parts":[["2018",5,1]]}}},{"id":847,"uris":["http://zotero.org/users/local/ukz7dhIj/items/R29BQSSF"],"uri":["http://zotero.org/users/local/ukz7dhIj/items/R29BQSSF"],"itemData":{"id":847,"type":"article-journal","abstract":"Obesity is a major public health problem in modern society. Appetitive behavior has been proposed to be partially driven by unconscious decision-making processes and thus, targeting the unconscious cognitive processes related to eating behavior is essential to develop strategies for overweight individuals and obese patients. Here, we presented food pictures below the threshold of awareness to healthy male volunteers and examined neural activity related to appetitive behavior using magnetoencephalography. We found that, among participants who did not recognize food pictures during the experiment, an index of heart rate variability assessed by electrocardiography (low-frequency compone</w:instrText>
      </w:r>
      <w:r w:rsidR="00F27382" w:rsidRPr="000217C7">
        <w:rPr>
          <w:color w:val="000000" w:themeColor="text1"/>
          <w:lang w:val="en-GB"/>
        </w:rPr>
        <w:instrText xml:space="preserve">nt power/high-frequency component power ratio, LF/HF) just after picture presentation was increased compared with that just before presentation, and the increase in LF/HF was negatively associated with the score for cognitive restraint of food intake. In addition, increased LF/HF was negatively associated with increased alpha band power in Brodmann area (BA) 47 caused by food pictures presented below the threshold of awareness, and level of cognitive restraint was positively associated with increased alpha band power in BA13. Our findings may provide valuable clues to the development of methods assessing unconscious regulation of appetite and offer avenues for further study of the neural mechanisms related to eating behavior.","container-title":"Scientific Reports","DOI":"10.1038/s41598-018-21383-0","ISSN":"2045-2322","issue":"1","language":"en","page":"3119","source":"www.nature.com","title":"Neural activity induced by visual food stimuli presented out of awareness: a preliminary magnetoencephalography study","title-short":"Neural activity induced by visual food stimuli presented out of awareness","volume":"8","author":[{"family":"Takada","given":"Katsuko"},{"family":"Ishii","given":"Akira"},{"family":"Matsuo","given":"Takashi"},{"family":"Nakamura","given":"Chika"},{"family":"Uji","given":"Masato"},{"family":"Yoshikawa","given":"Takahiro"}],"issued":{"date-parts":[["2018",2,15]]}}}],"schema":"https://github.com/citation-style-language/schema/raw/master/csl-citation.json"} </w:instrText>
      </w:r>
      <w:r w:rsidR="00BC2CCF" w:rsidRPr="000217C7">
        <w:rPr>
          <w:color w:val="000000" w:themeColor="text1"/>
        </w:rPr>
        <w:fldChar w:fldCharType="separate"/>
      </w:r>
      <w:r w:rsidR="00F27382" w:rsidRPr="000217C7">
        <w:rPr>
          <w:noProof/>
          <w:color w:val="000000" w:themeColor="text1"/>
          <w:lang w:val="en-GB"/>
        </w:rPr>
        <w:t>(Finlayson et al., 2008; Forman et al., 2018; Takada et al., 2018)</w:t>
      </w:r>
      <w:r w:rsidR="00BC2CCF" w:rsidRPr="000217C7">
        <w:rPr>
          <w:color w:val="000000" w:themeColor="text1"/>
        </w:rPr>
        <w:fldChar w:fldCharType="end"/>
      </w:r>
      <w:r w:rsidR="00F27382" w:rsidRPr="000217C7">
        <w:rPr>
          <w:rFonts w:eastAsia="Times New Roman"/>
          <w:color w:val="000000" w:themeColor="text1"/>
          <w:lang w:val="en-GB"/>
        </w:rPr>
        <w:t>.</w:t>
      </w:r>
      <w:r w:rsidR="00F27382" w:rsidRPr="000217C7">
        <w:rPr>
          <w:color w:val="000000" w:themeColor="text1"/>
          <w:lang w:val="en-GB"/>
        </w:rPr>
        <w:t xml:space="preserve"> </w:t>
      </w:r>
    </w:p>
    <w:p w14:paraId="273A392A" w14:textId="6CB40CCA" w:rsidR="00CB029D" w:rsidRPr="000217C7" w:rsidRDefault="00CB029D" w:rsidP="0047026B">
      <w:pPr>
        <w:pStyle w:val="Heading3"/>
        <w:rPr>
          <w:lang w:val="en-GB"/>
        </w:rPr>
      </w:pPr>
      <w:r w:rsidRPr="000217C7">
        <w:t xml:space="preserve">Reduced inhibition to food </w:t>
      </w:r>
      <w:proofErr w:type="spellStart"/>
      <w:r w:rsidRPr="000217C7">
        <w:rPr>
          <w:lang w:val="en-GB"/>
        </w:rPr>
        <w:t>i</w:t>
      </w:r>
      <w:proofErr w:type="spellEnd"/>
      <w:r w:rsidRPr="000217C7">
        <w:t xml:space="preserve">n </w:t>
      </w:r>
      <w:r w:rsidR="00E57B3E" w:rsidRPr="000217C7">
        <w:t xml:space="preserve">individuals with a higher BMI </w:t>
      </w:r>
      <w:r w:rsidR="00F4111F" w:rsidRPr="000217C7">
        <w:t>is</w:t>
      </w:r>
      <w:r w:rsidR="00F4111F" w:rsidRPr="000217C7">
        <w:rPr>
          <w:lang w:val="en-GB"/>
        </w:rPr>
        <w:t xml:space="preserve"> </w:t>
      </w:r>
      <w:r w:rsidRPr="000217C7">
        <w:rPr>
          <w:lang w:val="en-GB"/>
        </w:rPr>
        <w:t xml:space="preserve">linked to lower GM density in regions implicated in food reward </w:t>
      </w:r>
      <w:r w:rsidR="00B44A66" w:rsidRPr="000217C7">
        <w:rPr>
          <w:lang w:val="en-GB"/>
        </w:rPr>
        <w:t xml:space="preserve">and </w:t>
      </w:r>
      <w:r w:rsidR="00D336CD" w:rsidRPr="000217C7">
        <w:rPr>
          <w:lang w:val="en-GB"/>
        </w:rPr>
        <w:t xml:space="preserve">reduced </w:t>
      </w:r>
      <w:r w:rsidR="00B44A66" w:rsidRPr="000217C7">
        <w:rPr>
          <w:lang w:val="en-GB"/>
        </w:rPr>
        <w:t>brain connectivity</w:t>
      </w:r>
    </w:p>
    <w:p w14:paraId="7FAFCA6F" w14:textId="30900418" w:rsidR="00F37896" w:rsidRPr="000217C7" w:rsidRDefault="00CB029D" w:rsidP="00F1448D">
      <w:pPr>
        <w:rPr>
          <w:color w:val="000000" w:themeColor="text1"/>
        </w:rPr>
      </w:pPr>
      <w:r w:rsidRPr="000217C7">
        <w:rPr>
          <w:color w:val="000000" w:themeColor="text1"/>
          <w:lang w:val="en-GB"/>
        </w:rPr>
        <w:t>Worse</w:t>
      </w:r>
      <w:r w:rsidR="00992394" w:rsidRPr="000217C7">
        <w:rPr>
          <w:color w:val="000000" w:themeColor="text1"/>
        </w:rPr>
        <w:t xml:space="preserve"> performance when inhibiting responses to food compared to nonfood</w:t>
      </w:r>
      <w:r w:rsidR="00992394" w:rsidRPr="000217C7" w:rsidDel="00992394">
        <w:rPr>
          <w:color w:val="000000" w:themeColor="text1"/>
          <w:lang w:val="en-GB"/>
        </w:rPr>
        <w:t xml:space="preserve"> </w:t>
      </w:r>
      <w:proofErr w:type="spellStart"/>
      <w:r w:rsidR="003A40AB" w:rsidRPr="000217C7">
        <w:rPr>
          <w:color w:val="000000" w:themeColor="text1"/>
          <w:lang w:val="en-GB"/>
        </w:rPr>
        <w:t>i</w:t>
      </w:r>
      <w:proofErr w:type="spellEnd"/>
      <w:r w:rsidR="003A40AB" w:rsidRPr="000217C7">
        <w:rPr>
          <w:color w:val="000000" w:themeColor="text1"/>
        </w:rPr>
        <w:t xml:space="preserve">n </w:t>
      </w:r>
      <w:r w:rsidR="00E57B3E" w:rsidRPr="000217C7">
        <w:rPr>
          <w:color w:val="000000" w:themeColor="text1"/>
        </w:rPr>
        <w:t>individuals with a higher BMI</w:t>
      </w:r>
      <w:r w:rsidR="003A40AB" w:rsidRPr="000217C7">
        <w:rPr>
          <w:color w:val="000000" w:themeColor="text1"/>
        </w:rPr>
        <w:t xml:space="preserve"> </w:t>
      </w:r>
      <w:r w:rsidR="00CD3B51" w:rsidRPr="000217C7">
        <w:rPr>
          <w:color w:val="000000" w:themeColor="text1"/>
        </w:rPr>
        <w:t xml:space="preserve">in the Go/No-Go task </w:t>
      </w:r>
      <w:r w:rsidR="002306CC" w:rsidRPr="000217C7">
        <w:rPr>
          <w:color w:val="000000" w:themeColor="text1"/>
          <w:lang w:val="en-GB"/>
        </w:rPr>
        <w:t xml:space="preserve">was </w:t>
      </w:r>
      <w:r w:rsidR="003A40AB" w:rsidRPr="000217C7">
        <w:rPr>
          <w:color w:val="000000" w:themeColor="text1"/>
          <w:lang w:val="en-GB"/>
        </w:rPr>
        <w:t xml:space="preserve">linked to lower GM density </w:t>
      </w:r>
      <w:r w:rsidRPr="000217C7">
        <w:rPr>
          <w:color w:val="000000" w:themeColor="text1"/>
          <w:lang w:val="en-GB"/>
        </w:rPr>
        <w:t xml:space="preserve">in </w:t>
      </w:r>
      <w:r w:rsidR="00CD3B51" w:rsidRPr="000217C7">
        <w:rPr>
          <w:color w:val="000000" w:themeColor="text1"/>
          <w:lang w:val="en-GB"/>
        </w:rPr>
        <w:t xml:space="preserve">the right parietal operculum and left </w:t>
      </w:r>
      <w:r w:rsidR="00477AA0" w:rsidRPr="000217C7">
        <w:rPr>
          <w:color w:val="000000" w:themeColor="text1"/>
          <w:lang w:val="en-GB"/>
        </w:rPr>
        <w:t>orbital gyrus</w:t>
      </w:r>
      <w:r w:rsidR="000B24A9" w:rsidRPr="000217C7">
        <w:rPr>
          <w:color w:val="000000" w:themeColor="text1"/>
          <w:lang w:val="en-GB"/>
        </w:rPr>
        <w:t>/temporal pole</w:t>
      </w:r>
      <w:r w:rsidR="002B1FE6" w:rsidRPr="000217C7">
        <w:rPr>
          <w:color w:val="000000" w:themeColor="text1"/>
          <w:lang w:val="en-GB"/>
        </w:rPr>
        <w:t>. These areas</w:t>
      </w:r>
      <w:r w:rsidR="002306CC" w:rsidRPr="000217C7">
        <w:rPr>
          <w:color w:val="000000" w:themeColor="text1"/>
          <w:lang w:val="en-GB"/>
        </w:rPr>
        <w:t xml:space="preserve"> </w:t>
      </w:r>
      <w:r w:rsidR="002B1FE6" w:rsidRPr="000217C7">
        <w:rPr>
          <w:color w:val="000000" w:themeColor="text1"/>
          <w:lang w:val="en-GB"/>
        </w:rPr>
        <w:t xml:space="preserve">are implicated in </w:t>
      </w:r>
      <w:r w:rsidR="002B1FE6" w:rsidRPr="000217C7">
        <w:rPr>
          <w:color w:val="000000" w:themeColor="text1"/>
        </w:rPr>
        <w:t xml:space="preserve">high-level sensory integration but </w:t>
      </w:r>
      <w:r w:rsidR="00E802F8" w:rsidRPr="000217C7">
        <w:rPr>
          <w:color w:val="000000" w:themeColor="text1"/>
        </w:rPr>
        <w:t xml:space="preserve">are </w:t>
      </w:r>
      <w:r w:rsidR="002B1FE6" w:rsidRPr="000217C7">
        <w:rPr>
          <w:color w:val="000000" w:themeColor="text1"/>
        </w:rPr>
        <w:t xml:space="preserve">also </w:t>
      </w:r>
      <w:r w:rsidR="00992394" w:rsidRPr="000217C7">
        <w:rPr>
          <w:color w:val="000000" w:themeColor="text1"/>
          <w:lang w:val="en-GB"/>
        </w:rPr>
        <w:t xml:space="preserve">associated with food </w:t>
      </w:r>
      <w:r w:rsidR="00546658" w:rsidRPr="000217C7">
        <w:rPr>
          <w:color w:val="000000" w:themeColor="text1"/>
          <w:lang w:val="en-GB"/>
        </w:rPr>
        <w:t xml:space="preserve">reward </w:t>
      </w:r>
      <w:r w:rsidR="00853C0A" w:rsidRPr="000217C7">
        <w:rPr>
          <w:color w:val="000000" w:themeColor="text1"/>
          <w:lang w:val="en-GB"/>
        </w:rPr>
        <w:t xml:space="preserve">and taste </w:t>
      </w:r>
      <w:r w:rsidR="00992394" w:rsidRPr="000217C7">
        <w:rPr>
          <w:color w:val="000000" w:themeColor="text1"/>
          <w:lang w:val="en-GB"/>
        </w:rPr>
        <w:t>processing</w:t>
      </w:r>
      <w:r w:rsidR="00B44A66" w:rsidRPr="000217C7">
        <w:rPr>
          <w:color w:val="000000" w:themeColor="text1"/>
          <w:lang w:val="en-GB"/>
        </w:rPr>
        <w:t xml:space="preserve"> </w:t>
      </w:r>
      <w:r w:rsidR="00BC2CCF" w:rsidRPr="000217C7">
        <w:rPr>
          <w:color w:val="000000" w:themeColor="text1"/>
          <w:lang w:val="en-GB"/>
        </w:rPr>
        <w:fldChar w:fldCharType="begin"/>
      </w:r>
      <w:r w:rsidR="00D06948" w:rsidRPr="000217C7">
        <w:rPr>
          <w:color w:val="000000" w:themeColor="text1"/>
          <w:lang w:val="en-GB"/>
        </w:rPr>
        <w:instrText xml:space="preserve"> ADDIN ZOTERO_ITEM CSL_CITATION {"citationID":"a2ker2305a2","properties":{"unsorted":true,"formattedCitation":"(Porubsk\\uc0\\u225{} et al., 2006; Beaver et al., 2006; Goldstone et al., 2009; Iannilli et al., 2012; Olson et al., 2007; Van Rijn et al., 2005; Simmons et al., 2005)","plainCitation":"(Porubská et al., 2006; Beaver et al., 2006; Goldstone et al., 2009; Iannilli et al., 2012; Olson et al., 2007; Van Rijn et al., 2005; Simmons et al., 2005)","noteIndex":0},"citationItems":[{"id":2466,"uris":["http://zotero.org/users/local/ukz7dhIj/items/CCKZHTJK"],"uri":["http://zotero.org/users/local/ukz7dhIj/items/CCKZHTJK"],"itemData":{"id":2466,"type":"article-journal","abstract":"Obesity and overweight are important risk factors for the development of diabetes mellitus type 2 and associated chronic diseases, and therefore, they have become serious global problems in the western and developed countries. But little is known about the neuroanatomical correlates of eating behavior and its influences on the central nervous processing in humans. We used functional magnetic resonance imaging (fMRI) to measure the cortical activation in 12 lean healthy humans during visual stimulation with food-related and nonfood pictures after a fasting period of at least 5 h. Compared to the nonfood pictures, the food stimuli elicited a significantly greater activity in the left orbitofrontal cortex and the insular/opercular cortex bilaterally with a stronger focus on the left side. Subjective ratings of appetite during the presentation of food-related stimuli modulated the activity in the insula bilaterally, the left operculum and the right putamen. These results provide further insights in the central nervous processing of food relevant stimuli in humans, specifically with respect to the subjective experience of appetite.","container-title":"NeuroImage","DOI":"10.1016/j.neuroimage.2006.04.216","ISSN":"1053-8119","issue":"3","journalAbbreviation":"NeuroImage","language":"en","page":"1273-1280","source":"ScienceDirect","title":"Subjective feeling of appetite modulates brain activity: An fMRI study","title-short":"Subjective feeling of appetite modulates brain activity","volume":"32","author":[{"family":"Porubská","given":"Katarína"},{"family":"Veit","given":"Ralf"},{"family":"Preissl","given":"Hubert"},{"family":"Fritsche","given":"Andreas"},{"family":"Birbaumer","given":"Niels"}],"issued":{"date-parts":[["2006",9,1]]}}},{"id":2238,"uris":["http://zotero.org/users/local/ukz7dhIj/items/VYUNRB2Q"],"uri":["http://zotero.org/users/local/ukz7dhIj/items/VYUNRB2Q"],"itemData":{"id":2238,"type":"article-journal","abstract":"A network of interconnected brain regions, including orbitofrontal, ventral striatal, amygdala, and midbrain areas, has been widely implicated in a number of aspects of food reward. However, in humans, sensitivity to reward can vary significantly from one person to the next. Individuals high in this trait experience more frequent and intense food cravings and are more likely to be overweight or develop eating disorders associated with excessive food intake. Using functional magnetic resonance imaging, we report that individual variation in trait reward sensitivity (as measured by the Behavioral Activation Scale) is highly correlated with activation to images of appetizing foods (e.g., chocolate cake, pizza) in a fronto-striatal-amygdala-midbrain network. Our findings demonstrate that there is considerable personality-linked variability in the neural response to food cues in healthy participants and provide important insight into the neurobiological factors underlying vulnerability to certain eating problems (e.g., hyperphagic obesity).","container-title":"The Journal of Neuroscience: The Official Journal of the Society for Neuroscience","DOI":"10.1523/JNEUROSCI.0350-06.2006","ISSN":"1529-2401","issue":"19","journalAbbreviation":"J. Neurosci.","language":"eng","note":"PMID: 16687507\nPMCID: PMC6674259","page":"5160-5166","source":"PubMed","title":"Individual differences in reward drive predict neural responses to images of food","volume":"26","author":[{"family":"Beaver","given":"John D."},{"family":"Lawrence","given":"Andrew D."},{"family":"Ditzhuijzen","given":"Jenneke","non-dropping-particle":"van"},{"family":"Davis","given":"Matt H."},{"family":"Woods","given":"Andrew"},{"family":"Calder","given":"Andrew J."}],"issued":{"date-parts":[["2006",5,10]]}}},{"id":221,"uris":["http://zotero.org/users/local/ukz7dhIj/items/D2HRZQBW"],"uri":["http://zotero.org/users/local/ukz7dhIj/items/D2HRZQBW"],"itemData":{"id":221,"type":"article-journal","abstract":"Nutritional state (e.g. fasted vs. fed) and different food stimuli (e.g. high-calorie vs. low-calorie, or appetizing vs. bland foods) are both recognized to change activity in brain reward systems. Using functional magnetic resonance imaging, we have studied the interaction between nutritional state and different food stimuli on brain food reward systems. We examined how blood oxygen level-dependent activity within a priori regions of interest varied while viewing pictures of high-calorie and low-calorie foods. Pictures of non-food household objects were included as control stimuli. During scanning, subjects rated the appeal of each picture. Twenty non-obese healthy adults [body mass index 22.1 +/- 0.5 kg/m(2) (mean +/- SEM), age range 19-35 years, 10 male] were scanned on two separate mornings between 11:00 and 12:00 h, once after eating a filling breakfast ('fed': 1.6 +/- 0.1 h since breakfast), and once after an overnight fast but skipping breakfast ('fasted': 15.9 +/- 0.3 h since supper) in a randomized cross-over design. Fasting selectively increased activation to pictures of high-calorie over low-calorie foods in the ventral striatum, amygdala, anterior insula, and medial and lateral orbitofrontal cortex (OFC). Furthermore, fasting enhanced the subjective appeal of high-calorie more than low-calorie foods, and the change in appeal bias towards high-calorie foods was positively correlated with medial and lateral OFC activation. These results demonstrate an interaction between homeostatic and hedonic aspects of feeding behaviour, with fasting biasing brain reward systems towards high-calorie foods.","container-title":"The European Journal of Neuroscience","DOI":"10.1111/j.1460-9568.2009.06949.x","ISSN":"1460-9568","issue":"8","journalAbbreviation":"Eur. J. Neurosci.","language":"eng","note":"PMID: 19811532","page":"1625-1635","source":"PubMed","title":"Fasting biases brain reward systems towards high-calorie foods","volume":"30","author":[{"family":"Goldstone","given":"Anthony P."},{"family":"Prechtl de Hernandez","given":"Christina G."},{"family":"Beaver","given":"John D."},{"family":"Muhammed","given":"Kinan"},{"family":"Croese","given":"Charlotte"},{"family":"Bell","given":"Gabriel"},{"family":"Durighel","given":"Giuliana"},{"family":"Hughes","given":"Emer"},{"family":"Waldman","given":"Adam D."},{"family":"Frost","given":"Gary"},{"family":"Bell","given":"Jimmy D."}],"issued":{"date-parts":[["2009",10]]}}},{"id":2433,"uris":["http://zotero.org/users/local/ukz7dhIj/items/C4U3NLWR"],"uri":["http://zotero.org/users/local/ukz7dhIj/items/C4U3NLWR"],"itemData":{"id":2433,"type":"article-journal","abstract":"Aim of the present study was to investigate laterality of the gustatory system in the human brain for the taste qualities elicited by MSG (monosodium glutamate) and NaCl (sodium chloride). A total of 23 subjects participated in a block-design functional magnetic resonance imaging (fMRI) study. Liquid stimuli were presented at supra-threshold concentrations and delivered by means of a computer controlled gustometer. Left and right sides of the mouth were stimulated separately in order to correlate statistical parametrical maps to both the site of the stimulus and the specific taste quality. Following the effects of the site of stimulation through primary and secondary gustatory cortices an effort was made to explore the laterality of the gustatory pathways. Our results showed for both tastants a predominance of ipsilateral connections at the thalamus level. Insula left and right regions were both involved for both tastants. In these regions we found a high proportion of ipsilateral connection again for both the tastants. Considering orbitofrontal/prefrontal cortex, left-sided stimulation with NaCl or MSG produced left-sided activation of the orbito-frontal cortex clearly indicating the presence of an ipsilateral path. Finally, the hypothesis of frontal operculum as primary gustatory cortex and lateral prefrontal cortex as secondary was also supported by the results from dynamic causal modeling.","container-title":"NeuroImage","DOI":"10.1016/j.neuroimage.2011.12.088","ISSN":"1053-8119","issue":"1","journalAbbreviation":"NeuroImage","language":"en","page":"426-435","source":"ScienceDirect","title":"Taste laterality studied by means of umami and salt stimuli: An fMRI study","title-short":"Taste laterality studied by means of umami and salt stimuli","volume":"60","author":[{"family":"Iannilli","given":"Emilia"},{"family":"Singh","given":"P. Bano"},{"family":"Schuster","given":"Benno"},{"family":"Gerber","given":"Johannes"},{"family":"Hummel","given":"Thomas"}],"issued":{"date-parts":[["2012",3,1]]}}},{"id":2093,"uris":["http://zotero.org/users/local/ukz7dhIj/items/LQQ5657H"],"uri":["http://zotero.org/users/local/ukz7dhIj/items/LQQ5657H"],"itemData":{"id":2093,"type":"article-journal","abstract":"Abstract.  The function of the anterior-most portion of the temporal lobes, the temporal pole, is not well understood. Anatomists have long considered it part o","container-title":"Brain","DOI":"10.1093/brain/awm052","ISSN":"0006-8950","issue":"7","journalAbbreviation":"Brain","language":"en","page":"1718-1731","source":"academic.oup.com","title":"The Enigmatic temporal pole: a review of findings on social and emotional processing","title-short":"The Enigmatic temporal pole","volume":"130","author":[{"family":"Olson","given":"Ingrid R."},{"family":"Plotzker","given":"Alan"},{"family":"Ezzyat","given":"Youssef"}],"issued":{"date-parts":[["2007",7,1]]}}},{"id":2453,"uris":["http://zotero.org/users/local/ukz7dhIj/items/3KCVEA34"],"uri":["http://zotero.org/users/local/ukz7dhIj/items/3KCVEA34"],"itemData":{"id":2453,"type":"article-journal","abstract":"Abstract Emotional signals in spoken language can be conveyed by semantic as well as prosodic cues. We investigated the role of the fronto-parietal operculum, a somatosensory area where the lips, tongue and jaw are represented, in the right hemisphere to detection of emotion in prosody vs. semantics. A total of 14 healthy volunteers participated in the present experiment, which involved transcranial magnetic stimulation (TMS) in combination with frameless stereotaxy. As predicted, compared with sham stimulation, TMS over the right fronto-parietal operculum differentially affected the reaction times for detection of emotional prosody vs. emotional semantics, showing that there is a dissociation at a neuroanatomical level. Detection of withdrawal emotions (fear and sadness) in prosody was delayed significantly by TMS. No effects of TMS were observed for approach emotions (happiness and anger). We propose that the right fronto-parietal operculum is not globally involved in emotion evaluation, but sensitive to specific forms of emotional discrimination and emotion types.","container-title":"European Journal of Neuroscience","DOI":"10.1111/j.1460-9568.2005.04130.x","ISSN":"0953-816X","issue":"11","journalAbbreviation":"European Journal of Neuroscience","note":"publisher: John Wiley &amp; Sons, Ltd","page":"3195-3200","source":"onlinelibrary.wiley.com (Atypon)","title":"What is said or how it is said makes a difference: role of the right fronto-parietal operculum in emotional prosody as revealed by repetitive TMS","title-short":"What is said or how it is said makes a difference","volume":"21","author":[{"family":"Van Rijn","given":"Sophie"},{"family":"Aleman","given":"André"},{"family":"Van Diessen","given":"Eric"},{"family":"Berckmoes","given":"Celine"},{"family":"Vingerhoets","given":"Guy"},{"family":"Kahn","given":"René S."}],"issued":{"date-parts":[["2005",6,1]]}}},{"id":2458,"uris":["http://zotero.org/users/local/ukz7dhIj/items/Z9FT8YQ3"],"uri":["http://zotero.org/users/local/ukz7dhIj/items/Z9FT8YQ3"],"itemData":{"id":2458,"type":"article-journal","abstract":"Abstract.  Increasing research indicates that concepts are represented as distributed circuits of property information across the brain's modality-specific area","container-title":"Cerebral Cortex","DOI":"10.1093/cercor/bhi038","ISSN":"1047-3211","issue":"10","journalAbbreviation":"Cereb Cortex","language":"en","note":"publisher: Oxford Academic","page":"1602-1608","source":"academic.oup.com","title":"Pictures of Appetizing Foods Activate Gustatory Cortices for Taste and Reward","volume":"15","author":[{"family":"Simmons","given":"W. Kyle"},{"family":"Martin","given":"Alex"},{"family":"Barsalou","given":"Lawrence W."}],"issued":{"date-parts":[["2005",10,1]]}}}],"schema":"https://github.com/citation-style-language/schema/raw/master/csl-citation.json"} </w:instrText>
      </w:r>
      <w:r w:rsidR="00BC2CCF" w:rsidRPr="000217C7">
        <w:rPr>
          <w:color w:val="000000" w:themeColor="text1"/>
          <w:lang w:val="en-GB"/>
        </w:rPr>
        <w:fldChar w:fldCharType="separate"/>
      </w:r>
      <w:r w:rsidR="00D06948" w:rsidRPr="000217C7">
        <w:rPr>
          <w:rFonts w:cs="Times New Roman"/>
          <w:color w:val="000000" w:themeColor="text1"/>
          <w:lang w:val="en-GB"/>
        </w:rPr>
        <w:t>(Porubská et al., 2006; Beaver et al., 2006; Goldstone et al., 2009; Iannilli et al., 2012; Olson et al., 2007; Van Rijn et al., 2005; Simmons et al., 2005)</w:t>
      </w:r>
      <w:r w:rsidR="00BC2CCF" w:rsidRPr="000217C7">
        <w:rPr>
          <w:color w:val="000000" w:themeColor="text1"/>
          <w:lang w:val="en-GB"/>
        </w:rPr>
        <w:fldChar w:fldCharType="end"/>
      </w:r>
      <w:r w:rsidR="00992394" w:rsidRPr="000217C7">
        <w:rPr>
          <w:color w:val="000000" w:themeColor="text1"/>
          <w:lang w:val="en-GB"/>
        </w:rPr>
        <w:t xml:space="preserve">. </w:t>
      </w:r>
      <w:r w:rsidR="00546658" w:rsidRPr="000217C7">
        <w:rPr>
          <w:color w:val="000000" w:themeColor="text1"/>
          <w:lang w:val="en-GB"/>
        </w:rPr>
        <w:t xml:space="preserve">According to </w:t>
      </w:r>
      <w:r w:rsidR="00546658" w:rsidRPr="000217C7">
        <w:rPr>
          <w:color w:val="000000" w:themeColor="text1"/>
        </w:rPr>
        <w:t xml:space="preserve">the reward deficit model of obesity </w:t>
      </w:r>
      <w:r w:rsidR="00BC2CCF" w:rsidRPr="000217C7">
        <w:rPr>
          <w:color w:val="000000" w:themeColor="text1"/>
        </w:rPr>
        <w:fldChar w:fldCharType="begin"/>
      </w:r>
      <w:r w:rsidR="009456C2" w:rsidRPr="000217C7">
        <w:rPr>
          <w:color w:val="000000" w:themeColor="text1"/>
        </w:rPr>
        <w:instrText xml:space="preserve"> ADDIN ZOTERO_ITEM CSL_CITATION {"citationID":"a7qvdmhi7u","properties":{"formattedCitation":"(Wang et al., 2002)","plainCitation":"(Wang et al., 2002)","noteIndex":0},"citationItems":[{"id":2546,"uris":["http://zotero.org/users/local/ukz7dhIj/items/8TMG8E3M"],"uri":["http://zotero.org/users/local/ukz7dhIj/items/8TMG8E3M"],"itemData":{"id":2546,"type":"article-journal","abstract":"Obesity is a major public health problem. The increasing number of obese individuals in the US adds urgency to the efforts to understand the mechanisms underlying pathological overeating. Imaging studies using positron emission tomography implicate the involvement of brain dopamine (DA) in normal and pathological food intake in humans. In normal body weight, fasting subjects, food presentation that could not be consumed was associated with increases in striatal extracellular DA, which provides evidence of an involvement of DA in non-hedonic motivational properties of food intake. In pathologically obese subjects, the authors showed reductions in striatal D2 receptor availability that were inversely associated with the weight of the subject. The involvement of the DA system in reward and reinforcement has led to the hypothesis that low brain DA activity in obese subjects predisposes them to excessive use of food. A better understanding of the role of the DA system in the motivation for food intake will help the development of better therapeutic interventions.","container-title":"Expert Opinion on Therapeutic Targets","DOI":"10.1517/14728222.6.5.601","ISSN":"1744-7631","issue":"5","journalAbbreviation":"Expert Opin. Ther. Targets","language":"eng","note":"PMID: 12387683","page":"601-609","source":"PubMed","title":"The role of dopamine in motivation for food in humans: implications for obesity","title-short":"The role of dopamine in motivation for food in humans","volume":"6","author":[{"family":"Wang","given":"Gene-Jack"},{"family":"Volkow","given":"Nora D."},{"family":"Fowler","given":"Joanna S."}],"issued":{"date-parts":[["2002",10]]}}}],"schema":"https://github.com/citation-style-language/schema/raw/master/csl-citation.json"} </w:instrText>
      </w:r>
      <w:r w:rsidR="00BC2CCF" w:rsidRPr="000217C7">
        <w:rPr>
          <w:color w:val="000000" w:themeColor="text1"/>
        </w:rPr>
        <w:fldChar w:fldCharType="separate"/>
      </w:r>
      <w:r w:rsidR="009456C2" w:rsidRPr="000217C7">
        <w:rPr>
          <w:rFonts w:cs="Times New Roman"/>
          <w:color w:val="000000" w:themeColor="text1"/>
          <w:lang w:val="en-GB"/>
        </w:rPr>
        <w:t>(Wang et al., 2002)</w:t>
      </w:r>
      <w:r w:rsidR="00BC2CCF" w:rsidRPr="000217C7">
        <w:rPr>
          <w:color w:val="000000" w:themeColor="text1"/>
        </w:rPr>
        <w:fldChar w:fldCharType="end"/>
      </w:r>
      <w:r w:rsidR="00546658" w:rsidRPr="000217C7">
        <w:rPr>
          <w:color w:val="000000" w:themeColor="text1"/>
        </w:rPr>
        <w:t xml:space="preserve">, the reduced </w:t>
      </w:r>
      <w:r w:rsidR="003D133F" w:rsidRPr="000217C7">
        <w:rPr>
          <w:color w:val="000000" w:themeColor="text1"/>
        </w:rPr>
        <w:t>GM</w:t>
      </w:r>
      <w:r w:rsidR="00546658" w:rsidRPr="000217C7">
        <w:rPr>
          <w:color w:val="000000" w:themeColor="text1"/>
        </w:rPr>
        <w:t xml:space="preserve"> density in reward regions may stimulate increase intake to compensate for the deficit. </w:t>
      </w:r>
      <w:r w:rsidR="00992394" w:rsidRPr="000217C7">
        <w:rPr>
          <w:color w:val="000000" w:themeColor="text1"/>
          <w:lang w:val="en-GB"/>
        </w:rPr>
        <w:t xml:space="preserve">Notably, a </w:t>
      </w:r>
      <w:r w:rsidR="00477AA0" w:rsidRPr="000217C7">
        <w:rPr>
          <w:color w:val="000000" w:themeColor="text1"/>
          <w:lang w:val="en-GB"/>
        </w:rPr>
        <w:t>greater food</w:t>
      </w:r>
      <w:r w:rsidR="005F5A55" w:rsidRPr="000217C7">
        <w:rPr>
          <w:color w:val="000000" w:themeColor="text1"/>
          <w:lang w:val="en-GB"/>
        </w:rPr>
        <w:t>-</w:t>
      </w:r>
      <w:r w:rsidR="00477AA0" w:rsidRPr="000217C7">
        <w:rPr>
          <w:color w:val="000000" w:themeColor="text1"/>
          <w:lang w:val="en-GB"/>
        </w:rPr>
        <w:t>specific bias predicted high</w:t>
      </w:r>
      <w:r w:rsidR="00FB6D6C" w:rsidRPr="000217C7">
        <w:rPr>
          <w:color w:val="000000" w:themeColor="text1"/>
          <w:lang w:val="en-GB"/>
        </w:rPr>
        <w:t>er</w:t>
      </w:r>
      <w:r w:rsidR="00477AA0" w:rsidRPr="000217C7">
        <w:rPr>
          <w:color w:val="000000" w:themeColor="text1"/>
          <w:lang w:val="en-GB"/>
        </w:rPr>
        <w:t xml:space="preserve"> connectivity </w:t>
      </w:r>
      <w:r w:rsidR="0098225C" w:rsidRPr="000217C7">
        <w:rPr>
          <w:color w:val="000000" w:themeColor="text1"/>
          <w:lang w:val="en-GB"/>
        </w:rPr>
        <w:t>in the high</w:t>
      </w:r>
      <w:r w:rsidR="008417F2" w:rsidRPr="000217C7">
        <w:rPr>
          <w:color w:val="000000" w:themeColor="text1"/>
          <w:lang w:val="en-GB"/>
        </w:rPr>
        <w:t>er</w:t>
      </w:r>
      <w:r w:rsidR="0098225C" w:rsidRPr="000217C7">
        <w:rPr>
          <w:color w:val="000000" w:themeColor="text1"/>
          <w:lang w:val="en-GB"/>
        </w:rPr>
        <w:t xml:space="preserve"> BMI group </w:t>
      </w:r>
      <w:r w:rsidR="00477AA0" w:rsidRPr="000217C7">
        <w:rPr>
          <w:color w:val="000000" w:themeColor="text1"/>
          <w:lang w:val="en-GB"/>
        </w:rPr>
        <w:t xml:space="preserve">between the right parietal operculum and the </w:t>
      </w:r>
      <w:proofErr w:type="spellStart"/>
      <w:r w:rsidR="00992394" w:rsidRPr="000217C7">
        <w:rPr>
          <w:color w:val="000000" w:themeColor="text1"/>
          <w:lang w:val="en-GB"/>
        </w:rPr>
        <w:t>controlateral</w:t>
      </w:r>
      <w:proofErr w:type="spellEnd"/>
      <w:r w:rsidR="00477AA0" w:rsidRPr="000217C7">
        <w:rPr>
          <w:color w:val="000000" w:themeColor="text1"/>
          <w:lang w:val="en-GB"/>
        </w:rPr>
        <w:t xml:space="preserve"> precentral gyrus,</w:t>
      </w:r>
      <w:r w:rsidR="00992394" w:rsidRPr="000217C7">
        <w:rPr>
          <w:color w:val="000000" w:themeColor="text1"/>
          <w:lang w:val="en-GB"/>
        </w:rPr>
        <w:t xml:space="preserve"> </w:t>
      </w:r>
      <w:r w:rsidR="00222C6D" w:rsidRPr="000217C7">
        <w:rPr>
          <w:color w:val="000000" w:themeColor="text1"/>
          <w:lang w:val="en-GB"/>
        </w:rPr>
        <w:t xml:space="preserve">an area whose activity </w:t>
      </w:r>
      <w:r w:rsidR="00992394" w:rsidRPr="000217C7">
        <w:rPr>
          <w:color w:val="000000" w:themeColor="text1"/>
          <w:lang w:val="en-GB"/>
        </w:rPr>
        <w:t>has been</w:t>
      </w:r>
      <w:r w:rsidR="00992394" w:rsidRPr="000217C7">
        <w:rPr>
          <w:color w:val="000000" w:themeColor="text1"/>
        </w:rPr>
        <w:t xml:space="preserve"> related</w:t>
      </w:r>
      <w:r w:rsidR="00992394" w:rsidRPr="000217C7">
        <w:rPr>
          <w:color w:val="000000" w:themeColor="text1"/>
          <w:lang w:val="en-GB"/>
        </w:rPr>
        <w:t xml:space="preserve"> to the saliency of food stimuli </w:t>
      </w:r>
      <w:r w:rsidR="00BC2CCF" w:rsidRPr="000217C7">
        <w:rPr>
          <w:color w:val="000000" w:themeColor="text1"/>
          <w:lang w:val="en-GB"/>
        </w:rPr>
        <w:fldChar w:fldCharType="begin"/>
      </w:r>
      <w:r w:rsidR="00D06948" w:rsidRPr="000217C7">
        <w:rPr>
          <w:color w:val="000000" w:themeColor="text1"/>
          <w:lang w:val="en-GB"/>
        </w:rPr>
        <w:instrText xml:space="preserve"> ADDIN ZOTERO_ITEM CSL_CITATION {"citationID":"a2keomcbopb","properties":{"formattedCitation":"(see for instance Litt et al., 2011)","plainCitation":"(see for instance Litt et al., 2011)","noteIndex":0},"citationItems":[{"id":2448,"uris":["http://zotero.org/users/local/ukz7dhIj/items/TBG769VL"],"uri":["http://zotero.org/users/local/ukz7dhIj/items/TBG769VL"],"itemData":{"id":2448,"type":"article-journal","abstract":"There is a growing consensus that the brain computes value and saliency-like signals at the time of decision-making. Value signals are essential for making choices. Saliency signals are related to motivation, attention, and arousal. Unfortunately, an unequivocal characterization of the areas involved in these 2 distinct sets of processes is made difficult by the fact that, in most experiments, both types of signals are highly correlated. We dissociated value and saliency signals using a novel human functional magnetic resonance imaging decision-making task. Activity in the medial orbitofrontal, rostral anterior cingulate, and posterior cingulate cortices was modulated by value but not saliency. The opposite was true for dorsal anterior cingulate, supplementary motor area, insula, and the precentral and fusiform gyri. Only the ventral striatum and the cuneus were modulated by both value and saliency.","container-title":"Cerebral Cortex (New York, N.Y.: 1991)","DOI":"10.1093/cercor/bhq065","ISSN":"1460-2199","issue":"1","journalAbbreviation":"Cereb. Cortex","language":"eng","note":"PMID: 20444840","page":"95-102","source":"PubMed","title":"Dissociating valuation and saliency signals during decision-making","volume":"21","author":[{"family":"Litt","given":"Ab"},{"family":"Plassmann","given":"Hilke"},{"family":"Shiv","given":"Baba"},{"family":"Rangel","given":"Antonio"}],"issued":{"date-parts":[["2011",1]]}},"prefix":"see for instance"}],"schema":"https://github.com/citation-style-language/schema/raw/master/csl-citation.json"} </w:instrText>
      </w:r>
      <w:r w:rsidR="00BC2CCF" w:rsidRPr="000217C7">
        <w:rPr>
          <w:color w:val="000000" w:themeColor="text1"/>
          <w:lang w:val="en-GB"/>
        </w:rPr>
        <w:fldChar w:fldCharType="separate"/>
      </w:r>
      <w:r w:rsidR="00D06948" w:rsidRPr="000217C7">
        <w:rPr>
          <w:rFonts w:cs="Times New Roman"/>
          <w:color w:val="000000" w:themeColor="text1"/>
          <w:lang w:val="en-GB"/>
        </w:rPr>
        <w:t>(see for instance Litt et al., 2011)</w:t>
      </w:r>
      <w:r w:rsidR="00BC2CCF" w:rsidRPr="000217C7">
        <w:rPr>
          <w:color w:val="000000" w:themeColor="text1"/>
          <w:lang w:val="en-GB"/>
        </w:rPr>
        <w:fldChar w:fldCharType="end"/>
      </w:r>
      <w:r w:rsidR="00F727FE" w:rsidRPr="000217C7">
        <w:rPr>
          <w:color w:val="000000" w:themeColor="text1"/>
          <w:lang w:val="en-GB"/>
        </w:rPr>
        <w:t xml:space="preserve"> and that has been shown t</w:t>
      </w:r>
      <w:r w:rsidR="002E403E" w:rsidRPr="000217C7">
        <w:rPr>
          <w:color w:val="000000" w:themeColor="text1"/>
          <w:lang w:val="en-GB"/>
        </w:rPr>
        <w:t>o have increased activation in</w:t>
      </w:r>
      <w:r w:rsidR="00F727FE" w:rsidRPr="000217C7">
        <w:rPr>
          <w:color w:val="000000" w:themeColor="text1"/>
          <w:lang w:val="en-GB"/>
        </w:rPr>
        <w:t xml:space="preserve"> response to food images</w:t>
      </w:r>
      <w:r w:rsidR="002E403E" w:rsidRPr="000217C7">
        <w:rPr>
          <w:color w:val="000000" w:themeColor="text1"/>
          <w:lang w:val="en-GB"/>
        </w:rPr>
        <w:t xml:space="preserve"> in</w:t>
      </w:r>
      <w:r w:rsidR="00F727FE" w:rsidRPr="000217C7">
        <w:rPr>
          <w:color w:val="000000" w:themeColor="text1"/>
          <w:lang w:val="en-GB"/>
        </w:rPr>
        <w:t xml:space="preserve"> </w:t>
      </w:r>
      <w:r w:rsidR="00DC46A4" w:rsidRPr="000217C7">
        <w:rPr>
          <w:color w:val="000000" w:themeColor="text1"/>
          <w:lang w:val="en-GB"/>
        </w:rPr>
        <w:t xml:space="preserve">individuals with </w:t>
      </w:r>
      <w:r w:rsidR="00F727FE" w:rsidRPr="000217C7">
        <w:rPr>
          <w:color w:val="000000" w:themeColor="text1"/>
          <w:lang w:val="en-GB"/>
        </w:rPr>
        <w:t>obes</w:t>
      </w:r>
      <w:r w:rsidR="00DC46A4" w:rsidRPr="000217C7">
        <w:rPr>
          <w:color w:val="000000" w:themeColor="text1"/>
          <w:lang w:val="en-GB"/>
        </w:rPr>
        <w:t>ity</w:t>
      </w:r>
      <w:r w:rsidR="00F727FE" w:rsidRPr="000217C7">
        <w:rPr>
          <w:color w:val="000000" w:themeColor="text1"/>
          <w:lang w:val="en-GB"/>
        </w:rPr>
        <w:t xml:space="preserve"> </w:t>
      </w:r>
      <w:r w:rsidR="002E403E" w:rsidRPr="000217C7">
        <w:rPr>
          <w:color w:val="000000" w:themeColor="text1"/>
          <w:lang w:val="en-GB"/>
        </w:rPr>
        <w:fldChar w:fldCharType="begin"/>
      </w:r>
      <w:r w:rsidR="002E403E" w:rsidRPr="000217C7">
        <w:rPr>
          <w:color w:val="000000" w:themeColor="text1"/>
          <w:lang w:val="en-GB"/>
        </w:rPr>
        <w:instrText xml:space="preserve"> ADDIN ZOTERO_ITEM CSL_CITATION {"citationID":"avdosipm5g","properties":{"formattedCitation":"\\uldash{(Brooks et al., 2013)}","plainCitation":"(Brooks et al., 2013)","noteIndex":0},"citationItems":[{"id":1909,"uris":["http://zotero.org/users/local/ukz7dhIj/items/9EBRRRVN"],"uri":["http://zotero.org/users/local/ukz7dhIj/items/9EBRRRVN"],"itemData":{"id":1909,"type":"article-journal","abstract":"Background and Objectives Obesity is emerging as the most significant health concern of the twenty-first century. A wealth of neuroimaging data suggest that weight gain might be related to aberrant brain function, particularly in prefrontal cortical regions modulating mesolimbic addictive responses to food. Nevertheless, food addiction is currently a model hotly debated. Here, we conduct a meta-analysis of neuroimaging data, examining the most common functional differences between normal-weight and obese participants in response to food stimuli. Data Source We conducted a search using several journal databases and adhered to the ‘Preferred Reporting Items for Systematic Reviews and Meta-analyses’ (PRISMA) method. To this aim, 10 studies were found with a total of 126 obese participants, 129 healthy controls, equaling 184 foci (146 increased, 38 decreased activation) using the Activation Likelihood Estimation (ALE) technique. Out of the 10 studies, 7 investigated neural responses to food versus non-food images. Results In response to food images, obese in comparison to healthy weight subjects had increased activation in the left dorsomedial prefrontal cortex, right parahippocampal gyrus, right precentral gyrus and right anterior cingulate cortex, and reduced activation in the left dorsolateral prefrontal cortex and left insular cortex. Conclusions Prefrontal cortex areas linked to cognitive evaluation processes, such as evaluation of rewarding stimuli, as well as explicit memory regions, appear most consistently activated in response to images of food in those who are obese. Conversely, a reduced activation in brain regions associated with cognitive control and interoceptive awareness of sensations in the body might indicate a weakened control system, combined with hypo-sensitivity to satiety and discomfort signals after eating in those who are prone to overeat.","container-title":"PLOS ONE","DOI":"10.1371/journal.pone.0060393","ISSN":"1932-6203","issue":"4","journalAbbreviation":"PLOS ONE","language":"en","page":"e60393","source":"PLoS Journals","title":"Increased Prefrontal and Parahippocampal Activation with Reduced Dorsolateral Prefrontal and Insular Cortex Activation to Food Images in Obesity: A Meta-Analysis of fMRI Studies","title-short":"Increased Prefrontal and Parahippocampal Activation with Reduced Dorsolateral Prefrontal and Insular Cortex Activation to Food Images in Obesity","volume":"8","author":[{"family":"Brooks","given":"Samantha J."},{"family":"Cedernaes","given":"Jonathan"},{"family":"Schiöth","given":"Helgi B."}],"issued":{"date-parts":[["2013",4,10]]}}}],"schema":"https://github.com/citation-style-language/schema/raw/master/csl-citation.json"} </w:instrText>
      </w:r>
      <w:r w:rsidR="002E403E" w:rsidRPr="000217C7">
        <w:rPr>
          <w:color w:val="000000" w:themeColor="text1"/>
          <w:lang w:val="en-GB"/>
        </w:rPr>
        <w:fldChar w:fldCharType="separate"/>
      </w:r>
      <w:r w:rsidR="002E403E" w:rsidRPr="000217C7">
        <w:rPr>
          <w:rFonts w:cs="Times New Roman"/>
          <w:color w:val="000000" w:themeColor="text1"/>
          <w:u w:val="dash"/>
          <w:lang w:val="en-GB"/>
        </w:rPr>
        <w:t>(Brooks et al., 2013)</w:t>
      </w:r>
      <w:r w:rsidR="002E403E" w:rsidRPr="000217C7">
        <w:rPr>
          <w:color w:val="000000" w:themeColor="text1"/>
          <w:lang w:val="en-GB"/>
        </w:rPr>
        <w:fldChar w:fldCharType="end"/>
      </w:r>
      <w:r w:rsidR="005F5A55" w:rsidRPr="000217C7">
        <w:rPr>
          <w:color w:val="000000" w:themeColor="text1"/>
          <w:lang w:val="en-GB"/>
        </w:rPr>
        <w:t xml:space="preserve">, </w:t>
      </w:r>
      <w:r w:rsidR="00222C6D" w:rsidRPr="000217C7">
        <w:rPr>
          <w:color w:val="000000" w:themeColor="text1"/>
          <w:lang w:val="en-GB"/>
        </w:rPr>
        <w:t xml:space="preserve">as well as </w:t>
      </w:r>
      <w:r w:rsidR="00477AA0" w:rsidRPr="000217C7">
        <w:rPr>
          <w:color w:val="000000" w:themeColor="text1"/>
          <w:lang w:val="en-GB"/>
        </w:rPr>
        <w:t>lower connectivity between the left orbital gyrus and visual areas</w:t>
      </w:r>
      <w:r w:rsidR="00992394" w:rsidRPr="000217C7">
        <w:rPr>
          <w:color w:val="000000" w:themeColor="text1"/>
          <w:lang w:val="en-GB"/>
        </w:rPr>
        <w:t xml:space="preserve">, i.e. the </w:t>
      </w:r>
      <w:r w:rsidR="00992394" w:rsidRPr="000217C7">
        <w:rPr>
          <w:color w:val="000000" w:themeColor="text1"/>
        </w:rPr>
        <w:t>right fusiform gyrus and the bilateral occipital cortex</w:t>
      </w:r>
      <w:r w:rsidR="00A0799A" w:rsidRPr="000217C7">
        <w:rPr>
          <w:color w:val="000000" w:themeColor="text1"/>
        </w:rPr>
        <w:t>.</w:t>
      </w:r>
      <w:r w:rsidR="00992394" w:rsidRPr="000217C7">
        <w:rPr>
          <w:color w:val="000000" w:themeColor="text1"/>
        </w:rPr>
        <w:t xml:space="preserve"> </w:t>
      </w:r>
      <w:r w:rsidR="00D336CD" w:rsidRPr="000217C7">
        <w:rPr>
          <w:color w:val="000000" w:themeColor="text1"/>
        </w:rPr>
        <w:t xml:space="preserve">Reduced </w:t>
      </w:r>
      <w:r w:rsidR="00F1448D" w:rsidRPr="000217C7">
        <w:rPr>
          <w:color w:val="000000" w:themeColor="text1"/>
        </w:rPr>
        <w:t xml:space="preserve">connectivity of visual areas in </w:t>
      </w:r>
      <w:r w:rsidR="00E57B3E" w:rsidRPr="000217C7">
        <w:rPr>
          <w:color w:val="000000" w:themeColor="text1"/>
        </w:rPr>
        <w:t xml:space="preserve">individuals with a higher BMI </w:t>
      </w:r>
      <w:r w:rsidR="00D1361E" w:rsidRPr="000217C7">
        <w:rPr>
          <w:color w:val="000000" w:themeColor="text1"/>
        </w:rPr>
        <w:t xml:space="preserve">is </w:t>
      </w:r>
      <w:r w:rsidR="00F1448D" w:rsidRPr="000217C7">
        <w:rPr>
          <w:color w:val="000000" w:themeColor="text1"/>
        </w:rPr>
        <w:t xml:space="preserve">coherent with previous literature results </w:t>
      </w:r>
      <w:r w:rsidR="00BC2CCF" w:rsidRPr="000217C7">
        <w:rPr>
          <w:color w:val="000000" w:themeColor="text1"/>
        </w:rPr>
        <w:fldChar w:fldCharType="begin"/>
      </w:r>
      <w:r w:rsidR="006C3543" w:rsidRPr="000217C7">
        <w:rPr>
          <w:color w:val="000000" w:themeColor="text1"/>
        </w:rPr>
        <w:instrText xml:space="preserve"> ADDIN ZOTERO_ITEM CSL_CITATION {"citationID":"aeg1r1cu22","properties":{"formattedCitation":"(Zhang et al., 2020)","plainCitation":"(Zhang et al., 2020)","noteIndex":0},"citationItems":[{"id":2688,"uris":["http://zotero.org/users/local/ukz7dhIj/items/6KEUNF74"],"uri":["http://zotero.org/users/local/ukz7dhIj/items/6KEUNF74"],"itemData":{"id":2688,"type":"article-journal","abstract":"Objective This study aimed to investigate regional neural activity and regulation of patterns in the reorganized neural network of obesity and explore the correlation between brain activities and eating behavior. Methods A total of 23 individuals with obesity and 23 controls with normal weight were enrolled. Functional magnetic resonance imaging (fMRI) data were acquired using 3.0-T MRI. Amplitude of low-frequency fluctuation and functional connectivity (FC) analyses were conducted using Data Processing Assistant for resting-state fMRI and Resting-State fMRI Data Analysis Toolkit (REST). Results The group with obesity showed increased amplitude of low-frequency values in left fusiform gyrus/amygdala, inferior temporal gyrus (ITG), hippocampus/parahippocampal gyrus, and bilateral caudate but decreased values in right superior temporal gyrus. The group with obesity showed increased FC between left caudate and right superior temporal gyrus, left fusiform gyrus/amygdala and left ITG, right caudate and left fusiform gyrus/amygdala, and right caudate and left hippocampus/parahippocampal gyrus. Dutch Eating Behavior Questionnaire-Emotional scores were positively correlated with FC between left hippocampus/parahippocampal gyrus and right caudate but negatively correlated with FC between left fusiform gyrus/amygdala and left ITG. Conclusions The study indicated the reorganized neural network presented as a bilateral cross-regulation pattern across hemispheres between reward and various appetite-related functional processing, thus affecting emotional and external eating behavior. These results could provide further evidence for neuropsychological underpinnings of food intake and their neuromodulatory therapeutic potential in obesity.","container-title":"Obesity","DOI":"10.1002/oby.22839","ISSN":"1930-739X","issue":"7","language":"en","note":"_eprint: https://onlinelibrary.wiley.com/doi/pdf/10.1002/oby.22839","page":"1283-1291","source":"Wiley Online Library","title":"Abnormal Regional Neural Activity and Reorganized Neural Network in Obesity: Evidence from Resting-State fMRI","title-short":"Abnormal Regional Neural Activity and Reorganized Neural Network in Obesity","volume":"28","author":[{"family":"Zhang","given":"Peng"},{"family":"Wu","given":"Guo-wei"},{"family":"Yu","given":"Feng-xia"},{"family":"Liu","given":"Yang"},{"family":"Li","given":"Meng-yi"},{"family":"Wang","given":"Zheng"},{"family":"Ding","given":"He-yu"},{"family":"Li","given":"Xiao-shuai"},{"family":"Wang","given":"Hao"},{"family":"Jin","given":"Mei"},{"family":"Zhang","given":"Zheng-yu"},{"family":"Zhao","given":"Peng-fei"},{"family":"Li","given":"Jing"},{"family":"Yang","given":"Zheng-han"},{"family":"Lv","given":"Han"},{"family":"Zhang","given":"Zhong-tao"},{"family":"Wang","given":"Zhen-chang"}],"issued":{"date-parts":[["2020"]]}}}],"schema":"https://github.com/citation-style-language/schema/raw/master/csl-citation.json"} </w:instrText>
      </w:r>
      <w:r w:rsidR="00BC2CCF" w:rsidRPr="000217C7">
        <w:rPr>
          <w:color w:val="000000" w:themeColor="text1"/>
        </w:rPr>
        <w:fldChar w:fldCharType="separate"/>
      </w:r>
      <w:r w:rsidR="006C3543" w:rsidRPr="000217C7">
        <w:rPr>
          <w:rFonts w:cs="Times New Roman"/>
          <w:color w:val="000000" w:themeColor="text1"/>
          <w:lang w:val="en-GB"/>
        </w:rPr>
        <w:t>(Zhang et al., 2020)</w:t>
      </w:r>
      <w:r w:rsidR="00BC2CCF" w:rsidRPr="000217C7">
        <w:rPr>
          <w:color w:val="000000" w:themeColor="text1"/>
        </w:rPr>
        <w:fldChar w:fldCharType="end"/>
      </w:r>
      <w:r w:rsidR="00F1448D" w:rsidRPr="000217C7">
        <w:rPr>
          <w:color w:val="000000" w:themeColor="text1"/>
        </w:rPr>
        <w:t xml:space="preserve">, </w:t>
      </w:r>
      <w:r w:rsidR="00D1361E" w:rsidRPr="000217C7">
        <w:rPr>
          <w:color w:val="000000" w:themeColor="text1"/>
        </w:rPr>
        <w:t>and the observation</w:t>
      </w:r>
      <w:r w:rsidR="00F1448D" w:rsidRPr="000217C7">
        <w:rPr>
          <w:color w:val="000000" w:themeColor="text1"/>
        </w:rPr>
        <w:t xml:space="preserve"> that v</w:t>
      </w:r>
      <w:r w:rsidR="00A363A2" w:rsidRPr="000217C7">
        <w:rPr>
          <w:color w:val="000000" w:themeColor="text1"/>
        </w:rPr>
        <w:t>isual areas are activated more strongly by food than by nonfood images, possibly due to greater attentional and motivational salience of food objects</w:t>
      </w:r>
      <w:r w:rsidR="00995F0D" w:rsidRPr="000217C7">
        <w:rPr>
          <w:color w:val="000000" w:themeColor="text1"/>
        </w:rPr>
        <w:t xml:space="preserve"> </w:t>
      </w:r>
      <w:r w:rsidR="00BC2CCF" w:rsidRPr="000217C7">
        <w:rPr>
          <w:color w:val="000000" w:themeColor="text1"/>
        </w:rPr>
        <w:fldChar w:fldCharType="begin"/>
      </w:r>
      <w:r w:rsidR="006C3543" w:rsidRPr="000217C7">
        <w:rPr>
          <w:color w:val="000000" w:themeColor="text1"/>
        </w:rPr>
        <w:instrText xml:space="preserve"> ADDIN ZOTERO_ITEM CSL_CITATION {"citationID":"a28p3fqbcgv","properties":{"formattedCitation":"(Adamson and Troiani, 2018; Frank et al., 2010; Masterson et al., 2019; Rosenbaum et al., 2008; van der Laan et al., 2011)","plainCitation":"(Adamson and Troiani, 2018; Frank et al., 2010; Masterson et al., 2019; Rosenbaum et al., 2008; van der Laan et al., 2011)","noteIndex":0},"citationItems":[{"id":2753,"uris":["http://zotero.org/users/local/ukz7dhIj/items/JAMAWZXL"],"uri":["http://zotero.org/users/local/ukz7dhIj/items/JAMAWZXL"],"itemData":{"id":2753,"type":"article-journal","abstract":"The fusiform cortex is a part of the ventral visual stream and is typically associated with face processing. Indeed, a subregion of the fusiform has been named the “fusiform face area” or FFA, based on its robust response to faces relative to other objects. In a separate literature, appetizing food has also been shown to activate bilateral fusiform cortex, yet no study to date has directly compared face and food responses within the same paradigm. Here, we use functional magnetic resonance imaging (fMRI) to compare face and food responses in ventral visual cortex and other regions that are typically associated with face processing. We present evidence that a region of the left fusiform cortex (typically associated with face processing) actually responds equally to faces and food. We go on to describe the similarities and differences in location of face- and food-responses in the fusiform, the relationship of fusiform activation to body mass index (BMI), and resting state connectivity of face- and food-selective fusiform. Results are interpreted within a model in which motivational relevance or value influence fusiform response.","container-title":"NeuroImage","DOI":"10.1016/j.neuroimage.2018.02.064","ISSN":"1053-8119","journalAbbreviation":"NeuroImage","language":"en","page":"393-406","source":"ScienceDirect","title":"Distinct and overlapping fusiform activation to faces and food","volume":"174","author":[{"family":"Adamson","given":"Kayleigh"},{"family":"Troiani","given":"Vanessa"}],"issued":{"date-parts":[["2018",7,1]]}}},{"id":9,"uris":["http://zotero.org/users/local/ukz7dhIj/items/8QAD6SIT"],"uri":["http://zotero.org/users/local/ukz7dhIj/items/8QAD6SIT"],"itemData":{"id":9,"type":"article-journal","abstract":"In most cases obesity, a major risk factor for diabetes mellitus type 2 and other associated chronic diseases, is generated by excessive eating. For a better understanding of eating behavior, it is necessary to determine how it is modulated by factors such as the calorie content of food, satiety and gender. Twelve healthy normal weighted participants (six female) were investigated in a functional magnetic resonance imaging (fMRI) study. In order to prevent the influence of social acceptability, an implicit one-back task was chosen for stimulus presentation. We presented food (high- and low-caloric) and non-food pictures in a block design and subjects had to indicate by button press whether two consecutive pictures were the same or not. Each subject performed the task in a hungry and satiated state on two different days. High-caloric pictures compared to low-caloric pictures led to increased activity in food processing and reward related areas, like the orbitofrontal and the insular cortex. In addition, we found activation differences in visual areas (occipital lobe), despite the fact that the stimuli were matched for their physical features. Detailed investigation also revealed gender specific effects in the fusiform gyrus. Women showed higher activation in the fusiform gyrus while viewing high-caloric pictures in the hungry state. This study shows that the calorie content of food pictures modulates the activation of brain areas related to reward processing and even early visual areas. In addition, satiation seems to influence the processing of food pictures differently in men and women. Even though an implicit task was used, activation differences could also be observed in the orbitofrontal cortex, known to be activated during explicit stimulation with food related stimuli.","collection-title":"Neural Mechanisms of Ingestive Behaviour and Obesity","container-title":"Brain Research","DOI":"10.1016/j.brainres.2010.04.030","ISSN":"0006-8993","journalAbbreviation":"Brain Research","page":"159-166","source":"ScienceDirect","title":"Processing of food pictures: Influence of hunger, gender and calorie content","title-short":"Processing of food pictures","volume":"1350","author":[{"family":"Frank","given":"Sabine"},{"family":"Laharnar","given":"Naima"},{"family":"Kullmann","given":"Stephanie"},{"family":"Veit","given":"Ralf"},{"family":"Canova","given":"Carlos"},{"family":"Hegner","given":"Yiwen Li"},{"family":"Fritsche","given":"Andreas"},{"family":"Preissl","given":"Hubert"}],"issued":{"date-parts":[["2010",9,2]]}}},{"id":2514,"uris":["http://zotero.org/users/local/ukz7dhIj/items/HQMI3XD3"],"uri":["http://zotero.org/users/local/ukz7dhIj/items/HQMI3XD3"],"itemData":{"id":2514,"type":"article-journal","abstract":"Food branding is ubiquitous, however, not all children are equally susceptible to its effects. The objectives of this study were to 1) determine whether food brands evoke differential response than non-food brands in brain areas related to motivation and inhibitory control using blood oxygen level dependent (BOLD) functional magnetic resonance imaging (fMRI) and 2) determine the association between brain response and energy intake at test-meals presented with or without brands. Twenty-eight 7–10 year-old children completed four visits as part of a within-subjects design where they consumed three multi-item test-meals presented with familiar food brands, novel food brand, and no brand. On the fourth visit an fMRI was performed where children passively viewed food brands, non-food brands and control images. A whole-brain analysis was conducted to compare BOLD response between conditions. Pearson’s correlations were calculated to determine the association between brain response and meal intake. Relative to non-food brands, food brand images were associated with increased activity in the right lingual gyrus. Relative to control, food and non-food brand images were associated with greater response in bilateral fusiform gyri and decreased response in the cuneus, precuneus, lingual gyrus, and supramarginal gyrus. Less activation in the bilateral fusiform gyrus to both food and non-food brands was associated with greater energy intake of the branded vs unbranded meal. These findings may help explain differences in the susceptibility to the intake-promoting effects of food advertising in children.","container-title":"Brain imaging and behavior","DOI":"10.1007/s11682-018-9919-8","ISSN":"1931-7557","issue":"4","journalAbbreviation":"Brain Imaging Behav","note":"PMID: 29971684\nPMCID: PMC7061688","page":"1035-1048","source":"PubMed Central","title":"Brain response to food brands correlates with increased intake from branded meals in children: an fMRI study","title-short":"Brain response to food brands correlates with increased intake from branded meals in children","volume":"13","author":[{"family":"Masterson","given":"Travis D."},{"family":"Stein","given":"Wendy M."},{"family":"Beidler","given":"Emma"},{"family":"Bermudez","given":"Maria"},{"family":"English","given":"Laural K."},{"family":"Keller","given":"Kathleen L."}],"issued":{"date-parts":[["2019",8]]}}},{"id":2517,"uris":["http://zotero.org/users/local/ukz7dhIj/items/JNXSSNUZ"],"uri":["http://zotero.org/users/local/ukz7dhIj/items/JNXSSNUZ"],"itemData":{"id":2517,"type":"article-journal","container-title":"The Journal of Clinical Investigation","DOI":"10.1172/JCI35055","ISSN":"0021-9738","issue":"7","journalAbbreviation":"J Clin Invest","language":"en","note":"publisher: American Society for Clinical Investigation\nPMID: 18568078","page":"2583-2591","source":"www.jci.org","title":"Leptin reverses weight loss–induced changes in regional neural activity responses to visual food stimuli","volume":"118","author":[{"family":"Rosenbaum","given":"Michael"},{"family":"Sy","given":"Melissa"},{"family":"Pavlovich","given":"Katherine"},{"family":"Leibel","given":"Rudolph L."},{"family":"Hirsch","given":"Joy"}],"issued":{"date-parts":[["2008",7,1]]}}},{"id":2469,"uris":["http://zotero.org/users/local/ukz7dhIj/items/WSEB25XF"],"uri":["http://zotero.org/users/local/ukz7dhIj/items/WSEB25XF"],"itemData":{"id":2469,"type":"article-journal","abstract":"Food selection is primarily guided by the visual system. Multiple functional neuro-imaging studies have examined the brain responses to visual food stimuli. However, the results of these studies are heterogeneous and there still is uncertainty about the core brain regions involved in the neural processing of viewing food pictures. The aims of the present study were to determine the concurrence in the brain regions activated in response to viewing pictures of food and to assess the modulating effects of hunger state and the food's energy content. We performed three Activation Likelihood Estimation (ALE) meta-analyses on data from healthy normal weight subjects in which we examined: 1) the contrast between viewing food and nonfood pictures (17 studies, 189 foci), 2) the modulation by hunger state (five studies, 48 foci) and 3) the modulation by energy content (seven studies, 86 foci). The most concurrent brain regions activated in response to viewing food pictures, both in terms of ALE values and the number of contributing experiments, were the bilateral posterior fusiform gyrus, the left lateral orbitofrontal cortex (OFC) and the left middle insula. Hunger modulated the response to food pictures in the right amygdala and left lateral OFC, and energy content modulated the response in the hypothalamus/ventral striatum. Overall, the concurrence between studies was moderate: at best 41% of the experiments contributed to the clusters for the contrast between food and nonfood. Therefore, future research should further elucidate the separate effects of methodological and physiological factors on between-study variations.","container-title":"NeuroImage","DOI":"10.1016/j.neuroimage.2010.11.055","ISSN":"1095-9572","issue":"1","journalAbbreviation":"Neuroimage","language":"eng","note":"PMID: 21111829","page":"296-303","source":"PubMed","title":"The first taste is always with the eyes: a meta-analysis on the neural correlates of processing visual food cues","title-short":"The first taste is always with the eyes","volume":"55","author":[{"family":"Laan","given":"L. N.","non-dropping-particle":"van der"},{"family":"Ridder","given":"D. T. D.","non-dropping-particle":"de"},{"family":"Viergever","given":"M. A."},{"family":"Smeets","given":"P. a. M."}],"issued":{"date-parts":[["2011",3,1]]}}}],"schema":"https://github.com/citation-style-language/schema/raw/master/csl-citation.json"} </w:instrText>
      </w:r>
      <w:r w:rsidR="00BC2CCF" w:rsidRPr="000217C7">
        <w:rPr>
          <w:color w:val="000000" w:themeColor="text1"/>
        </w:rPr>
        <w:fldChar w:fldCharType="separate"/>
      </w:r>
      <w:r w:rsidR="006C3543" w:rsidRPr="000217C7">
        <w:rPr>
          <w:rFonts w:cs="Times New Roman"/>
          <w:color w:val="000000" w:themeColor="text1"/>
          <w:lang w:val="en-GB"/>
        </w:rPr>
        <w:t>(Adamson and Troiani, 2018; Frank et al., 2010; Masterson et al., 2019; Rosenbaum et al., 2008; van der Laan et al., 2011)</w:t>
      </w:r>
      <w:r w:rsidR="00BC2CCF" w:rsidRPr="000217C7">
        <w:rPr>
          <w:color w:val="000000" w:themeColor="text1"/>
        </w:rPr>
        <w:fldChar w:fldCharType="end"/>
      </w:r>
      <w:r w:rsidR="00D1361E" w:rsidRPr="000217C7">
        <w:rPr>
          <w:color w:val="000000" w:themeColor="text1"/>
        </w:rPr>
        <w:t>. Moreover,</w:t>
      </w:r>
      <w:r w:rsidR="00083C4A" w:rsidRPr="000217C7">
        <w:rPr>
          <w:color w:val="000000" w:themeColor="text1"/>
        </w:rPr>
        <w:t xml:space="preserve"> recognition of food has</w:t>
      </w:r>
      <w:r w:rsidR="00D1361E" w:rsidRPr="000217C7">
        <w:rPr>
          <w:color w:val="000000" w:themeColor="text1"/>
        </w:rPr>
        <w:t xml:space="preserve"> also</w:t>
      </w:r>
      <w:r w:rsidR="00083C4A" w:rsidRPr="000217C7">
        <w:rPr>
          <w:color w:val="000000" w:themeColor="text1"/>
        </w:rPr>
        <w:t xml:space="preserve"> been </w:t>
      </w:r>
      <w:r w:rsidR="002306CC" w:rsidRPr="000217C7">
        <w:rPr>
          <w:color w:val="000000" w:themeColor="text1"/>
        </w:rPr>
        <w:t xml:space="preserve">linked </w:t>
      </w:r>
      <w:r w:rsidR="00083C4A" w:rsidRPr="000217C7">
        <w:rPr>
          <w:color w:val="000000" w:themeColor="text1"/>
        </w:rPr>
        <w:t xml:space="preserve">with </w:t>
      </w:r>
      <w:r w:rsidR="002306CC" w:rsidRPr="000217C7">
        <w:rPr>
          <w:color w:val="000000" w:themeColor="text1"/>
        </w:rPr>
        <w:t xml:space="preserve">the </w:t>
      </w:r>
      <w:r w:rsidR="00083C4A" w:rsidRPr="000217C7">
        <w:rPr>
          <w:color w:val="000000" w:themeColor="text1"/>
        </w:rPr>
        <w:t xml:space="preserve">integrity of occipital areas in patients with dementia </w:t>
      </w:r>
      <w:r w:rsidR="00BC2CCF" w:rsidRPr="000217C7">
        <w:rPr>
          <w:color w:val="000000" w:themeColor="text1"/>
        </w:rPr>
        <w:fldChar w:fldCharType="begin"/>
      </w:r>
      <w:r w:rsidR="006C3543" w:rsidRPr="000217C7">
        <w:rPr>
          <w:color w:val="000000" w:themeColor="text1"/>
        </w:rPr>
        <w:instrText xml:space="preserve"> ADDIN ZOTERO_ITEM CSL_CITATION {"citationID":"a1j9tr42meo","properties":{"formattedCitation":"(Vignando et al., 2019)","plainCitation":"(Vignando et al., 2019)","noteIndex":0},"citationItems":[{"id":2750,"uris":["http://zotero.org/users/local/ukz7dhIj/items/5VEZ7LI6"],"uri":["http://zotero.org/users/local/ukz7dhIj/items/5VEZ7LI6"],"itemData":{"id":2750,"type":"article-journal","abstract":"Food constitutes a fuel of life for human beings. It is therefore of chief importance that their recognition system readily identifies the most relevant properties of food by drawing on semantic memory. One of the most relevant properties to be considered is the level of processing impressed by humans on food. We hypothesized that recognition of raw food capitalizes on sensory properties and that of transformed food on functional properties, consistently with the hypothesis of a sensory-functional organization of semantic knowledge. To test this hypothesis, patients with Alzheimer’s disease, frontotemporal dementia, primary progressive aphasia, and healthy controls performed lexical-semantic tasks with food (raw and transformed) and non-food (living and nonliving) stimuli. Correlations between task performance and local grey matter concentration (VBM) and white matter fractional anisotropy (TBSS) led to two main findings. First, recognition of raw food and living things implicated occipital cortices, typically involved in processing sensory information and, second, recognition of processed food and nonliving things implicated the middle temporal gyrus and surrounding white matter tracts, regions that have been associated with functional properties. In conclusion, the present study confirms and extends the hypothesis of a sensory and a functional organization of semantic knowledge.","container-title":"Scientific Reports","DOI":"10.1038/s41598-019-43919-8","ISSN":"2045-2322","issue":"1","language":"en","note":"number: 1\npublisher: Nature Publishing Group","page":"7439","source":"www.nature.com","title":"Food knowledge depends upon the integrity of both sensory and functional properties: a VBM, TBSS and DTI tractography study","title-short":"Food knowledge depends upon the integrity of both sensory and functional properties","volume":"9","author":[{"family":"Vignando","given":"Miriam"},{"family":"Aiello","given":"Marilena"},{"family":"Rinaldi","given":"Adriana"},{"family":"Cattarruzza","given":"Tatiana"},{"family":"Mazzon","given":"Giulia"},{"family":"Manganotti","given":"Paolo"},{"family":"Eleopra","given":"Roberto"},{"family":"Rumiati","given":"Raffaella I."}],"issued":{"date-parts":[["2019",5,15]]}}}],"schema":"https://github.com/citation-style-language/schema/raw/master/csl-citation.json"} </w:instrText>
      </w:r>
      <w:r w:rsidR="00BC2CCF" w:rsidRPr="000217C7">
        <w:rPr>
          <w:color w:val="000000" w:themeColor="text1"/>
        </w:rPr>
        <w:fldChar w:fldCharType="separate"/>
      </w:r>
      <w:r w:rsidR="006C3543" w:rsidRPr="000217C7">
        <w:rPr>
          <w:rFonts w:cs="Times New Roman"/>
          <w:color w:val="000000" w:themeColor="text1"/>
          <w:lang w:val="en-GB"/>
        </w:rPr>
        <w:t>(Vignando et al., 2019)</w:t>
      </w:r>
      <w:r w:rsidR="00BC2CCF" w:rsidRPr="000217C7">
        <w:rPr>
          <w:color w:val="000000" w:themeColor="text1"/>
        </w:rPr>
        <w:fldChar w:fldCharType="end"/>
      </w:r>
      <w:r w:rsidR="00995F0D" w:rsidRPr="000217C7">
        <w:rPr>
          <w:color w:val="000000" w:themeColor="text1"/>
        </w:rPr>
        <w:t xml:space="preserve">. </w:t>
      </w:r>
    </w:p>
    <w:p w14:paraId="15F5FDC9" w14:textId="1572DD0D" w:rsidR="00CB029D" w:rsidRPr="000217C7" w:rsidRDefault="00CB029D" w:rsidP="0047026B">
      <w:pPr>
        <w:pStyle w:val="Heading3"/>
      </w:pPr>
      <w:r w:rsidRPr="000217C7">
        <w:lastRenderedPageBreak/>
        <w:t>BMI correlates with GM density in subcortical regions and lower connectivity between the ventral</w:t>
      </w:r>
      <w:r w:rsidR="00636EEB" w:rsidRPr="000217C7">
        <w:t xml:space="preserve"> diencephalon</w:t>
      </w:r>
      <w:r w:rsidR="009A1461" w:rsidRPr="000217C7">
        <w:t xml:space="preserve"> </w:t>
      </w:r>
      <w:r w:rsidRPr="000217C7">
        <w:t>and low- and high-level visual areas</w:t>
      </w:r>
    </w:p>
    <w:p w14:paraId="5395E222" w14:textId="060CC359" w:rsidR="00CB029D" w:rsidRPr="000217C7" w:rsidRDefault="005B22BA" w:rsidP="008E5A52">
      <w:pPr>
        <w:rPr>
          <w:color w:val="000000" w:themeColor="text1"/>
        </w:rPr>
      </w:pPr>
      <w:r w:rsidRPr="000217C7">
        <w:rPr>
          <w:color w:val="000000" w:themeColor="text1"/>
        </w:rPr>
        <w:t>Finally, the participants’ BMI</w:t>
      </w:r>
      <w:r w:rsidR="00E802F8" w:rsidRPr="000217C7">
        <w:rPr>
          <w:color w:val="000000" w:themeColor="text1"/>
        </w:rPr>
        <w:t xml:space="preserve"> was found to</w:t>
      </w:r>
      <w:r w:rsidRPr="000217C7">
        <w:rPr>
          <w:color w:val="000000" w:themeColor="text1"/>
        </w:rPr>
        <w:t xml:space="preserve"> correlate with GM density in a large subcortical area including the bilateral hypothalamus</w:t>
      </w:r>
      <w:r w:rsidR="00992394" w:rsidRPr="000217C7">
        <w:rPr>
          <w:color w:val="000000" w:themeColor="text1"/>
        </w:rPr>
        <w:t xml:space="preserve">. </w:t>
      </w:r>
      <w:r w:rsidR="002306CC" w:rsidRPr="000217C7">
        <w:rPr>
          <w:color w:val="000000" w:themeColor="text1"/>
        </w:rPr>
        <w:t>P</w:t>
      </w:r>
      <w:r w:rsidR="00737C00" w:rsidRPr="000217C7">
        <w:rPr>
          <w:color w:val="000000" w:themeColor="text1"/>
        </w:rPr>
        <w:t xml:space="preserve">revious studies have associated </w:t>
      </w:r>
      <w:r w:rsidR="00DC46A4" w:rsidRPr="000217C7">
        <w:rPr>
          <w:color w:val="000000" w:themeColor="text1"/>
        </w:rPr>
        <w:t xml:space="preserve">the state of </w:t>
      </w:r>
      <w:r w:rsidR="00737C00" w:rsidRPr="000217C7">
        <w:rPr>
          <w:color w:val="000000" w:themeColor="text1"/>
        </w:rPr>
        <w:t xml:space="preserve">obesity with subcortical anomalies in the ventral </w:t>
      </w:r>
      <w:r w:rsidR="008B0E87" w:rsidRPr="000217C7">
        <w:rPr>
          <w:color w:val="000000" w:themeColor="text1"/>
        </w:rPr>
        <w:t>diencephalon (DC)</w:t>
      </w:r>
      <w:r w:rsidR="00737C00" w:rsidRPr="000217C7">
        <w:rPr>
          <w:color w:val="000000" w:themeColor="text1"/>
        </w:rPr>
        <w:t xml:space="preserve"> </w:t>
      </w:r>
      <w:r w:rsidR="00BC2CCF" w:rsidRPr="000217C7">
        <w:rPr>
          <w:color w:val="000000" w:themeColor="text1"/>
        </w:rPr>
        <w:fldChar w:fldCharType="begin"/>
      </w:r>
      <w:r w:rsidR="00D06948" w:rsidRPr="000217C7">
        <w:rPr>
          <w:color w:val="000000" w:themeColor="text1"/>
        </w:rPr>
        <w:instrText xml:space="preserve"> ADDIN ZOTERO_ITEM CSL_CITATION {"citationID":"a9nh71jdss","properties":{"formattedCitation":"(Marqu\\uc0\\u233{}s-Iturria et al., 2013; Shott et al., 2015)","plainCitation":"(Marqués-Iturria et al., 2013; Shott et al., 2015)","noteIndex":0},"citationItems":[{"id":2492,"uris":["http://zotero.org/users/local/ukz7dhIj/items/ZXH63D62"],"uri":["http://zotero.org/users/local/ukz7dhIj/items/ZXH63D62"],"itemData":{"id":2492,"type":"article-journal","abstract":"Obesity depends on homeostatic and hedonic food intake behavior, mediated by brain plasticity changes in cortical and subcortical structures. The aim of this study was to investigate cortical thickness and subcortical volumes of regions related to food intake behavior in a healthy young adult sample with obesity. Thirty-seven volunteers, 19 with obesity (age=33.7±5.7 (20–39) years body-mass index (BMI)=36.08±5.92 (30.10–49.69)kg/m2) and 18 controls (age=32.3±5.9 (21–40) years; BMI=22.54±1.94 (19.53–24.97)kg/m2) participated in the study. Patients with neuropsychiatric or biomedical disorders were excluded. We used FreeSurfer software to analyze structural magnetic resonance images (MRI) and obtain global brain measures, cortical thickness and subcortical volume estimations. Finally, correlation analyses were performed for brain structure data and obesity measures. There were no between-group differences in age, gender, intelligence or education. Results showed cortical thickness reductions in obesity in the left superior frontal and right medial orbitofrontal cortex. In addition, the obesity group had lower ventral diencephalon and brainstem volumes than controls, while there were no differences in any other subcortical structure. There were no statistically significant correlations between brain structure and obesity measures. Overall, our work provides evidence of the structural brain characteristics associated with metabolically normal obesity. We found reductions in cortical thickness, ventral diencephalon and brainstem volumes in areas that have been implicated in food intake behavior.","container-title":"Psychiatry Research: Neuroimaging","DOI":"10.1016/j.pscychresns.2013.06.004","ISSN":"0925-4927","issue":"2","journalAbbreviation":"Psychiatry Research: Neuroimaging","language":"en","page":"109-115","source":"ScienceDirect","title":"Frontal cortical thinning and subcortical volume reductions in early adulthood obesity","volume":"214","author":[{"family":"Marqués-Iturria","given":"Idoia"},{"family":"Pueyo","given":"Roser"},{"family":"Garolera","given":"Maite"},{"family":"Segura","given":"Bàrbara"},{"family":"Junqué","given":"Carme"},{"family":"García-García","given":"Isabel"},{"family":"José Sender-Palacios","given":"María"},{"family":"Vernet-Vernet","given":"María"},{"family":"Narberhaus","given":"Ana"},{"family":"Ariza","given":"Mar"},{"family":"Jurado","given":"María Ángeles"}],"issued":{"date-parts":[["2013",11,30]]}}},{"id":1162,"uris":["http://zotero.org/users/local/ukz7dhIj/items/DFZAA44B"],"uri":["http://zotero.org/users/local/ukz7dhIj/items/DFZAA44B"],"itemData":{"id":1162,"type":"article-journal","abstract":"Background/Objectives\nWhat drives overconsumption of food is poorly understood. Alterations in brain structure and function could contribute to increased food seeking. Recently brain orbitofrontal cortex volume has been implicated in dysregulated eating but little is know how brain structure relates to function.\n\nSubjects/Methods\nWe examined obese (n=18, age=28.7.4±8.3 years) and healthy control women (n=24, age=27.4±6.3 years) using a multimodal brain imaging approach. We applied magnetic resonance and diffusion tensor imaging to study brain gray and white matter volume as well as white matter integrity, and tested whether orbitofrontal cortex volume predicts brain reward circuitry activation in a taste reinforcement-learning paradigm that has been associated with dopamine function.\n\nResults\nObese individuals displayed lower gray and associated white matter volumes (p&lt;.05 family wise error (FWE)-small volume corrected) compared to controls in the orbitofrontal cortex, striatum, and insula. White matter integrity was reduced in obese individuals in fiber tracts including the external capsule, corona radiata, sagittal stratum, and the uncinate, inferior fronto-occipital, and inferior longitudinal fasciculi. Gray matter volume of the gyrus rectus at the medial edge of the orbitofrontal cortex predicted functional taste reward-learning response in frontal cortex, insula, basal ganglia, amygdala, hypothalamus and anterior cingulate cortex in control but not obese individuals.\n\nConclusions\nThis study indicates a strong association between medial orbitofrontal cortex volume and taste reinforcement-learning activation in the brain in control but not in obese women. Lower brain volumes in the orbitofrontal cortex and other brain regions associated with taste reward function as well as lower integrity of connecting pathways in obesity may support a more widespread disruption of reward pathways. The medial orbitofrontal cortex is an important structure in the termination of food intake and disturbances in this and related structures could contribute to overconsumption of food in obesity.","container-title":"International journal of obesity (2005)","DOI":"10.1038/ijo.2014.121","ISSN":"0307-0565","issue":"2","journalAbbreviation":"Int J Obes (Lond)","note":"PMID: 25027223\nPMCID: PMC4297262","page":"214-221","source":"PubMed Central","title":"Orbitofrontal Cortex Volume and Brain Reward Response in Obesity","volume":"39","author":[{"family":"Shott","given":"Megan E."},{"family":"Cornier","given":"Marc-Andre"},{"family":"Mittal","given":"Vijay A."},{"family":"Pryor","given":"Tamara L."},{"family":"Orr","given":"Joseph M."},{"family":"Brown","given":"Mark S."},{"family":"Frank","given":"Guido K.W."}],"issued":{"date-parts":[["2015",2]]}}}],"schema":"https://github.com/citation-style-language/schema/raw/master/csl-citation.json"} </w:instrText>
      </w:r>
      <w:r w:rsidR="00BC2CCF" w:rsidRPr="000217C7">
        <w:rPr>
          <w:color w:val="000000" w:themeColor="text1"/>
        </w:rPr>
        <w:fldChar w:fldCharType="separate"/>
      </w:r>
      <w:r w:rsidR="00D06948" w:rsidRPr="000217C7">
        <w:rPr>
          <w:rFonts w:cs="Times New Roman"/>
          <w:color w:val="000000" w:themeColor="text1"/>
          <w:lang w:val="en-GB"/>
        </w:rPr>
        <w:t>(Marqués-Iturria et al., 2013; Shott et al., 2015)</w:t>
      </w:r>
      <w:r w:rsidR="00BC2CCF" w:rsidRPr="000217C7">
        <w:rPr>
          <w:color w:val="000000" w:themeColor="text1"/>
        </w:rPr>
        <w:fldChar w:fldCharType="end"/>
      </w:r>
      <w:r w:rsidR="00DC46A4" w:rsidRPr="000217C7">
        <w:rPr>
          <w:color w:val="000000" w:themeColor="text1"/>
        </w:rPr>
        <w:t>.</w:t>
      </w:r>
      <w:r w:rsidR="00737C00" w:rsidRPr="000217C7">
        <w:rPr>
          <w:color w:val="000000" w:themeColor="text1"/>
        </w:rPr>
        <w:t xml:space="preserve"> </w:t>
      </w:r>
      <w:r w:rsidR="00F03A41" w:rsidRPr="000217C7">
        <w:rPr>
          <w:color w:val="000000" w:themeColor="text1"/>
        </w:rPr>
        <w:t xml:space="preserve">The hypothalamus </w:t>
      </w:r>
      <w:r w:rsidR="009E6CCB" w:rsidRPr="000217C7">
        <w:rPr>
          <w:color w:val="000000" w:themeColor="text1"/>
        </w:rPr>
        <w:t>is a</w:t>
      </w:r>
      <w:r w:rsidR="00F03A41" w:rsidRPr="000217C7">
        <w:rPr>
          <w:color w:val="000000" w:themeColor="text1"/>
        </w:rPr>
        <w:t xml:space="preserve"> key region in the regulation of appetite </w:t>
      </w:r>
      <w:r w:rsidR="00BC2CCF" w:rsidRPr="000217C7">
        <w:rPr>
          <w:color w:val="000000" w:themeColor="text1"/>
        </w:rPr>
        <w:fldChar w:fldCharType="begin"/>
      </w:r>
      <w:r w:rsidR="00F03A41" w:rsidRPr="000217C7">
        <w:rPr>
          <w:color w:val="000000" w:themeColor="text1"/>
        </w:rPr>
        <w:instrText xml:space="preserve"> ADDIN ZOTERO_ITEM CSL_CITATION {"citationID":"12ksbtohs","properties":{"formattedCitation":"(Tataranni et al., 1999)","plainCitation":"(Tataranni et al., 1999)","noteIndex":0},"citationItems":[{"id":665,"uris":["http://zotero.org/users/local/ukz7dhIj/items/IS4IW2XW"],"uri":["http://zotero.org/users/local/ukz7dhIj/items/IS4IW2XW"],"itemData":{"id":665,"type":"article-journal","abstract":"The central role of the hypothalamus in the origination and/or processing of feeding-related stimuli may be modulated by the activity of other functional areas of the brain including the insular cortex (involved in enteroceptive monitoring) and the prefrontal cortex (involved in the inhibition of inappropriate response tendencies). Regional cerebral blood flow (rCBF), a marker of neuronal activity, was measured in 11 healthy, normal-weight men by using positron emission tomography in a state of hunger (after 36-h fast) and a state of satiation (after a liquid meal). Hunger was associated with significantly increased rCBF in the vicinity of the hypothalamus and insular cortex and in additional paralimbic and limbic areas (orbitofrontal cortex, anterior cingulate cortex, and parahippocampal and hippocampal formation), thalamus, caudate, precuneus, putamen, and cerebellum. Satiation was associated with increased rCBF in the vicinity of the ventromedial prefrontal cortex, dorsolateral prefrontal cortex, and inferior parietal lobule. Changes in plasma insulin concentrations in response to the meal were negatively correlated with changes in rCBF in the insular and orbitofrontal cortex. Changes in plasma free fatty acid concentrations in response to the meal were negatively correlated with changes in rCBF in the anterior cingulate and positively correlated with changes in rCBF in the dorsolateral prefrontal cortex. In conclusion, these findings raise the possibility that several regions of the brain participate in the regulation of hunger and satiation and that insulin and free fatty acids may be metabolic modulators of postprandial brain neuronal events. Although exploratory, the present study provides a foundation for investigating the human brain regions and cognitive operations that respond to nutritional stimuli.","container-title":"Proceedings of the National Academy of Sciences of the United States of America","ISSN":"0027-8424","issue":"8","journalAbbreviation":"Proc. Natl. Acad. Sci. U.S.A.","language":"eng","note":"PMID: 10200303\nPMCID: PMC16373","page":"4569-4574","source":"PubMed","title":"Neuroanatomical correlates of hunger and satiation in humans using positron emission tomography","volume":"96","author":[{"family":"Tataranni","given":"P. A."},{"family":"Gautier","given":"J. F."},{"family":"Chen","given":"K."},{"family":"Uecker","given":"A."},{"family":"Bandy","given":"D."},{"family":"Salbe","given":"A. D."},{"family":"Pratley","given":"R. E."},{"family":"Lawson","given":"M."},{"family":"Reiman","given":"E. M."},{"family":"Ravussin","given":"E."}],"issued":{"date-parts":[["1999",4,13]]}}}],"schema":"https://github.com/citation-style-language/schema/raw/master/csl-citation.json"} </w:instrText>
      </w:r>
      <w:r w:rsidR="00BC2CCF" w:rsidRPr="000217C7">
        <w:rPr>
          <w:color w:val="000000" w:themeColor="text1"/>
        </w:rPr>
        <w:fldChar w:fldCharType="separate"/>
      </w:r>
      <w:r w:rsidR="00F03A41" w:rsidRPr="000217C7">
        <w:rPr>
          <w:noProof/>
          <w:color w:val="000000" w:themeColor="text1"/>
        </w:rPr>
        <w:t>(Tataranni et al., 1999)</w:t>
      </w:r>
      <w:r w:rsidR="00BC2CCF" w:rsidRPr="000217C7">
        <w:rPr>
          <w:color w:val="000000" w:themeColor="text1"/>
        </w:rPr>
        <w:fldChar w:fldCharType="end"/>
      </w:r>
      <w:r w:rsidR="00F03A41" w:rsidRPr="000217C7">
        <w:rPr>
          <w:color w:val="000000" w:themeColor="text1"/>
        </w:rPr>
        <w:t xml:space="preserve">, </w:t>
      </w:r>
      <w:r w:rsidR="009E6CCB" w:rsidRPr="000217C7">
        <w:rPr>
          <w:color w:val="000000" w:themeColor="text1"/>
        </w:rPr>
        <w:t>which activates</w:t>
      </w:r>
      <w:r w:rsidR="00F03A41" w:rsidRPr="000217C7">
        <w:rPr>
          <w:color w:val="000000" w:themeColor="text1"/>
        </w:rPr>
        <w:t xml:space="preserve"> when viewing food stimuli </w:t>
      </w:r>
      <w:r w:rsidR="00BC2CCF" w:rsidRPr="000217C7">
        <w:rPr>
          <w:color w:val="000000" w:themeColor="text1"/>
        </w:rPr>
        <w:fldChar w:fldCharType="begin"/>
      </w:r>
      <w:r w:rsidR="00F03A41" w:rsidRPr="000217C7">
        <w:rPr>
          <w:color w:val="000000" w:themeColor="text1"/>
        </w:rPr>
        <w:instrText xml:space="preserve"> ADDIN ZOTERO_ITEM CSL_CITATION {"citationID":"26brtp8j3l","properties":{"formattedCitation":"(Killgore et al., 2003)","plainCitation":"(Killgore et al., 2003)","noteIndex":0},"citationItems":[{"id":1343,"uris":["http://zotero.org/users/local/ukz7dhIj/items/PBXSM9C3"],"uri":["http://zotero.org/users/local/ukz7dhIj/items/PBXSM9C3"],"itemData":{"id":1343,"type":"article-journal","abstract":"Despite the high prevalence of obesity, eating disorders, and weight-related health problems in modernized cultures, the neural systems regulating human feeding remain poorly understood. Therefore, we applied functional magnetic resonance imaging (fMRI) to study the cerebral responses of 13 healthy normal-weight adult women as they viewed color photographs of food. The motivational salience of the stimuli was manipulated by presenting images from three categories: high-calorie foods, low-calorie foods, and nonedible dining-related utensils. Both food categories were associated with bilateral activation of the amygdala and ventromedial prefrontal cortex. High-calorie foods yielded significant activation within the medial and dorsolateral prefrontal cortex, thalamus, hypothalamus, corpus callosum, and cerebellum. Low-calorie foods yielded smaller regions of focal activation within medial orbitofrontal cortex; primary gustatory/somatosensory cortex; and superior, middle, and medial temporal regions. Findings suggest that the amygdala may be responsive to a general category of biologically relevant stimuli such as food, whereas separate ventromedial prefrontal systems may be activated depending on the perceived reward value or motivational salience of food stimuli.","container-title":"NeuroImage","DOI":"10.1016/S1053-8119(03)00191-5","ISSN":"1053-8119","issue":"4","journalAbbreviation":"NeuroImage","page":"1381-1394","source":"ScienceDirect","title":"Cortical and limbic activation during viewing of high- versus low-calorie foods","volume":"19","author":[{"family":"Killgore","given":"William D. S"},{"family":"Young","given":"Ashley D"},{"family":"Femia","given":"Lisa A"},{"family":"Bogorodzki","given":"Piotr"},{"family":"Rogowska","given":"Jadwiga"},{"family":"Yurgelun-Todd","given":"Deborah A"}],"issued":{"date-parts":[["2003",8,1]]}}}],"schema":"https://github.com/citation-style-language/schema/raw/master/csl-citation.json"} </w:instrText>
      </w:r>
      <w:r w:rsidR="00BC2CCF" w:rsidRPr="000217C7">
        <w:rPr>
          <w:color w:val="000000" w:themeColor="text1"/>
        </w:rPr>
        <w:fldChar w:fldCharType="separate"/>
      </w:r>
      <w:r w:rsidR="00F03A41" w:rsidRPr="000217C7">
        <w:rPr>
          <w:noProof/>
          <w:color w:val="000000" w:themeColor="text1"/>
        </w:rPr>
        <w:t>(Killgore et al., 2003)</w:t>
      </w:r>
      <w:r w:rsidR="00BC2CCF" w:rsidRPr="000217C7">
        <w:rPr>
          <w:color w:val="000000" w:themeColor="text1"/>
        </w:rPr>
        <w:fldChar w:fldCharType="end"/>
      </w:r>
      <w:r w:rsidR="00F03A41" w:rsidRPr="000217C7">
        <w:rPr>
          <w:color w:val="000000" w:themeColor="text1"/>
        </w:rPr>
        <w:t xml:space="preserve">. </w:t>
      </w:r>
      <w:r w:rsidR="00992394" w:rsidRPr="000217C7">
        <w:rPr>
          <w:color w:val="000000" w:themeColor="text1"/>
        </w:rPr>
        <w:t xml:space="preserve">Interestingly, </w:t>
      </w:r>
      <w:r w:rsidR="00B44A66" w:rsidRPr="000217C7">
        <w:rPr>
          <w:color w:val="000000" w:themeColor="text1"/>
        </w:rPr>
        <w:t>in our study</w:t>
      </w:r>
      <w:r w:rsidR="00992394" w:rsidRPr="000217C7">
        <w:rPr>
          <w:color w:val="000000" w:themeColor="text1"/>
        </w:rPr>
        <w:t xml:space="preserve"> higher BMI also predicted </w:t>
      </w:r>
      <w:r w:rsidR="0004245A" w:rsidRPr="000217C7">
        <w:rPr>
          <w:color w:val="000000" w:themeColor="text1"/>
        </w:rPr>
        <w:t xml:space="preserve">lower </w:t>
      </w:r>
      <w:r w:rsidR="00992394" w:rsidRPr="000217C7">
        <w:rPr>
          <w:color w:val="000000" w:themeColor="text1"/>
        </w:rPr>
        <w:t>connectivity between</w:t>
      </w:r>
      <w:r w:rsidR="00F03A41" w:rsidRPr="000217C7">
        <w:rPr>
          <w:color w:val="000000" w:themeColor="text1"/>
        </w:rPr>
        <w:t xml:space="preserve"> the</w:t>
      </w:r>
      <w:r w:rsidR="00992394" w:rsidRPr="000217C7">
        <w:rPr>
          <w:color w:val="000000" w:themeColor="text1"/>
        </w:rPr>
        <w:t xml:space="preserve"> </w:t>
      </w:r>
      <w:r w:rsidR="00F03A41" w:rsidRPr="000217C7">
        <w:rPr>
          <w:color w:val="000000" w:themeColor="text1"/>
        </w:rPr>
        <w:t>ventral DC</w:t>
      </w:r>
      <w:r w:rsidR="00992394" w:rsidRPr="000217C7">
        <w:rPr>
          <w:color w:val="000000" w:themeColor="text1"/>
        </w:rPr>
        <w:t xml:space="preserve"> and </w:t>
      </w:r>
      <w:r w:rsidR="0004245A" w:rsidRPr="000217C7">
        <w:rPr>
          <w:color w:val="000000" w:themeColor="text1"/>
        </w:rPr>
        <w:t>low- and high-level visual areas: the left lingual gyrus, the bilateral calcarine cortex</w:t>
      </w:r>
      <w:r w:rsidR="00964A7F" w:rsidRPr="000217C7">
        <w:rPr>
          <w:color w:val="000000" w:themeColor="text1"/>
        </w:rPr>
        <w:t>,</w:t>
      </w:r>
      <w:r w:rsidR="0004245A" w:rsidRPr="000217C7">
        <w:rPr>
          <w:color w:val="000000" w:themeColor="text1"/>
        </w:rPr>
        <w:t xml:space="preserve"> and the left cuneal cortex, and a smaller cluster located in the left temporal occipital fusiform gyrus. </w:t>
      </w:r>
      <w:r w:rsidR="00060CFB" w:rsidRPr="000217C7">
        <w:rPr>
          <w:color w:val="000000" w:themeColor="text1"/>
        </w:rPr>
        <w:t>Various studies have reported ab</w:t>
      </w:r>
      <w:r w:rsidR="00964A7F" w:rsidRPr="000217C7">
        <w:rPr>
          <w:color w:val="000000" w:themeColor="text1"/>
        </w:rPr>
        <w:t>n</w:t>
      </w:r>
      <w:r w:rsidR="00060CFB" w:rsidRPr="000217C7">
        <w:rPr>
          <w:color w:val="000000" w:themeColor="text1"/>
        </w:rPr>
        <w:t xml:space="preserve">ormalities in </w:t>
      </w:r>
      <w:r w:rsidR="00964A7F" w:rsidRPr="000217C7">
        <w:rPr>
          <w:color w:val="000000" w:themeColor="text1"/>
        </w:rPr>
        <w:t xml:space="preserve">the </w:t>
      </w:r>
      <w:r w:rsidR="00060CFB" w:rsidRPr="000217C7">
        <w:rPr>
          <w:color w:val="000000" w:themeColor="text1"/>
        </w:rPr>
        <w:t xml:space="preserve">connectivity of the ventral DC, in </w:t>
      </w:r>
      <w:r w:rsidR="00700D02" w:rsidRPr="000217C7">
        <w:rPr>
          <w:color w:val="000000" w:themeColor="text1"/>
        </w:rPr>
        <w:t xml:space="preserve">individuals with </w:t>
      </w:r>
      <w:r w:rsidR="00060CFB" w:rsidRPr="000217C7">
        <w:rPr>
          <w:color w:val="000000" w:themeColor="text1"/>
        </w:rPr>
        <w:t>overweight/</w:t>
      </w:r>
      <w:r w:rsidR="00700D02" w:rsidRPr="000217C7">
        <w:rPr>
          <w:color w:val="000000" w:themeColor="text1"/>
        </w:rPr>
        <w:t>obesity</w:t>
      </w:r>
      <w:r w:rsidR="00060CFB" w:rsidRPr="000217C7">
        <w:rPr>
          <w:color w:val="000000" w:themeColor="text1"/>
        </w:rPr>
        <w:t xml:space="preserve"> </w:t>
      </w:r>
      <w:r w:rsidR="00BC2CCF" w:rsidRPr="000217C7">
        <w:rPr>
          <w:color w:val="000000" w:themeColor="text1"/>
        </w:rPr>
        <w:fldChar w:fldCharType="begin"/>
      </w:r>
      <w:r w:rsidR="00D06948" w:rsidRPr="000217C7">
        <w:rPr>
          <w:color w:val="000000" w:themeColor="text1"/>
        </w:rPr>
        <w:instrText xml:space="preserve"> ADDIN ZOTERO_ITEM CSL_CITATION {"citationID":"a27u9pp3n9a","properties":{"formattedCitation":"(Baek et al., 2017; Contreras-Rodr\\uc0\\u237{}guez et al., 2017; Garc\\uc0\\u237{}a\\uc0\\u8208{}Garc\\uc0\\u237{}a et al., 2013; Nummenmaa et al., 2012; Olivo et al., 2016; Park et al., 2015; Steward et al., 2016)","plainCitation":"(Baek et al., 2017; Contreras-Rodríguez et al., 2017; García‐García et al., 2013; Nummenmaa et al., 2012; Olivo et al., 2016; Park et al., 2015; Steward et al., 2016)","noteIndex":0},"citationItems":[{"id":2538,"uris":["http://zotero.org/users/local/ukz7dhIj/items/388DSS9H"],"uri":["http://zotero.org/users/local/ukz7dhIj/items/388DSS9H"],"itemData":{"id":2538,"type":"article-journal","abstract":"Background\nThe efficient organization and communication of brain networks underlie cognitive processing and their disruption can lead to pathological behaviours. Few studies have focused on whole-brain networks in obesity and binge eating disorder (BED). Here we used multi-echo resting-state functional magnetic resonance imaging (rsfMRI) along with a data-driven graph theory approach to assess brain network characteristics in obesity and BED.\n\n\nMethod\nMulti-echo rsfMRI scans were collected from 40 obese subjects (including 20 BED patients) and 40 healthy controls and denoised using multi-echo independent component analysis (ME-ICA). We constructed a whole-brain functional connectivity matrix with normalized correlation coefficients between regional mean blood oxygenation level-dependent (BOLD) signals from 90 brain regions in the Automated Anatomical Labeling atlas. We computed global and regional network properties in the binarized connectivity matrices with an edge density of 5%–25%. We also verified our findings using a separate parcellation, the Harvard–Oxford atlas parcellated into 470 regions.\n\n\nResults\nObese subjects exhibited significantly reduced global and local network efficiency as well as decreased modularity compared with healthy controls, showing disruption in small-world and modular network structures. In regional metrics, the putamen, pallidum and thalamus exhibited significantly decreased nodal degree and efficiency in obese subjects. Obese subjects also showed decreased connectivity of cortico-striatal/cortico-thalamic networks associated with putaminal and cortical motor regions. These findings were significant with ME-ICA with limited group differences observed with conventional denoising or single-echo analysis.\n\n\nConclusions\nUsing this data-driven analysis of multi-echo rsfMRI data, we found disruption in global network properties and motor cortico-striatal networks in obesity consistent with habit formation theories. Our findings highlight the role of network properties in pathological food misuse as possible biomarkers and therapeutic targets.","container-title":"Psychological Medicine","DOI":"10.1017/S0033291716002646","ISSN":"0033-2917, 1469-8978","issue":"4","language":"en","note":"publisher: Cambridge University Press","page":"585-596","source":"Cambridge Core","title":"Disrupted resting-state brain network properties in obesity: decreased global and putaminal cortico-striatal network efficiency","title-short":"Disrupted resting-state brain network properties in obesity","volume":"47","author":[{"family":"Baek","given":"K."},{"family":"Morris","given":"L. S."},{"family":"Kundu","given":"P."},{"family":"Voon","given":"V."}],"issued":{"date-parts":[["2017",3]]}}},{"id":2506,"uris":["http://zotero.org/users/local/ukz7dhIj/items/NLHGLTL3"],"uri":["http://zotero.org/users/local/ukz7dhIj/items/NLHGLTL3"],"itemData":{"id":2506,"type":"article-journal","abstract":"Background\nThe food addiction model proposes that obesity overlaps with addiction in terms of neurobiological alterations in the striatum and related clinical manifestations (i.e., craving and persistence of unhealthy habits). Therefore, we aimed to examine the functional connectivity of the striatum in excess-weight versus normal-weight subjects and to determine the extent of the association between striatum connectivity and individual differences in food craving and changes in body mass index (BMI).\nMethods\nForty-two excess-weight participants (BMI &gt; 25) and 39 normal-weight participants enrolled in the study. Functional connectivity in the ventral and dorsal striatum was indicated by seed-based analyses on resting-state data. Food craving was indicated with subjective ratings of visual cues of high-calorie food. Changes in BMI between baseline and 12 weeks follow-up were assessed in 28 excess-weight participants. Measures of connectivity in the ventral striatum and dorsal striatum were compared between groups and correlated with craving and BMI change.\nResults\nParticipants with excess weight displayed increased functional connectivity between the ventral striatum and the medial prefrontal and parietal cortices and between the dorsal striatum and the somatosensory cortex. Dorsal striatum connectivity correlated with food craving and predicted BMI gains.\nConclusions\nObesity is linked to alterations in the functional connectivity of dorsal striatal networks relevant to food craving and weight gain. These neural alterations are associated with habit learning and thus compatible with the food addiction model of obesity.","collection-title":"Obesity and Food Addiction","container-title":"Biological Psychiatry","DOI":"10.1016/j.biopsych.2015.11.020","ISSN":"0006-3223","issue":"9","journalAbbreviation":"Biological Psychiatry","language":"en","page":"789-796","source":"ScienceDirect","title":"Ventral and Dorsal Striatum Networks in Obesity: Link to Food Craving and Weight Gain","title-short":"Ventral and Dorsal Striatum Networks in Obesity","volume":"81","author":[{"family":"Contreras-Rodríguez","given":"Oren"},{"family":"Martín-Pérez","given":"Cristina"},{"family":"Vilar-López","given":"Raquel"},{"family":"Verdejo-Garcia","given":"Antonio"}],"issued":{"date-parts":[["2017",5,1]]}}},{"id":2534,"uris":["http://zotero.org/users/local/ukz7dhIj/items/QATXD47S"],"uri":["http://zotero.org/users/local/ukz7dhIj/items/QATXD47S"],"itemData":{"id":2534,"type":"article-journal","abstract":"Obesity is a major health problem in modern societies. It has been related to abnormal functional organization of brain networks believed to process homeostatic (internal) and/or salience (external) information. This study used resting-state functional magnetic resonance imaging analysis to delineate possible functional changes in brain networks related to obesity. A group of 18 healthy adult participants with obesity were compared with a group of 16 lean participants while performing a resting-state task, with the data being evaluated by independent component analysis. Participants also completed a neuropsychological assessment. Results showed that the functional connectivity strength of the putamen nucleus in the salience network was increased in the obese group. We speculate that this abnormal activation may contribute to overeating through an imbalance between autonomic processing and reward processing of food stimuli. A correlation was also observed in obesity between activation of the putamen nucleus in the salience network and mental slowness, which is consistent with the notion that basal ganglia circuits modulate rapid processing of information. Hum Brain Mapp 34:2786–2797, 2013. © 2012 Wiley Periodicals, Inc.","container-title":"Human Brain Mapping","DOI":"10.1002/hbm.22104","ISSN":"1097-0193","issue":"11","language":"en","note":"_eprint: https://onlinelibrary.wiley.com/doi/pdf/10.1002/hbm.22104","page":"2786-2797","source":"Wiley Online Library","title":"Alterations of the salience network in obesity: A resting-state fMRI study","title-short":"Alterations of the salience network in obesity","volume":"34","author":[{"family":"García‐García","given":"Isabel"},{"family":"Jurado","given":"María Ángeles"},{"family":"Garolera","given":"Maite"},{"family":"Segura","given":"Bàrbara"},{"family":"Sala‐Llonch","given":"Roser"},{"family":"Marqués‐Iturria","given":"Idoia"},{"family":"Pueyo","given":"Roser"},{"family":"Sender‐Palacios","given":"María José"},{"family":"Vernet‐Vernet","given":"Maria"},{"family":"Narberhaus","given":"Ana"},{"family":"Ariza","given":"Mar"},{"family":"Junqué","given":"Carme"}],"issued":{"date-parts":[["2013"]]}}},{"id":2509,"uris":["http://zotero.org/users/local/ukz7dhIj/items/H8MPBTBN"],"uri":["http://zotero.org/users/local/ukz7dhIj/items/H8MPBTBN"],"itemData":{"id":2509,"type":"article-journal","abstract":"Obesity is characterized by an imbalance in the brain circuits promoting reward seeking and those governing cognitive control. Here we show that the dorsal caudate nucleus and its connections with amygdala, insula and prefrontal cortex contribute to abnormal reward processing in obesity. We measured regional brain glucose uptake in morbidly obese (n = 19) and normal weighted (n = 16) subjects with 2-[18F]fluoro-2-deoxyglucose ([18F]FDG) positron emission tomography (PET) during euglycemic hyperinsulinemia and with functional magnetic resonance imaging (fMRI) while anticipatory food reward was induced by repeated presentations of appetizing and bland food pictures. First, we found that glucose uptake rate in the dorsal caudate nucleus was higher in obese than in normal-weight subjects. Second, obese subjects showed increased hemodynamic responses in the caudate nucleus while viewing appetizing versus bland foods in fMRI. The caudate also showed elevated task-related functional connectivity with amygdala and insula in the obese versus normal-weight subjects. Finally, obese subjects had smaller responses to appetizing versus bland foods in the dorsolateral and orbitofrontal cortices than did normal-weight subjects, and failure to activate the dorsolateral prefrontal cortex was correlated with high glucose metabolism in the dorsal caudate nucleus. These findings suggest that enhanced sensitivity to external food cues in obesity may involve abnormal stimulus-response learning and incentive motivation subserved by the dorsal caudate nucleus, which in turn may be due to abnormally high input from the amygdala and insula and dysfunctional inhibitory control by the frontal cortical regions. These functional changes in the responsiveness and interconnectivity of the reward circuit could be a critical mechanism to explain overeating in obesity.","container-title":"PLoS ONE","DOI":"10.1371/journal.pone.0031089","ISSN":"1932-6203","issue":"2","journalAbbreviation":"PLoS One","note":"PMID: 22319604\nPMCID: PMC3272045","source":"PubMed Central","title":"Dorsal Striatum and Its Limbic Connectivity Mediate Abnormal Anticipatory Reward Processing in Obesity","URL":"https://www.ncbi.nlm.nih.gov/pmc/articles/PMC3272045/","volume":"7","author":[{"family":"Nummenmaa","given":"Lauri"},{"family":"Hirvonen","given":"Jussi"},{"family":"Hannukainen","given":"Jarna C."},{"family":"Immonen","given":"Heidi"},{"family":"Lindroos","given":"Markus M."},{"family":"Salminen","given":"Paulina"},{"family":"Nuutila","given":"Pirjo"}],"accessed":{"date-parts":[["2020",5,1]]},"issued":{"date-parts":[["2012",2,3]]}}},{"id":2541,"uris":["http://zotero.org/users/local/ukz7dhIj/items/K6CQ8QSJ"],"uri":["http://zotero.org/users/local/ukz7dhIj/items/K6CQ8QSJ"],"itemData":{"id":2541,"type":"article-journal","abstract":"Single-nucleotide polymorphisms (SNPs) of the fat mass and obesity associated (FTO) gene are linked to obesity, but how these SNPs influence resting-state neural activation is unknown. Few brain-imaging studies have investigated the influence of obesity-related SNPs on neural activity, and no study has investigated resting-state connectivity patterns. We tested connectivity within three, main resting-state networks: default mode (DMN), sensorimotor (SMN), and salience network (SN) in thirty male participants, grouped based on genotype for the rs9939609 FTO SNP, as well as punishment and reward sensitivity measured by the Behavioral Inhibition (BIS) and Behavioral Activation System (BAS) questionnaires. Because obesity is associated with anomalies in both systems, we calculated a BIS/BAS ratio (BBr) accounting for features of both scores. A prominence of BIS over BAS (higher BBr) resulted in increased connectivity in frontal and paralimbic regions. These alterations were more evident in the obesity-associated AA genotype, where a high BBr was also associated with increased SN connectivity in dopaminergic circuitries, and in a subnetwork involved in somatosensory integration regarding food. Participants with AA genotype and high BBr, compared to corresponding participants in the TT genotype, also showed greater DMN connectivity in regions involved in the processing of food cues, and in the SMN for regions involved in visceral perception and reward-based learning. These findings suggest that neural connectivity patterns influence the sensitivity toward punishment and reward more closely in the AA carriers, predisposing them to developing obesity. Our work explains a complex interaction between genetics, neural patterns, and behavioral measures in determining the risk for obesity and may help develop individually-tailored strategies for obesity prevention.","container-title":"Frontiers in Human Neuroscience","DOI":"10.3389/fnhum.2016.00052","ISSN":"1662-5161","journalAbbreviation":"Front. Hum. Neurosci.","language":"English","note":"publisher: Frontiers","source":"Frontiers","title":"Resting-State Brain and the FTO Obesity Risk Allele: Default Mode, Sensorimotor, and Salience Network Connectivity Underlying Different Somatosensory Integration and Reward Processing between Genotypes","title-short":"Resting-State Brain and the FTO Obesity Risk Allele","URL":"https://www.frontiersin.org/articles/10.3389/fnhum.2016.00052/full","volume":"10","author":[{"family":"Olivo","given":"Gaia"},{"family":"Wiemerslage","given":"Lyle"},{"family":"Nilsson","given":"Emil K."},{"family":"Solstrand Dahlberg","given":"Linda"},{"family":"Larsen","given":"Anna L."},{"family":"Olaya Búcaro","given":"Marcela"},{"family":"Gustafsson","given":"Veronica P."},{"family":"Titova","given":"Olga E."},{"family":"Bandstein","given":"Marcus"},{"family":"Larsson","given":"Elna-Marie"},{"family":"Benedict","given":"Christian"},{"family":"Brooks","given":"Samantha J."},{"family":"Schiöth","given":"Helgi B."}],"accessed":{"date-parts":[["2020",5,1]]},"issued":{"date-parts":[["2016"]]}}},{"id":2524,"uris":["http://zotero.org/users/local/ukz7dhIj/items/RM99GYTF"],"uri":["http://zotero.org/users/local/ukz7dhIj/items/RM99GYTF"],"itemData":{"id":2524,"type":"article-journal","abstract":"Obesity is a medical condition affecting billions of people. Various neuroimaging methods including magnetic resonance imaging (MRI) have been used to obtain information about obesity. We adopted a multi-modal approach combining diffusion tensor imaging (DTI) and resting state functional MRI (rs-fMRI) to incorporate complementary information and thus better investigate the brains of non-healthy weight subjects. The objective of this study was to explore multi-modal neuroimaging and use it to predict a practical clinical score, body mass index (BMI). Connectivity analysis was applied to DTI and rs-fMRI. Significant regions and associated imaging features were identified based on group-wise differences between healthy weight and non-healthy weight subjects. Six DTI-driven connections and 10 rs-fMRI-driven connectivities were identified. DTI-driven connections better reflected group-wise differences than did rs-fMRI-driven connectivity. We predicted BMI values using multi-modal imaging features in a partial least-square regression framework (percent error 15.0%). Our study identified brain regions and imaging features that can adequately explain BMI. We identified potentially good imaging biomarker candidates for obesity-related diseases.","container-title":"PLoS ONE","DOI":"10.1371/journal.pone.0141376","ISSN":"1932-6203","issue":"11","journalAbbreviation":"PLoS One","note":"PMID: 26536135\nPMCID: PMC4633033","source":"PubMed Central","title":"Structural and Functional Brain Connectivity of People with Obesity and Prediction of Body Mass Index Using Connectivity","URL":"https://www.ncbi.nlm.nih.gov/pmc/articles/PMC4633033/","volume":"10","author":[{"family":"Park","given":"Bo-yong"},{"family":"Seo","given":"Jongbum"},{"family":"Yi","given":"Juneho"},{"family":"Park","given":"Hyunjin"}],"accessed":{"date-parts":[["2020",5,1]]},"issued":{"date-parts":[["2015",11,4]]}}},{"id":2521,"uris":["http://zotero.org/users/local/ukz7dhIj/items/QCKL9FSC"],"uri":["http://zotero.org/users/local/ukz7dhIj/items/QCKL9FSC"],"itemData":{"id":2521,"type":"article-journal","abstract":"Emotion-regulation strategies are understood to influence food intake. This study examined the neurophysiological underpinnings of negative emotion processing and emotion regulation in individuals with excess weight compared to normal-weight controls. Fifteen participants with excess-weight (body mass index &gt;25) and sixteen normal-weight controls (body mass index 18–25) performed an emotion-regulation task during functional magnetic resonance imaging. Participants were exposed to 24 negative affective or neutral pictures that they were instructed to Observe (neutral pictures), Maintain (sustain the emotion elicited by negative pictures) or Regulate (down-regulate the emotion provoked by negative pictures through previously trained reappraisal techniques). When instructed to regulate negative emotions by means of cognitive reappraisal, participants with excess weight displayed persistently heightened activation in the right anterior insula. Decreased responsivity was also found in right anterior insula, the orbitofrontal cortex and cerebellum during negative emotion experience in participants with excess weight. Psycho-physiological interaction analyses showed that excess-weight participants had decreased negative functional coupling between the right anterior insula and the right dlPFC, and the bilateral dmPFC during cognitive reappraisal. Our findings support contentions that excess weight is linked to an abnormal pattern of neural activation and connectivity during the experience and regulation of negative emotions, with the insula playing a key role in these alterations. We posit that ineffective regulation of emotional states contributes to the acquisition and preservation of excess weight.","container-title":"PLoS ONE","DOI":"10.1371/journal.pone.0152150","ISSN":"1932-6203","issue":"3","journalAbbreviation":"PLoS One","note":"PMID: 27003840\nPMCID: PMC4803189","source":"PubMed Central","title":"Emotion Regulation and Excess Weight: Impaired Affective Processing Characterized by Dysfunctional Insula Activation and Connectivity","title-short":"Emotion Regulation and Excess Weight","URL":"https://www.ncbi.nlm.nih.gov/pmc/articles/PMC4803189/","volume":"11","author":[{"family":"Steward","given":"Trevor"},{"family":"Picó-Pérez","given":"Maria"},{"family":"Mata","given":"Fernanda"},{"family":"Martínez-Zalacaín","given":"Ignacio"},{"family":"Cano","given":"Marta"},{"family":"Contreras-Rodríguez","given":"Oren"},{"family":"Fernández-Aranda","given":"Fernando"},{"family":"Yucel","given":"Murat"},{"family":"Soriano-Mas","given":"Carles"},{"family":"Verdejo-García","given":"Antonio"}],"accessed":{"date-parts":[["2020",5,1]]},"issued":{"date-parts":[["2016",3,22]]}}}],"schema":"https://github.com/citation-style-language/schema/raw/master/csl-citation.json"} </w:instrText>
      </w:r>
      <w:r w:rsidR="00BC2CCF" w:rsidRPr="000217C7">
        <w:rPr>
          <w:color w:val="000000" w:themeColor="text1"/>
        </w:rPr>
        <w:fldChar w:fldCharType="separate"/>
      </w:r>
      <w:r w:rsidR="00D06948" w:rsidRPr="000217C7">
        <w:rPr>
          <w:rFonts w:cs="Times New Roman"/>
          <w:color w:val="000000" w:themeColor="text1"/>
          <w:lang w:val="en-GB"/>
        </w:rPr>
        <w:t>(Baek et al., 2017; Contreras-Rodríguez et al., 2017; García‐García et al., 2013; Nummenmaa et al., 2012; Olivo et al., 2016; Park et al., 2015; Steward et al., 2016)</w:t>
      </w:r>
      <w:r w:rsidR="00BC2CCF" w:rsidRPr="000217C7">
        <w:rPr>
          <w:color w:val="000000" w:themeColor="text1"/>
        </w:rPr>
        <w:fldChar w:fldCharType="end"/>
      </w:r>
      <w:r w:rsidR="00060CFB" w:rsidRPr="000217C7">
        <w:rPr>
          <w:color w:val="000000" w:themeColor="text1"/>
        </w:rPr>
        <w:t xml:space="preserve">, </w:t>
      </w:r>
      <w:r w:rsidR="009D23A8" w:rsidRPr="000217C7">
        <w:rPr>
          <w:color w:val="000000" w:themeColor="text1"/>
        </w:rPr>
        <w:t>as well as</w:t>
      </w:r>
      <w:r w:rsidR="0004245A" w:rsidRPr="000217C7">
        <w:rPr>
          <w:color w:val="000000" w:themeColor="text1"/>
        </w:rPr>
        <w:t xml:space="preserve"> reduced connectivity of the fusiform gyri and temporal visual areas</w:t>
      </w:r>
      <w:r w:rsidR="00AB7478" w:rsidRPr="000217C7">
        <w:rPr>
          <w:color w:val="000000" w:themeColor="text1"/>
        </w:rPr>
        <w:t xml:space="preserve"> </w:t>
      </w:r>
      <w:r w:rsidR="00BC2CCF" w:rsidRPr="000217C7">
        <w:rPr>
          <w:color w:val="000000" w:themeColor="text1"/>
        </w:rPr>
        <w:fldChar w:fldCharType="begin"/>
      </w:r>
      <w:r w:rsidR="00D06948" w:rsidRPr="000217C7">
        <w:rPr>
          <w:color w:val="000000" w:themeColor="text1"/>
        </w:rPr>
        <w:instrText xml:space="preserve"> ADDIN ZOTERO_ITEM CSL_CITATION {"citationID":"a2itj1ai3fo","properties":{"formattedCitation":"(Garc\\uc0\\u237{}a-Garc\\uc0\\u237{}a et al., 2015; Kullmann et al., 2013)","plainCitation":"(García-García et al., 2015; Kullmann et al., 2013)","noteIndex":0},"citationItems":[{"id":2535,"uris":["http://zotero.org/users/local/ukz7dhIj/items/T6B5Z6W7"],"uri":["http://zotero.org/users/local/ukz7dhIj/items/T6B5Z6W7"],"itemData":{"id":2535,"type":"article-journal","abstract":"Obesity is associated with structural and functional alterations in brain areas that are often functionally distinct and anatomically distant. This suggests that obesity is associated with differences in functional connectivity of regions distributed across the brain. However, studies addressing whole brain functional connectivity in obesity remain scarce. Here, we compared voxel-wise degree centrality and eigenvector centrality between participants with obesity (n=20) and normal-weight controls (n=21). We analyzed resting state and task-related fMRI data acquired from the same individuals. Relative to normal-weight controls, participants with obesity exhibited reduced degree centrality in the right middle frontal gyrus in the resting-state condition. During the task fMRI condition, obese participants exhibited less degree centrality in the left middle frontal gyrus and the lateral occipital cortex along with reduced eigenvector centrality in the lateral occipital cortex and occipital pole. Our results highlight the central role of the middle frontal gyrus in the pathophysiology of obesity, a structure involved in several brain circuits signaling attention, executive functions and motor functions. Additionally, our analysis suggests the existence of task-dependent reduced centrality in occipital areas; regions with a role in perceptual processes and that are profoundly modulated by attention.","container-title":"Psychiatry Research: Neuroimaging","DOI":"10.1016/j.pscychresns.2015.05.017","ISSN":"0925-4927","issue":"3","journalAbbreviation":"Psychiatry Research: Neuroimaging","language":"en","page":"331-338","source":"ScienceDirect","title":"Functional network centrality in obesity: A resting-state and task fMRI study","title-short":"Functional network centrality in obesity","volume":"233","author":[{"family":"García-García","given":"Isabel"},{"family":"Jurado","given":"María Ángeles"},{"family":"Garolera","given":"Maite"},{"family":"Marqués-Iturria","given":"Idoia"},{"family":"Horstmann","given":"Annette"},{"family":"Segura","given":"Bàrbara"},{"family":"Pueyo","given":"Roser"},{"family":"Sender-Palacios","given":"María José"},{"family":"Vernet-Vernet","given":"Maria"},{"family":"Villringer","given":"Arno"},{"family":"Junqué","given":"Carme"},{"family":"Margulies","given":"Daniel S."},{"family":"Neumann","given":"Jane"}],"issued":{"date-parts":[["2015",9,30]]}}},{"id":1826,"uris":["http://zotero.org/users/local/ukz7dhIj/items/Y7JXQT2S"],"uri":["http://zotero.org/users/local/ukz7dhIj/items/Y7JXQT2S"],"itemData":{"id":1826,"type":"article-journal","abstract":"In order to adequately explore the neurobiological basis of eating behavior of humans and their changes with body weight, interactions between brain areas or networks need to be investigated. In the current functional magnetic resonance imaging study, we examined the modulating effects of stimulus category (food vs. nonfood), caloric content of food, and body weight on the time course and functional connectivity of 5 brain networks by means of independent component analysis in healthy lean and overweight/obese adults. These functional networks included motor sensory, default-mode, extrastriate visual, temporal visual association, and salience networks. We found an extensive modulation elicited by food stimuli in the 2 visual and salience networks, with a dissociable pattern in the time course and functional connectivity between lean and overweight/obese subjects. Specifically, only in lean subjects, the temporal visual association network was modulated by the stimulus category and the salience network by caloric content, whereas overweight and obese subjects showed a generalized augmented response in the salience network. Furthermore, overweight/obese subjects showed changes in functional connectivity in networks important for object recognition, motivational salience, and executive control. These alterations could potentially lead to top-down deficiencies driving the overconsumption of food in the obese population.","container-title":"Cerebral Cortex (New York, N.Y.: 1991)","DOI":"10.1093/cercor/bhs124","ISSN":"1460-2199","issue":"5","journalAbbreviation":"Cereb. Cortex","language":"eng","note":"PMID: 22586138","page":"1247-1256","source":"PubMed","title":"Functional network connectivity underlying food processing: disturbed salience and visual processing in overweight and obese adults","title-short":"Functional network connectivity underlying food processing","volume":"23","author":[{"family":"Kullmann","given":"Stephanie"},{"family":"Pape","given":"Anna-Antonia"},{"family":"Heni","given":"Martin"},{"family":"Ketterer","given":"Caroline"},{"family":"Schick","given":"Fritz"},{"family":"Häring","given":"Hans-Ulrich"},{"family":"Fritsche","given":"Andreas"},{"family":"Preissl","given":"Hubert"},{"family":"Veit","given":"Ralf"}],"issued":{"date-parts":[["2013",5]]}}}],"schema":"https://github.com/citation-style-language/schema/raw/master/csl-citation.json"} </w:instrText>
      </w:r>
      <w:r w:rsidR="00BC2CCF" w:rsidRPr="000217C7">
        <w:rPr>
          <w:color w:val="000000" w:themeColor="text1"/>
        </w:rPr>
        <w:fldChar w:fldCharType="separate"/>
      </w:r>
      <w:r w:rsidR="00D06948" w:rsidRPr="000217C7">
        <w:rPr>
          <w:rFonts w:cs="Times New Roman"/>
          <w:color w:val="000000" w:themeColor="text1"/>
          <w:lang w:val="en-GB"/>
        </w:rPr>
        <w:t>(García-García et al., 2015; Kullmann et al., 2013)</w:t>
      </w:r>
      <w:r w:rsidR="00BC2CCF" w:rsidRPr="000217C7">
        <w:rPr>
          <w:color w:val="000000" w:themeColor="text1"/>
        </w:rPr>
        <w:fldChar w:fldCharType="end"/>
      </w:r>
      <w:r w:rsidR="00060CFB" w:rsidRPr="000217C7">
        <w:rPr>
          <w:color w:val="000000" w:themeColor="text1"/>
        </w:rPr>
        <w:t xml:space="preserve">. </w:t>
      </w:r>
      <w:r w:rsidR="00964A7F" w:rsidRPr="000217C7">
        <w:rPr>
          <w:color w:val="000000" w:themeColor="text1"/>
        </w:rPr>
        <w:t>Lower connectivity between these areas may be</w:t>
      </w:r>
      <w:r w:rsidR="0002788F" w:rsidRPr="000217C7">
        <w:rPr>
          <w:color w:val="000000" w:themeColor="text1"/>
        </w:rPr>
        <w:t xml:space="preserve"> linked to a dissociation between perceptive and reward mechanisms, which can be one of the </w:t>
      </w:r>
      <w:r w:rsidR="00BA37CF" w:rsidRPr="000217C7">
        <w:rPr>
          <w:color w:val="000000" w:themeColor="text1"/>
        </w:rPr>
        <w:t>factors leading to overeating</w:t>
      </w:r>
      <w:r w:rsidR="0013786E" w:rsidRPr="000217C7">
        <w:rPr>
          <w:color w:val="000000" w:themeColor="text1"/>
        </w:rPr>
        <w:t xml:space="preserve"> </w:t>
      </w:r>
      <w:r w:rsidR="00B44A66" w:rsidRPr="000217C7">
        <w:rPr>
          <w:color w:val="000000" w:themeColor="text1"/>
        </w:rPr>
        <w:t>i</w:t>
      </w:r>
      <w:r w:rsidR="0013786E" w:rsidRPr="000217C7">
        <w:rPr>
          <w:color w:val="000000" w:themeColor="text1"/>
        </w:rPr>
        <w:t>n obesity</w:t>
      </w:r>
      <w:r w:rsidR="00BA37CF" w:rsidRPr="000217C7">
        <w:rPr>
          <w:color w:val="000000" w:themeColor="text1"/>
        </w:rPr>
        <w:t>.</w:t>
      </w:r>
    </w:p>
    <w:p w14:paraId="38110CDB" w14:textId="689EFFEE" w:rsidR="00CB029D" w:rsidRPr="000217C7" w:rsidRDefault="00352F98" w:rsidP="008F6CFD">
      <w:pPr>
        <w:pStyle w:val="Heading3"/>
      </w:pPr>
      <w:r w:rsidRPr="000217C7">
        <w:t>Neural correlates of bCFS suppression times</w:t>
      </w:r>
    </w:p>
    <w:p w14:paraId="4C3C01E1" w14:textId="6939C744" w:rsidR="00661B8D" w:rsidRPr="000217C7" w:rsidRDefault="008E5A52" w:rsidP="00307C0A">
      <w:pPr>
        <w:ind w:firstLine="0"/>
        <w:rPr>
          <w:color w:val="000000" w:themeColor="text1"/>
        </w:rPr>
      </w:pPr>
      <w:r w:rsidRPr="000217C7">
        <w:rPr>
          <w:color w:val="000000" w:themeColor="text1"/>
        </w:rPr>
        <w:t>Independently of BMI, our study provides new interesting evidence regarding structural brain variability associated with the performance in the CFS task. W</w:t>
      </w:r>
      <w:r w:rsidR="009B4369" w:rsidRPr="000217C7">
        <w:rPr>
          <w:color w:val="000000" w:themeColor="text1"/>
        </w:rPr>
        <w:t>e observed that s</w:t>
      </w:r>
      <w:r w:rsidR="000669A9" w:rsidRPr="000217C7">
        <w:rPr>
          <w:color w:val="000000" w:themeColor="text1"/>
        </w:rPr>
        <w:t>tronger suppression</w:t>
      </w:r>
      <w:r w:rsidR="009B4369" w:rsidRPr="000217C7">
        <w:rPr>
          <w:color w:val="000000" w:themeColor="text1"/>
        </w:rPr>
        <w:t xml:space="preserve"> </w:t>
      </w:r>
      <w:r w:rsidR="00AD38D2" w:rsidRPr="000217C7">
        <w:rPr>
          <w:color w:val="000000" w:themeColor="text1"/>
        </w:rPr>
        <w:t xml:space="preserve">correlated </w:t>
      </w:r>
      <w:r w:rsidR="008C3B18" w:rsidRPr="000217C7">
        <w:rPr>
          <w:color w:val="000000" w:themeColor="text1"/>
        </w:rPr>
        <w:t>with higher GM</w:t>
      </w:r>
      <w:r w:rsidR="00816DB6" w:rsidRPr="000217C7">
        <w:rPr>
          <w:color w:val="000000" w:themeColor="text1"/>
        </w:rPr>
        <w:t xml:space="preserve"> density</w:t>
      </w:r>
      <w:r w:rsidR="008C3B18" w:rsidRPr="000217C7">
        <w:rPr>
          <w:color w:val="000000" w:themeColor="text1"/>
        </w:rPr>
        <w:t xml:space="preserve"> in </w:t>
      </w:r>
      <w:r w:rsidR="006E7AEC" w:rsidRPr="000217C7">
        <w:rPr>
          <w:color w:val="000000" w:themeColor="text1"/>
        </w:rPr>
        <w:t xml:space="preserve">low-level (calcarine cortex) and high-level (inferior occipital/occipital fusiform gyri) </w:t>
      </w:r>
      <w:r w:rsidR="008C3B18" w:rsidRPr="000217C7">
        <w:rPr>
          <w:color w:val="000000" w:themeColor="text1"/>
        </w:rPr>
        <w:t xml:space="preserve">visual areas. </w:t>
      </w:r>
      <w:r w:rsidR="00ED584F" w:rsidRPr="000217C7">
        <w:rPr>
          <w:color w:val="000000" w:themeColor="text1"/>
        </w:rPr>
        <w:t xml:space="preserve">Interestingly, </w:t>
      </w:r>
      <w:r w:rsidR="005F0FD9" w:rsidRPr="000217C7">
        <w:rPr>
          <w:color w:val="000000" w:themeColor="text1"/>
        </w:rPr>
        <w:t xml:space="preserve">longer suppression times were associated with </w:t>
      </w:r>
      <w:r w:rsidR="00C1699F" w:rsidRPr="000217C7">
        <w:rPr>
          <w:color w:val="000000" w:themeColor="text1"/>
        </w:rPr>
        <w:t xml:space="preserve">higher </w:t>
      </w:r>
      <w:r w:rsidR="005F0FD9" w:rsidRPr="000217C7">
        <w:rPr>
          <w:color w:val="000000" w:themeColor="text1"/>
        </w:rPr>
        <w:t xml:space="preserve">GM density in the </w:t>
      </w:r>
      <w:r w:rsidR="00A317C0" w:rsidRPr="000217C7">
        <w:rPr>
          <w:color w:val="000000" w:themeColor="text1"/>
        </w:rPr>
        <w:t xml:space="preserve">right </w:t>
      </w:r>
      <w:r w:rsidR="005F0FD9" w:rsidRPr="000217C7">
        <w:rPr>
          <w:color w:val="000000" w:themeColor="text1"/>
        </w:rPr>
        <w:t>caudate nucle</w:t>
      </w:r>
      <w:r w:rsidR="00A317C0" w:rsidRPr="000217C7">
        <w:rPr>
          <w:color w:val="000000" w:themeColor="text1"/>
        </w:rPr>
        <w:t>us</w:t>
      </w:r>
      <w:r w:rsidR="005F0FD9" w:rsidRPr="000217C7">
        <w:rPr>
          <w:color w:val="000000" w:themeColor="text1"/>
        </w:rPr>
        <w:t>, a structure</w:t>
      </w:r>
      <w:r w:rsidR="00DE0553" w:rsidRPr="000217C7">
        <w:rPr>
          <w:color w:val="000000" w:themeColor="text1"/>
        </w:rPr>
        <w:t xml:space="preserve"> implicated in r</w:t>
      </w:r>
      <w:r w:rsidR="00452AE2" w:rsidRPr="000217C7">
        <w:rPr>
          <w:color w:val="000000" w:themeColor="text1"/>
        </w:rPr>
        <w:t xml:space="preserve">eward-dependent </w:t>
      </w:r>
      <w:r w:rsidR="00DE0553" w:rsidRPr="000217C7">
        <w:rPr>
          <w:color w:val="000000" w:themeColor="text1"/>
        </w:rPr>
        <w:t>behaviors</w:t>
      </w:r>
      <w:r w:rsidR="00452AE2" w:rsidRPr="000217C7">
        <w:rPr>
          <w:color w:val="000000" w:themeColor="text1"/>
        </w:rPr>
        <w:t xml:space="preserve"> </w:t>
      </w:r>
      <w:r w:rsidR="00BC2CCF" w:rsidRPr="000217C7">
        <w:rPr>
          <w:color w:val="000000" w:themeColor="text1"/>
        </w:rPr>
        <w:fldChar w:fldCharType="begin"/>
      </w:r>
      <w:r w:rsidR="009456C2" w:rsidRPr="000217C7">
        <w:rPr>
          <w:color w:val="000000" w:themeColor="text1"/>
        </w:rPr>
        <w:instrText xml:space="preserve"> ADDIN ZOTERO_ITEM CSL_CITATION {"citationID":"Ner52eS4","properties":{"formattedCitation":"(Balleine et al., 2007; Nakamura and Hikosaka, 2006)","plainCitation":"(Balleine et al., 2007; Nakamura and Hikosaka, 2006)","noteIndex":0},"citationItems":[{"id":1280,"uris":["http://zotero.org/users/local/ukz7dhIj/items/DXED8I2S"],"uri":["http://zotero.org/users/local/ukz7dhIj/items/DXED8I2S"],"itemData":{"id":1280,"type":"article-journal","abstract":"Although the involvement in the striatum in the refinement and control of motor movement has long been recognized, recent description of discrete frontal corticobasal ganglia networks in a range of species has focused attention on the role particularly of the dorsal striatum in executive functions. Current evidence suggests that the dorsal striatum contributes directly to decision-making, especially to action selection and initiation, through the integration of sensorimotor, cognitive, and motivational/emotional information within specific corticostriatal circuits involving discrete regions of striatum. We review key evidence from recent studies in rodent, nonhuman primate, and human subjects.","container-title":"Journal of Neuroscience","DOI":"10.1523/JNEUROSCI.1554-07.2007","ISSN":"0270-6474, 1529-2401","issue":"31","journalAbbreviation":"J. Neurosci.","language":"en","note":"PMID: 17670959","page":"8161-8165","source":"www.jneurosci.org","title":"The Role of the Dorsal Striatum in Reward and Decision-Making","volume":"27","author":[{"family":"Balleine","given":"Bernard W."},{"family":"Delgado","given":"Mauricio R."},{"family":"Hikosaka","given":"Okihide"}],"issued":{"date-parts":[["2007",8,1]]}}},{"id":1247,"uris":["http://zotero.org/users/local/ukz7dhIj/items/RJQHUK2J"],"uri":["http://zotero.org/users/local/ukz7dhIj/items/RJQHUK2J"],"itemData":{"id":1247,"type":"article-journal","abstract":"Expected reward impacts behavior and neuronal activity in brain areas involved in sensorimotor processes. However, where and how reward signals affect sensorimotor signals is unclear. Here, we show evidence that reward-dependent modulation of behavior depends on normal dopamine transmission in the striatum. Monkeys performed a visually guided saccade task in which expected reward gain was different depending on the position of the target. Saccadic reaction times were reliably shorter on large-reward trials than on small-reward trials. When position-reward contingency was switched, the reaction time difference changed rapidly. Injecting dopamine D1 antagonist into the caudate significantly attenuated the reward-dependent saccadic reaction time changes. Conversely, injecting D2 antagonist into the same region enhanced the reward-dependent changes. These results suggest that reward-dependent changes in saccadic eye movements depend partly on dopaminergic modulation of neuronal activity in the caudate nucleus.","container-title":"The Journal of Neuroscience: The Official Journal of the Society for Neuroscience","DOI":"10.1523/JNEUROSCI.4853-05.2006","ISSN":"1529-2401","issue":"20","journalAbbreviation":"J. Neurosci.","language":"eng","note":"PMID: 16707788","page":"5360-5369","source":"PubMed","title":"Role of dopamine in the primate caudate nucleus in reward modulation of saccades","volume":"26","author":[{"family":"Nakamura","given":"Kae"},{"family":"Hikosaka","given":"Okihide"}],"issued":{"date-parts":[["2006",5,17]]}}}],"schema":"https://github.com/citation-style-language/schema/raw/master/csl-citation.json"} </w:instrText>
      </w:r>
      <w:r w:rsidR="00BC2CCF" w:rsidRPr="000217C7">
        <w:rPr>
          <w:color w:val="000000" w:themeColor="text1"/>
        </w:rPr>
        <w:fldChar w:fldCharType="separate"/>
      </w:r>
      <w:r w:rsidR="009456C2" w:rsidRPr="000217C7">
        <w:rPr>
          <w:noProof/>
          <w:color w:val="000000" w:themeColor="text1"/>
        </w:rPr>
        <w:t>(Balleine et al., 2007; Nakamura and Hikosaka, 2006)</w:t>
      </w:r>
      <w:r w:rsidR="00BC2CCF" w:rsidRPr="000217C7">
        <w:rPr>
          <w:color w:val="000000" w:themeColor="text1"/>
        </w:rPr>
        <w:fldChar w:fldCharType="end"/>
      </w:r>
      <w:r w:rsidR="00B44A66" w:rsidRPr="000217C7">
        <w:rPr>
          <w:color w:val="000000" w:themeColor="text1"/>
        </w:rPr>
        <w:t xml:space="preserve">. </w:t>
      </w:r>
      <w:r w:rsidR="004814D5" w:rsidRPr="000217C7">
        <w:rPr>
          <w:color w:val="000000" w:themeColor="text1"/>
        </w:rPr>
        <w:t xml:space="preserve">Similarly, </w:t>
      </w:r>
      <w:proofErr w:type="spellStart"/>
      <w:r w:rsidR="00ED584F" w:rsidRPr="000217C7">
        <w:rPr>
          <w:color w:val="000000" w:themeColor="text1"/>
        </w:rPr>
        <w:t>Schmack</w:t>
      </w:r>
      <w:proofErr w:type="spellEnd"/>
      <w:r w:rsidR="00ED584F" w:rsidRPr="000217C7">
        <w:rPr>
          <w:color w:val="000000" w:themeColor="text1"/>
        </w:rPr>
        <w:t xml:space="preserve"> </w:t>
      </w:r>
      <w:r w:rsidR="00661B8D" w:rsidRPr="000217C7">
        <w:rPr>
          <w:color w:val="000000" w:themeColor="text1"/>
        </w:rPr>
        <w:t xml:space="preserve">et </w:t>
      </w:r>
      <w:r w:rsidR="00ED584F" w:rsidRPr="000217C7">
        <w:rPr>
          <w:color w:val="000000" w:themeColor="text1"/>
        </w:rPr>
        <w:t xml:space="preserve">al. </w:t>
      </w:r>
      <w:r w:rsidR="00BC2CCF" w:rsidRPr="000217C7">
        <w:rPr>
          <w:color w:val="000000" w:themeColor="text1"/>
        </w:rPr>
        <w:fldChar w:fldCharType="begin"/>
      </w:r>
      <w:r w:rsidR="003F3C87" w:rsidRPr="000217C7">
        <w:rPr>
          <w:color w:val="000000" w:themeColor="text1"/>
        </w:rPr>
        <w:instrText xml:space="preserve"> ADDIN ZOTERO_ITEM CSL_CITATION {"citationID":"121bvrfd46","properties":{"formattedCitation":"(2016)","plainCitation":"(2016)","noteIndex":0},"citationItems":[{"id":112,"uris":["http://zotero.org/users/local/ukz7dhIj/items/QKSI2XUV"],"uri":["http://zotero.org/users/local/ukz7dhIj/items/QKSI2XUV"],"itemData":{"id":112,"type":"article-journal","abstract":"The affective value of a stimulus substantially influences its potency to gain\n                    access to awareness. Here, we sought to elucidate the neural mechanisms\n                    underlying such affective salience in a combined behavioral and fMRI experiment.\n                    Healthy individuals with varying degrees of spider phobia were presented with\n                    pictures of spiders and flowers suppressed from view by continuous flash\n                    suppression. Applying multivoxel pattern analysis, we found that the average\n                    time that spider stimuli took relative to flowers to gain access to awareness in\n                    each participant could be decoded from fMRI signals evoked by suppressed spider\n                    versus flower stimuli in occipitotemporal and orbitofrontal cortex. Our results\n                    indicate neural signals during unconscious processing of complex visual\n                    information in orbitofrontal and ventral visual areas predict access to\n                    awareness of this information, suggesting a crucial role for these higher-level\n                    cortical regions in mediating affective salience.","container-title":"Cerebral Cortex","DOI":"10.1093/cercor/bhv174","ISSN":"1047-3211","issue":"8","journalAbbreviation":"Cereb Cortex","page":"3453-3460","source":"academic.oup.com","title":"Predicting Subjective Affective Salience from Cortical Responses to Invisible Object Stimuli","volume":"26","author":[{"family":"Schmack","given":"Katharina"},{"family":"Burk","given":"Julia"},{"family":"Haynes","given":"John-Dylan"},{"family":"Sterzer","given":"Philipp"}],"issued":{"date-parts":[["2016",8,1]]}},"suppress-author":true}],"schema":"https://github.com/citation-style-language/schema/raw/master/csl-citation.json"} </w:instrText>
      </w:r>
      <w:r w:rsidR="00BC2CCF" w:rsidRPr="000217C7">
        <w:rPr>
          <w:color w:val="000000" w:themeColor="text1"/>
        </w:rPr>
        <w:fldChar w:fldCharType="separate"/>
      </w:r>
      <w:r w:rsidR="00ED584F" w:rsidRPr="000217C7">
        <w:rPr>
          <w:noProof/>
          <w:color w:val="000000" w:themeColor="text1"/>
        </w:rPr>
        <w:t>(2016)</w:t>
      </w:r>
      <w:r w:rsidR="00BC2CCF" w:rsidRPr="000217C7">
        <w:rPr>
          <w:color w:val="000000" w:themeColor="text1"/>
        </w:rPr>
        <w:fldChar w:fldCharType="end"/>
      </w:r>
      <w:r w:rsidR="00242279" w:rsidRPr="000217C7">
        <w:rPr>
          <w:color w:val="000000" w:themeColor="text1"/>
        </w:rPr>
        <w:t xml:space="preserve"> have </w:t>
      </w:r>
      <w:r w:rsidR="004814D5" w:rsidRPr="000217C7">
        <w:rPr>
          <w:color w:val="000000" w:themeColor="text1"/>
        </w:rPr>
        <w:t xml:space="preserve">found that suppression times can be predicted from activity in </w:t>
      </w:r>
      <w:r w:rsidR="006E7AEC" w:rsidRPr="000217C7">
        <w:rPr>
          <w:color w:val="000000" w:themeColor="text1"/>
        </w:rPr>
        <w:t xml:space="preserve">visual areas (right fusiform gyrus) and </w:t>
      </w:r>
      <w:r w:rsidR="004814D5" w:rsidRPr="000217C7">
        <w:rPr>
          <w:color w:val="000000" w:themeColor="text1"/>
        </w:rPr>
        <w:t>the orbitofrontal cortex</w:t>
      </w:r>
      <w:r w:rsidR="00B31B31" w:rsidRPr="000217C7">
        <w:rPr>
          <w:color w:val="000000" w:themeColor="text1"/>
        </w:rPr>
        <w:t>.</w:t>
      </w:r>
      <w:r w:rsidR="00307C0A" w:rsidRPr="000217C7">
        <w:rPr>
          <w:color w:val="000000" w:themeColor="text1"/>
        </w:rPr>
        <w:t xml:space="preserve"> In a review on the neural correlates of arou</w:t>
      </w:r>
      <w:r w:rsidR="00DC46A4" w:rsidRPr="000217C7">
        <w:rPr>
          <w:color w:val="000000" w:themeColor="text1"/>
        </w:rPr>
        <w:t>sing</w:t>
      </w:r>
      <w:r w:rsidR="00307C0A" w:rsidRPr="000217C7">
        <w:rPr>
          <w:color w:val="000000" w:themeColor="text1"/>
        </w:rPr>
        <w:t xml:space="preserve"> subliminal stimuli, Brooks et al. </w:t>
      </w:r>
      <w:r w:rsidR="00307C0A" w:rsidRPr="000217C7">
        <w:rPr>
          <w:color w:val="000000" w:themeColor="text1"/>
        </w:rPr>
        <w:fldChar w:fldCharType="begin"/>
      </w:r>
      <w:r w:rsidR="00307C0A" w:rsidRPr="000217C7">
        <w:rPr>
          <w:color w:val="000000" w:themeColor="text1"/>
        </w:rPr>
        <w:instrText xml:space="preserve"> ADDIN ZOTERO_ITEM CSL_CITATION {"citationID":"a21v2rai5hc","properties":{"formattedCitation":"\\uldash{(2012)}","plainCitation":"(2012)","noteIndex":0},"citationItems":[{"id":2876,"uris":["http://zotero.org/users/local/ukz7dhIj/items/3GL4QFU3"],"uri":["http://zotero.org/users/local/ukz7dhIj/items/3GL4QFU3"],"itemData":{"id":2876,"type":"article-journal","abstract":"Functional Magnetic Resonance Imaging (fMRI) demonstrates that the subliminal presentation of arousing stimuli can activate subcortical brain regions independently of consciousness-generating top-down cortical modulation loops. Delineating these processes may elucidate mechanisms for arousal, aberration in which may underlie some psychiatric conditions. Here we are the first to review and discuss four Activation Likelihood Estimation (ALE) meta-analyses of fMRI studies using subliminal paradigms. We find a maximum of 9 out of 12 studies using subliminal presentation of faces contributing to activation of the amygdala, and also a significantly high number of studies reporting activation in the bilateral anterior cingulate, bilateral insular cortex, hippocampus and primary visual cortex. Subliminal faces are the strongest modality, whereas lexical stimuli are the weakest. Meta-analyses independent of studies using Regions of Interest (ROI) revealed no biasing effect. Core neuronal arousal in the brain, which may be at first independent of conscious processing, potentially involves a network incorporating primary visual areas, somatosensory, implicit memory and conflict monitoring regions. These data could provide candidate brain regions for the study of psychiatric disorders associated with aberrant automatic emotional processing.","container-title":"NeuroImage","DOI":"10.1016/j.neuroimage.2011.09.077","ISSN":"1095-9572","issue":"3","journalAbbreviation":"Neuroimage","language":"eng","note":"PMID: 22001789","page":"2962-2973","source":"PubMed","title":"Exposure to subliminal arousing stimuli induces robust activation in the amygdala, hippocampus, anterior cingulate, insular cortex and primary visual cortex: a systematic meta-analysis of fMRI studies","title-short":"Exposure to subliminal arousing stimuli induces robust activation in the amygdala, hippocampus, anterior cingulate, insular cortex and primary visual cortex","volume":"59","author":[{"family":"Brooks","given":"S. J."},{"family":"Savov","given":"V."},{"family":"Allzén","given":"E."},{"family":"Benedict","given":"C."},{"family":"Fredriksson","given":"R."},{"family":"Schiöth","given":"H. B."}],"issued":{"date-parts":[["2012",2,1]]}},"suppress-author":true}],"schema":"https://github.com/citation-style-language/schema/raw/master/csl-citation.json"} </w:instrText>
      </w:r>
      <w:r w:rsidR="00307C0A" w:rsidRPr="000217C7">
        <w:rPr>
          <w:color w:val="000000" w:themeColor="text1"/>
        </w:rPr>
        <w:fldChar w:fldCharType="separate"/>
      </w:r>
      <w:r w:rsidR="00307C0A" w:rsidRPr="000217C7">
        <w:rPr>
          <w:rFonts w:cs="Times New Roman"/>
          <w:color w:val="000000" w:themeColor="text1"/>
          <w:u w:val="dash"/>
          <w:lang w:val="en-GB"/>
        </w:rPr>
        <w:t>(2012)</w:t>
      </w:r>
      <w:r w:rsidR="00307C0A" w:rsidRPr="000217C7">
        <w:rPr>
          <w:color w:val="000000" w:themeColor="text1"/>
        </w:rPr>
        <w:fldChar w:fldCharType="end"/>
      </w:r>
      <w:r w:rsidR="00307C0A" w:rsidRPr="000217C7">
        <w:rPr>
          <w:color w:val="000000" w:themeColor="text1"/>
        </w:rPr>
        <w:t xml:space="preserve"> also found that suppressed aro</w:t>
      </w:r>
      <w:r w:rsidR="00DC46A4" w:rsidRPr="000217C7">
        <w:rPr>
          <w:color w:val="000000" w:themeColor="text1"/>
        </w:rPr>
        <w:t>u</w:t>
      </w:r>
      <w:r w:rsidR="00307C0A" w:rsidRPr="000217C7">
        <w:rPr>
          <w:color w:val="000000" w:themeColor="text1"/>
        </w:rPr>
        <w:t xml:space="preserve">sing stimuli activated the primary visual cortex. </w:t>
      </w:r>
      <w:r w:rsidR="003E2303" w:rsidRPr="000217C7">
        <w:rPr>
          <w:color w:val="000000" w:themeColor="text1"/>
        </w:rPr>
        <w:t>F</w:t>
      </w:r>
      <w:r w:rsidR="00F96177" w:rsidRPr="000217C7">
        <w:rPr>
          <w:color w:val="000000" w:themeColor="text1"/>
        </w:rPr>
        <w:t>inally</w:t>
      </w:r>
      <w:r w:rsidR="003E2303" w:rsidRPr="000217C7">
        <w:rPr>
          <w:color w:val="000000" w:themeColor="text1"/>
        </w:rPr>
        <w:t xml:space="preserve">, shorter suppression times correlated with higher </w:t>
      </w:r>
      <w:r w:rsidR="00AF32E3" w:rsidRPr="000217C7">
        <w:rPr>
          <w:color w:val="000000" w:themeColor="text1"/>
        </w:rPr>
        <w:t xml:space="preserve">GM density in the left dorsolateral </w:t>
      </w:r>
      <w:r w:rsidR="00651004" w:rsidRPr="000217C7">
        <w:rPr>
          <w:color w:val="000000" w:themeColor="text1"/>
        </w:rPr>
        <w:t>PFC</w:t>
      </w:r>
      <w:r w:rsidR="00AF32E3" w:rsidRPr="000217C7">
        <w:rPr>
          <w:color w:val="000000" w:themeColor="text1"/>
        </w:rPr>
        <w:t xml:space="preserve">, an area deputed to </w:t>
      </w:r>
      <w:r w:rsidR="00651004" w:rsidRPr="000217C7">
        <w:rPr>
          <w:color w:val="000000" w:themeColor="text1"/>
        </w:rPr>
        <w:t xml:space="preserve">top-down control, </w:t>
      </w:r>
      <w:r w:rsidR="008F6CFD" w:rsidRPr="000217C7">
        <w:rPr>
          <w:color w:val="000000" w:themeColor="text1"/>
        </w:rPr>
        <w:t>whose</w:t>
      </w:r>
      <w:r w:rsidR="00B44A66" w:rsidRPr="000217C7">
        <w:rPr>
          <w:color w:val="000000" w:themeColor="text1"/>
        </w:rPr>
        <w:t xml:space="preserve"> activity is correlated with visual awareness</w:t>
      </w:r>
      <w:r w:rsidR="008F6CFD" w:rsidRPr="000217C7">
        <w:rPr>
          <w:color w:val="000000" w:themeColor="text1"/>
        </w:rPr>
        <w:t xml:space="preserve"> </w:t>
      </w:r>
      <w:r w:rsidR="008F6CFD" w:rsidRPr="000217C7">
        <w:rPr>
          <w:color w:val="000000" w:themeColor="text1"/>
        </w:rPr>
        <w:fldChar w:fldCharType="begin"/>
      </w:r>
      <w:r w:rsidR="006C3543" w:rsidRPr="000217C7">
        <w:rPr>
          <w:color w:val="000000" w:themeColor="text1"/>
        </w:rPr>
        <w:instrText xml:space="preserve"> ADDIN ZOTERO_ITEM CSL_CITATION {"citationID":"a18edrt7h9d","properties":{"formattedCitation":"(Dehaene et al., 2006)","plainCitation":"(Dehaene et al., 2006)","noteIndex":0},"citationItems":[{"id":898,"uris":["http://zotero.org/users/local/ukz7dhIj/items/ZBQH3NAM"],"uri":["http://zotero.org/users/local/ukz7dhIj/items/ZBQH3NAM"],"itemData":{"id":898,"type":"article-journal","abstract":"Of the many brain events evoked by a visual stimulus, which are specifically associated with conscious perception, and which merely reflect non-conscious processing? Several recent neuroimaging studies have contrasted conscious and non-conscious visual processing, but their results appear inconsistent. Some support a correlation of conscious perception with early occipital events, others with late parieto-frontal activity. Here we attempt to make sense of these dissenting results. On the basis of the global neuronal workspace hypothesis, we propose a taxonomy that distinguishes between vigilance and access to conscious report, as well as between subliminal, preconscious and conscious processing. We suggest that these distinctions map onto different neural mechanisms, and that conscious perception is systematically associated with surges of parieto-frontal activity causing top-down amplification.","container-title":"Trends in Cognitive Sciences","DOI":"10.1016/j.tics.2006.03.007","ISSN":"1364-6613","issue":"5","journalAbbreviation":"Trends Cogn. Sci. (Regul. Ed.)","language":"eng","note":"PMID: 16603406","page":"204-211","source":"PubMed","title":"Conscious, preconscious, and subliminal processing: a testable taxonomy","title-short":"Conscious, preconscious, and subliminal processing","volume":"10","author":[{"family":"Dehaene","given":"Stanislas"},{"family":"Changeux","given":"Jean-Pierre"},{"family":"Naccache","given":"Lionel"},{"family":"Sackur","given":"Jérôme"},{"family":"Sergent","given":"Claire"}],"issued":{"date-parts":[["2006",5]]}}}],"schema":"https://github.com/citation-style-language/schema/raw/master/csl-citation.json"} </w:instrText>
      </w:r>
      <w:r w:rsidR="008F6CFD" w:rsidRPr="000217C7">
        <w:rPr>
          <w:color w:val="000000" w:themeColor="text1"/>
        </w:rPr>
        <w:fldChar w:fldCharType="separate"/>
      </w:r>
      <w:r w:rsidR="006C3543" w:rsidRPr="000217C7">
        <w:rPr>
          <w:rFonts w:cs="Times New Roman"/>
          <w:color w:val="000000" w:themeColor="text1"/>
          <w:lang w:val="en-GB"/>
        </w:rPr>
        <w:t>(Dehaene et al., 2006)</w:t>
      </w:r>
      <w:r w:rsidR="008F6CFD" w:rsidRPr="000217C7">
        <w:rPr>
          <w:color w:val="000000" w:themeColor="text1"/>
        </w:rPr>
        <w:fldChar w:fldCharType="end"/>
      </w:r>
      <w:r w:rsidR="00363433" w:rsidRPr="000217C7">
        <w:rPr>
          <w:color w:val="000000" w:themeColor="text1"/>
        </w:rPr>
        <w:t>.</w:t>
      </w:r>
      <w:r w:rsidR="00E62D8A" w:rsidRPr="000217C7">
        <w:rPr>
          <w:color w:val="000000" w:themeColor="text1"/>
        </w:rPr>
        <w:t xml:space="preserve"> </w:t>
      </w:r>
      <w:proofErr w:type="gramStart"/>
      <w:r w:rsidR="002306CC" w:rsidRPr="000217C7">
        <w:rPr>
          <w:color w:val="000000" w:themeColor="text1"/>
        </w:rPr>
        <w:t>T</w:t>
      </w:r>
      <w:r w:rsidR="000E3E26" w:rsidRPr="000217C7">
        <w:rPr>
          <w:color w:val="000000" w:themeColor="text1"/>
        </w:rPr>
        <w:t>herefore</w:t>
      </w:r>
      <w:proofErr w:type="gramEnd"/>
      <w:r w:rsidR="008F6CFD" w:rsidRPr="000217C7">
        <w:rPr>
          <w:color w:val="000000" w:themeColor="text1"/>
        </w:rPr>
        <w:t xml:space="preserve"> </w:t>
      </w:r>
      <w:r w:rsidR="005C4535" w:rsidRPr="000217C7">
        <w:rPr>
          <w:color w:val="000000" w:themeColor="text1"/>
        </w:rPr>
        <w:t>greater attention, inhibition ability</w:t>
      </w:r>
      <w:r w:rsidR="00661B8D" w:rsidRPr="000217C7">
        <w:rPr>
          <w:color w:val="000000" w:themeColor="text1"/>
        </w:rPr>
        <w:t>,</w:t>
      </w:r>
      <w:r w:rsidR="005C4535" w:rsidRPr="000217C7">
        <w:rPr>
          <w:color w:val="000000" w:themeColor="text1"/>
        </w:rPr>
        <w:t xml:space="preserve"> and modulation of the reward circuit </w:t>
      </w:r>
      <w:r w:rsidR="00602AED" w:rsidRPr="000217C7">
        <w:rPr>
          <w:color w:val="000000" w:themeColor="text1"/>
        </w:rPr>
        <w:t>are necessary for faster processing of visual stimuli</w:t>
      </w:r>
      <w:r w:rsidR="005C4535" w:rsidRPr="000217C7">
        <w:rPr>
          <w:color w:val="000000" w:themeColor="text1"/>
        </w:rPr>
        <w:t xml:space="preserve"> in the bCFS </w:t>
      </w:r>
      <w:r w:rsidR="00020F2C" w:rsidRPr="000217C7">
        <w:rPr>
          <w:color w:val="000000" w:themeColor="text1"/>
        </w:rPr>
        <w:t>task</w:t>
      </w:r>
      <w:r w:rsidR="005C4535" w:rsidRPr="000217C7">
        <w:rPr>
          <w:color w:val="000000" w:themeColor="text1"/>
        </w:rPr>
        <w:t xml:space="preserve">. </w:t>
      </w:r>
    </w:p>
    <w:p w14:paraId="53C6C9EC" w14:textId="7CDA05E5" w:rsidR="00E102F4" w:rsidRPr="000217C7" w:rsidRDefault="00222C6D" w:rsidP="00586D54">
      <w:pPr>
        <w:rPr>
          <w:color w:val="000000" w:themeColor="text1"/>
        </w:rPr>
      </w:pPr>
      <w:r w:rsidRPr="000217C7">
        <w:rPr>
          <w:color w:val="000000" w:themeColor="text1"/>
        </w:rPr>
        <w:lastRenderedPageBreak/>
        <w:t>Furthermore</w:t>
      </w:r>
      <w:r w:rsidR="0041294E" w:rsidRPr="000217C7">
        <w:rPr>
          <w:color w:val="000000" w:themeColor="text1"/>
        </w:rPr>
        <w:t xml:space="preserve">, </w:t>
      </w:r>
      <w:r w:rsidR="001E4FD1" w:rsidRPr="000217C7">
        <w:rPr>
          <w:color w:val="000000" w:themeColor="text1"/>
        </w:rPr>
        <w:t>s</w:t>
      </w:r>
      <w:r w:rsidR="00E56BBF" w:rsidRPr="000217C7">
        <w:rPr>
          <w:color w:val="000000" w:themeColor="text1"/>
        </w:rPr>
        <w:t xml:space="preserve">tronger suppression in the bCFS </w:t>
      </w:r>
      <w:r w:rsidR="00020F2C" w:rsidRPr="000217C7">
        <w:rPr>
          <w:color w:val="000000" w:themeColor="text1"/>
        </w:rPr>
        <w:t>task</w:t>
      </w:r>
      <w:r w:rsidR="00661B8D" w:rsidRPr="000217C7">
        <w:rPr>
          <w:color w:val="000000" w:themeColor="text1"/>
        </w:rPr>
        <w:t xml:space="preserve"> </w:t>
      </w:r>
      <w:r w:rsidR="00E56BBF" w:rsidRPr="000217C7">
        <w:rPr>
          <w:color w:val="000000" w:themeColor="text1"/>
        </w:rPr>
        <w:t>correlates with higher functional connectivity between visual areas (right calcarine cortex) and</w:t>
      </w:r>
      <w:r w:rsidR="00A258D0" w:rsidRPr="000217C7">
        <w:rPr>
          <w:color w:val="000000" w:themeColor="text1"/>
        </w:rPr>
        <w:t xml:space="preserve"> two areas located respectively in the right </w:t>
      </w:r>
      <w:r w:rsidR="00E56BBF" w:rsidRPr="000217C7">
        <w:rPr>
          <w:color w:val="000000" w:themeColor="text1"/>
        </w:rPr>
        <w:t>supramarginal gyr</w:t>
      </w:r>
      <w:r w:rsidR="00A258D0" w:rsidRPr="000217C7">
        <w:rPr>
          <w:color w:val="000000" w:themeColor="text1"/>
        </w:rPr>
        <w:t>us</w:t>
      </w:r>
      <w:r w:rsidR="00233B6A" w:rsidRPr="000217C7">
        <w:rPr>
          <w:color w:val="000000" w:themeColor="text1"/>
        </w:rPr>
        <w:t xml:space="preserve"> </w:t>
      </w:r>
      <w:r w:rsidR="00D36B22" w:rsidRPr="000217C7">
        <w:rPr>
          <w:color w:val="000000" w:themeColor="text1"/>
        </w:rPr>
        <w:t>and</w:t>
      </w:r>
      <w:r w:rsidR="00A258D0" w:rsidRPr="000217C7">
        <w:rPr>
          <w:color w:val="000000" w:themeColor="text1"/>
        </w:rPr>
        <w:t xml:space="preserve"> the</w:t>
      </w:r>
      <w:r w:rsidR="00233B6A" w:rsidRPr="000217C7">
        <w:rPr>
          <w:color w:val="000000" w:themeColor="text1"/>
        </w:rPr>
        <w:t xml:space="preserve"> </w:t>
      </w:r>
      <w:r w:rsidR="0037047F" w:rsidRPr="000217C7">
        <w:rPr>
          <w:color w:val="000000" w:themeColor="text1"/>
        </w:rPr>
        <w:t xml:space="preserve">left </w:t>
      </w:r>
      <w:r w:rsidR="00A258D0" w:rsidRPr="000217C7">
        <w:rPr>
          <w:color w:val="000000" w:themeColor="text1"/>
        </w:rPr>
        <w:t xml:space="preserve">supramarginal and </w:t>
      </w:r>
      <w:r w:rsidR="0037047F" w:rsidRPr="000217C7">
        <w:rPr>
          <w:color w:val="000000" w:themeColor="text1"/>
        </w:rPr>
        <w:t>postcentral gyr</w:t>
      </w:r>
      <w:r w:rsidR="00A258D0" w:rsidRPr="000217C7">
        <w:rPr>
          <w:color w:val="000000" w:themeColor="text1"/>
        </w:rPr>
        <w:t>i</w:t>
      </w:r>
      <w:r w:rsidR="00536CF3" w:rsidRPr="000217C7">
        <w:rPr>
          <w:color w:val="000000" w:themeColor="text1"/>
        </w:rPr>
        <w:t>.</w:t>
      </w:r>
      <w:r w:rsidR="000E0531" w:rsidRPr="000217C7">
        <w:rPr>
          <w:color w:val="000000" w:themeColor="text1"/>
        </w:rPr>
        <w:t xml:space="preserve"> </w:t>
      </w:r>
      <w:r w:rsidR="00EC132E" w:rsidRPr="000217C7">
        <w:rPr>
          <w:color w:val="000000" w:themeColor="text1"/>
        </w:rPr>
        <w:t>It is possible to hypothesize that when visual capture of the visual distractors is coupled with the effort of sensorimotor integration, this can impair the top-down modulation that enables the breaking of the suppressed stimulus into consciousness.</w:t>
      </w:r>
    </w:p>
    <w:p w14:paraId="4AE37BA5" w14:textId="53BB186D" w:rsidR="00E102F4" w:rsidRPr="000217C7" w:rsidRDefault="00352F98" w:rsidP="0047026B">
      <w:pPr>
        <w:pStyle w:val="Heading3"/>
      </w:pPr>
      <w:r w:rsidRPr="000217C7">
        <w:t xml:space="preserve">Neural correlates of </w:t>
      </w:r>
      <w:r w:rsidR="00037F81" w:rsidRPr="000217C7">
        <w:t xml:space="preserve">reduced </w:t>
      </w:r>
      <w:r w:rsidRPr="000217C7">
        <w:t>inhibition at the Go/No-Go task</w:t>
      </w:r>
    </w:p>
    <w:p w14:paraId="140B4854" w14:textId="7B27D0B5" w:rsidR="003D133F" w:rsidRPr="000217C7" w:rsidRDefault="00D866B6" w:rsidP="003D133F">
      <w:pPr>
        <w:rPr>
          <w:color w:val="000000" w:themeColor="text1"/>
        </w:rPr>
      </w:pPr>
      <w:r w:rsidRPr="000217C7">
        <w:rPr>
          <w:color w:val="000000" w:themeColor="text1"/>
        </w:rPr>
        <w:t xml:space="preserve">Finally, our study also provides </w:t>
      </w:r>
      <w:r w:rsidR="003070D9" w:rsidRPr="000217C7">
        <w:rPr>
          <w:color w:val="000000" w:themeColor="text1"/>
        </w:rPr>
        <w:t xml:space="preserve">interesting results on the neural correlates of </w:t>
      </w:r>
      <w:r w:rsidR="00B166E9" w:rsidRPr="000217C7">
        <w:rPr>
          <w:color w:val="000000" w:themeColor="text1"/>
        </w:rPr>
        <w:t>good performance</w:t>
      </w:r>
      <w:r w:rsidR="003070D9" w:rsidRPr="000217C7">
        <w:rPr>
          <w:color w:val="000000" w:themeColor="text1"/>
        </w:rPr>
        <w:t xml:space="preserve"> in the Go/No-Go task</w:t>
      </w:r>
      <w:r w:rsidR="000E3E26" w:rsidRPr="000217C7">
        <w:rPr>
          <w:color w:val="000000" w:themeColor="text1"/>
        </w:rPr>
        <w:t xml:space="preserve"> independently of BMI</w:t>
      </w:r>
      <w:r w:rsidR="003070D9" w:rsidRPr="000217C7">
        <w:rPr>
          <w:color w:val="000000" w:themeColor="text1"/>
        </w:rPr>
        <w:t xml:space="preserve">. </w:t>
      </w:r>
      <w:r w:rsidR="00B166E9" w:rsidRPr="000217C7">
        <w:rPr>
          <w:color w:val="000000" w:themeColor="text1"/>
        </w:rPr>
        <w:t>First, f</w:t>
      </w:r>
      <w:r w:rsidR="00816DB6" w:rsidRPr="000217C7">
        <w:rPr>
          <w:color w:val="000000" w:themeColor="text1"/>
        </w:rPr>
        <w:t xml:space="preserve">aster RTs </w:t>
      </w:r>
      <w:r w:rsidR="0037047F" w:rsidRPr="000217C7">
        <w:rPr>
          <w:color w:val="000000" w:themeColor="text1"/>
        </w:rPr>
        <w:t>in the</w:t>
      </w:r>
      <w:r w:rsidR="00363433" w:rsidRPr="000217C7">
        <w:rPr>
          <w:color w:val="000000" w:themeColor="text1"/>
        </w:rPr>
        <w:t xml:space="preserve"> Go/No-Go task</w:t>
      </w:r>
      <w:r w:rsidR="0037047F" w:rsidRPr="000217C7">
        <w:rPr>
          <w:color w:val="000000" w:themeColor="text1"/>
        </w:rPr>
        <w:t xml:space="preserve"> </w:t>
      </w:r>
      <w:r w:rsidRPr="000217C7">
        <w:rPr>
          <w:color w:val="000000" w:themeColor="text1"/>
        </w:rPr>
        <w:t>re</w:t>
      </w:r>
      <w:r w:rsidR="00586D54" w:rsidRPr="000217C7">
        <w:rPr>
          <w:color w:val="000000" w:themeColor="text1"/>
        </w:rPr>
        <w:t>s</w:t>
      </w:r>
      <w:r w:rsidRPr="000217C7">
        <w:rPr>
          <w:color w:val="000000" w:themeColor="text1"/>
        </w:rPr>
        <w:t xml:space="preserve">ulted </w:t>
      </w:r>
      <w:r w:rsidR="0037047F" w:rsidRPr="000217C7">
        <w:rPr>
          <w:color w:val="000000" w:themeColor="text1"/>
        </w:rPr>
        <w:t xml:space="preserve">associated </w:t>
      </w:r>
      <w:r w:rsidR="00661B8D" w:rsidRPr="000217C7">
        <w:rPr>
          <w:color w:val="000000" w:themeColor="text1"/>
        </w:rPr>
        <w:t xml:space="preserve">with </w:t>
      </w:r>
      <w:r w:rsidR="0037047F" w:rsidRPr="000217C7">
        <w:rPr>
          <w:color w:val="000000" w:themeColor="text1"/>
        </w:rPr>
        <w:t xml:space="preserve">greater </w:t>
      </w:r>
      <w:r w:rsidR="003D133F" w:rsidRPr="000217C7">
        <w:rPr>
          <w:color w:val="000000" w:themeColor="text1"/>
        </w:rPr>
        <w:t>GM density</w:t>
      </w:r>
      <w:r w:rsidR="0037047F" w:rsidRPr="000217C7">
        <w:rPr>
          <w:color w:val="000000" w:themeColor="text1"/>
        </w:rPr>
        <w:t xml:space="preserve"> in </w:t>
      </w:r>
      <w:r w:rsidR="008A445C" w:rsidRPr="000217C7">
        <w:rPr>
          <w:color w:val="000000" w:themeColor="text1"/>
        </w:rPr>
        <w:t>the left frontal pole</w:t>
      </w:r>
      <w:r w:rsidRPr="000217C7">
        <w:rPr>
          <w:color w:val="000000" w:themeColor="text1"/>
        </w:rPr>
        <w:t>, an</w:t>
      </w:r>
      <w:r w:rsidR="0099312F" w:rsidRPr="000217C7">
        <w:rPr>
          <w:color w:val="000000" w:themeColor="text1"/>
        </w:rPr>
        <w:t xml:space="preserve"> </w:t>
      </w:r>
      <w:r w:rsidR="00C50877" w:rsidRPr="000217C7">
        <w:rPr>
          <w:color w:val="000000" w:themeColor="text1"/>
        </w:rPr>
        <w:t>area</w:t>
      </w:r>
      <w:r w:rsidR="00992394" w:rsidRPr="000217C7">
        <w:rPr>
          <w:color w:val="000000" w:themeColor="text1"/>
        </w:rPr>
        <w:t xml:space="preserve"> </w:t>
      </w:r>
      <w:r w:rsidR="00C50877" w:rsidRPr="000217C7">
        <w:rPr>
          <w:color w:val="000000" w:themeColor="text1"/>
        </w:rPr>
        <w:t>deputed to high-</w:t>
      </w:r>
      <w:r w:rsidR="005B1B6A" w:rsidRPr="000217C7">
        <w:rPr>
          <w:color w:val="000000" w:themeColor="text1"/>
        </w:rPr>
        <w:t>level monitoring</w:t>
      </w:r>
      <w:r w:rsidRPr="000217C7">
        <w:rPr>
          <w:color w:val="000000" w:themeColor="text1"/>
        </w:rPr>
        <w:t xml:space="preserve">, </w:t>
      </w:r>
      <w:r w:rsidR="005B1B6A" w:rsidRPr="000217C7">
        <w:rPr>
          <w:color w:val="000000" w:themeColor="text1"/>
        </w:rPr>
        <w:t>task switching</w:t>
      </w:r>
      <w:r w:rsidR="00586D54" w:rsidRPr="000217C7">
        <w:rPr>
          <w:color w:val="000000" w:themeColor="text1"/>
        </w:rPr>
        <w:t>,</w:t>
      </w:r>
      <w:r w:rsidR="005B1B6A" w:rsidRPr="000217C7">
        <w:rPr>
          <w:color w:val="000000" w:themeColor="text1"/>
        </w:rPr>
        <w:t xml:space="preserve"> </w:t>
      </w:r>
      <w:r w:rsidRPr="000217C7">
        <w:rPr>
          <w:color w:val="000000" w:themeColor="text1"/>
        </w:rPr>
        <w:t>and goal-directed behavior</w:t>
      </w:r>
      <w:r w:rsidR="005B1B6A" w:rsidRPr="000217C7">
        <w:rPr>
          <w:color w:val="000000" w:themeColor="text1"/>
        </w:rPr>
        <w:t xml:space="preserve"> </w:t>
      </w:r>
      <w:r w:rsidR="00BC2CCF" w:rsidRPr="000217C7">
        <w:rPr>
          <w:color w:val="000000" w:themeColor="text1"/>
        </w:rPr>
        <w:fldChar w:fldCharType="begin"/>
      </w:r>
      <w:r w:rsidR="003F3C87" w:rsidRPr="000217C7">
        <w:rPr>
          <w:color w:val="000000" w:themeColor="text1"/>
        </w:rPr>
        <w:instrText xml:space="preserve"> ADDIN ZOTERO_ITEM CSL_CITATION {"citationID":"130o4sg18t","properties":{"formattedCitation":"(Burgess et al., 2007)","plainCitation":"(Burgess et al., 2007)","noteIndex":0},"citationItems":[{"id":1292,"uris":["http://zotero.org/users/local/ukz7dhIj/items/WS8DJJU3"],"uri":["http://zotero.org/users/local/ukz7dhIj/items/WS8DJJU3"],"itemData":{"id":1292,"type":"article-journal","abstract":"Rostral prefrontal cortex (PFC) is a large brain region, and is unusually large in humans. Therefore, it seems likely that it might support functions that are central to cognition. However, until recently, almost nothing was known about what these functions might be. The 'gateway hypothesis' places these abilities at the centre of human mental processing. It maintains that rostral PFC supports mechanisms that enable us to attend, to a novel degree, either to environmental stimuli, or by contrast, to self-generated or maintained representations (i.e. the 'thoughts in our head'). In this way, investigations into the functions of rostral PFC will reveal key new insights into how human and non-human mental abilities differ.","container-title":"Trends in Cognitive Sciences","DOI":"10.1016/j.tics.2007.05.004","ISSN":"1364-6613","issue":"7","journalAbbreviation":"Trends Cogn. Sci. (Regul. Ed.)","language":"eng","note":"PMID: 17548231","page":"290-298","source":"PubMed","title":"The gateway hypothesis of rostral prefrontal cortex (area 10) function","volume":"11","author":[{"family":"Burgess","given":"Paul W."},{"family":"Dumontheil","given":"Iroise"},{"family":"Gilbert","given":"Sam J."}],"issued":{"date-parts":[["2007",7]]}}}],"schema":"https://github.com/citation-style-language/schema/raw/master/csl-citation.json"} </w:instrText>
      </w:r>
      <w:r w:rsidR="00BC2CCF" w:rsidRPr="000217C7">
        <w:rPr>
          <w:color w:val="000000" w:themeColor="text1"/>
        </w:rPr>
        <w:fldChar w:fldCharType="separate"/>
      </w:r>
      <w:r w:rsidR="00B158FA" w:rsidRPr="000217C7">
        <w:rPr>
          <w:noProof/>
          <w:color w:val="000000" w:themeColor="text1"/>
        </w:rPr>
        <w:t>(Burgess et al., 2007)</w:t>
      </w:r>
      <w:r w:rsidR="00BC2CCF" w:rsidRPr="000217C7">
        <w:rPr>
          <w:color w:val="000000" w:themeColor="text1"/>
        </w:rPr>
        <w:fldChar w:fldCharType="end"/>
      </w:r>
      <w:r w:rsidR="00A164A3" w:rsidRPr="000217C7">
        <w:rPr>
          <w:color w:val="000000" w:themeColor="text1"/>
        </w:rPr>
        <w:t>.</w:t>
      </w:r>
      <w:r w:rsidR="00565056" w:rsidRPr="000217C7">
        <w:rPr>
          <w:color w:val="000000" w:themeColor="text1"/>
        </w:rPr>
        <w:t xml:space="preserve"> A negative association between frontal GM density and performance in the Go/No-Go task was also reported by Li et al. in </w:t>
      </w:r>
      <w:r w:rsidR="00C50877" w:rsidRPr="000217C7">
        <w:rPr>
          <w:color w:val="000000" w:themeColor="text1"/>
        </w:rPr>
        <w:t>alcohol-dependent</w:t>
      </w:r>
      <w:r w:rsidR="00565056" w:rsidRPr="000217C7">
        <w:rPr>
          <w:color w:val="000000" w:themeColor="text1"/>
        </w:rPr>
        <w:t xml:space="preserve"> patients </w:t>
      </w:r>
      <w:r w:rsidR="00BC2CCF" w:rsidRPr="000217C7">
        <w:rPr>
          <w:color w:val="000000" w:themeColor="text1"/>
        </w:rPr>
        <w:fldChar w:fldCharType="begin"/>
      </w:r>
      <w:r w:rsidR="003F3C87" w:rsidRPr="000217C7">
        <w:rPr>
          <w:color w:val="000000" w:themeColor="text1"/>
        </w:rPr>
        <w:instrText xml:space="preserve"> ADDIN ZOTERO_ITEM CSL_CITATION {"citationID":"26a4kc8nb8","properties":{"formattedCitation":"(Li et al., 2010)","plainCitation":"(Li et al., 2010)","noteIndex":0},"citationItems":[{"id":1338,"uris":["http://zotero.org/users/local/ukz7dhIj/items/H83788ZJ"],"uri":["http://zotero.org/users/local/ukz7dhIj/items/H83788ZJ"],"itemData":{"id":1338,"type":"article-journal","abstract":"Remission is the optimal outcome for major depressive disorder (MDD), but many patients do not improve appreciably despite treatment with medication. Treatment-resistant patients may experience deterioration in cognitive functions. Research has reported structural abnormalities in certain brain areas that may contribute to a poor clinical response. We hypothesize that there will be structural differences between patients able to achieve remission and those responding poorly to antidepressants. In the first voxel-based morphometric (VBM) study comparing remitting with non-remitting MDD, we investigated gray matter volume (GMV) differences between depressives to determine which structural abnormalities existed, and correlated these with diminished cognitive functioning. Of 44 adults with recurrent MDD, 19 had full remissions and 25 were non-remitters after a 6-week trial with antidepressant treatment. Remission was defined by 17-item Hamilton Depression Rating Scale scores of ≤7 for at least 2 weeks. VBM and neuropsychological studies were conducted on all patients and 25 healthy controls. The patients who remitted revealed milder visual attention deficits than did controls. This correlated with reduced GMV in the left postcentral gyrus (Brodmann area, or BA, 3) and the bilateral medial/superior frontal gyrus (BA 6). The non-remitting patients had reduced GMV in the left dorsolateral prefrontal cortex (DLPFC, BA 9), and impaired acoustic and visual attention associated with GMV differences in several cortical regions, thalamus and amygdala/parahippocampal gyrus. These findings indicated that patients whose MDD remitted were cognitively and morphologically different from non-remitters. Voxel-based structural deficits in the left DLPFC may characterize a subgroup of people with recurrent MDD who respond poorly to antidepressants.","container-title":"NeuroImage","DOI":"10.1016/j.neuroimage.2009.11.021","ISSN":"1053-8119","issue":"1","journalAbbreviation":"NeuroImage","page":"347-356","source":"ScienceDirect","title":"Structural and cognitive deficits in remitting and non-remitting recurrent depression: A voxel-based morphometric study","title-short":"Structural and cognitive deficits in remitting and non-remitting recurrent depression","volume":"50","author":[{"family":"Li","given":"Cheng-Ta"},{"family":"Lin","given":"Ching-Po"},{"family":"Chou","given":"Kun-Hsien"},{"family":"Chen","given":"I. -Yun"},{"family":"Hsieh","given":"Jen-Chuen"},{"family":"Wu","given":"Chia-Liang"},{"family":"Lin","given":"Wei-Chen"},{"family":"Su","given":"Tung-Ping"}],"issued":{"date-parts":[["2010",3,1]]}}}],"schema":"https://github.com/citation-style-language/schema/raw/master/csl-citation.json"} </w:instrText>
      </w:r>
      <w:r w:rsidR="00BC2CCF" w:rsidRPr="000217C7">
        <w:rPr>
          <w:color w:val="000000" w:themeColor="text1"/>
        </w:rPr>
        <w:fldChar w:fldCharType="separate"/>
      </w:r>
      <w:r w:rsidR="00DD411E" w:rsidRPr="000217C7">
        <w:rPr>
          <w:noProof/>
          <w:color w:val="000000" w:themeColor="text1"/>
        </w:rPr>
        <w:t>(Li et al., 2010)</w:t>
      </w:r>
      <w:r w:rsidR="00BC2CCF" w:rsidRPr="000217C7">
        <w:rPr>
          <w:color w:val="000000" w:themeColor="text1"/>
        </w:rPr>
        <w:fldChar w:fldCharType="end"/>
      </w:r>
      <w:r w:rsidR="0037047F" w:rsidRPr="000217C7">
        <w:rPr>
          <w:color w:val="000000" w:themeColor="text1"/>
        </w:rPr>
        <w:t>.</w:t>
      </w:r>
      <w:r w:rsidR="003070D9" w:rsidRPr="000217C7">
        <w:rPr>
          <w:color w:val="000000" w:themeColor="text1"/>
        </w:rPr>
        <w:t xml:space="preserve"> </w:t>
      </w:r>
      <w:r w:rsidR="00B166E9" w:rsidRPr="000217C7">
        <w:rPr>
          <w:color w:val="000000" w:themeColor="text1"/>
        </w:rPr>
        <w:t>Second,</w:t>
      </w:r>
      <w:r w:rsidR="00935F72" w:rsidRPr="000217C7">
        <w:rPr>
          <w:color w:val="000000" w:themeColor="text1"/>
        </w:rPr>
        <w:t xml:space="preserve"> </w:t>
      </w:r>
      <w:r w:rsidR="003070D9" w:rsidRPr="000217C7">
        <w:rPr>
          <w:color w:val="000000" w:themeColor="text1"/>
        </w:rPr>
        <w:t>b</w:t>
      </w:r>
      <w:r w:rsidR="00935F72" w:rsidRPr="000217C7">
        <w:rPr>
          <w:color w:val="000000" w:themeColor="text1"/>
        </w:rPr>
        <w:t xml:space="preserve">etter inhibition, i.e. fewer false alarms, correlated with higher GM density in the right cerebellum. The cerebellum, besides being an important motor area, is implicated in multiple functions, including attention, </w:t>
      </w:r>
      <w:r w:rsidR="003070D9" w:rsidRPr="000217C7">
        <w:rPr>
          <w:color w:val="000000" w:themeColor="text1"/>
        </w:rPr>
        <w:t>executi</w:t>
      </w:r>
      <w:r w:rsidR="00935F72" w:rsidRPr="000217C7">
        <w:rPr>
          <w:color w:val="000000" w:themeColor="text1"/>
        </w:rPr>
        <w:t xml:space="preserve">ve control, and working memory </w:t>
      </w:r>
      <w:r w:rsidR="00BC2CCF" w:rsidRPr="000217C7">
        <w:rPr>
          <w:color w:val="000000" w:themeColor="text1"/>
        </w:rPr>
        <w:fldChar w:fldCharType="begin"/>
      </w:r>
      <w:r w:rsidR="00D06948" w:rsidRPr="000217C7">
        <w:rPr>
          <w:color w:val="000000" w:themeColor="text1"/>
        </w:rPr>
        <w:instrText xml:space="preserve"> ADDIN ZOTERO_ITEM CSL_CITATION {"citationID":"a1aigvugb1o","properties":{"formattedCitation":"(Strick et al., 2009)","plainCitation":"(Strick et al., 2009)","noteIndex":0},"citationItems":[{"id":2394,"uris":["http://zotero.org/users/local/ukz7dhIj/items/3YBMEREI"],"uri":["http://zotero.org/users/local/ukz7dhIj/items/3YBMEREI"],"itemData":{"id":2394,"type":"article-journal","abstract":"Does the cerebellum influence nonmotor behavior? Recent anatomical studies demonstrate that the output of the cerebellum targets multiple nonmotor areas in the prefrontal and posterior parietal cortex, as well as the cortical motor areas. The projections to different cortical areas originate from distinct output channels within the cerebellar nuclei. The cerebral cortical area that is the main target of each output channel is a major source of input to the channel. Thus, a closed-loop circuit represents the major architectural unit of cerebro-cerebellar interactions. The outputs of these loops provide the cerebellum with the anatomical substrate to influence the control of movement and cognition. Neuroimaging and neuropsychological data supply compelling support for this view. The range of tasks associated with cerebellar activation is remarkable and includes tasks designed to assess attention, executive control, language, working memory, learning, pain, emotion, and addiction. These data, along with the revelations about cerebro-cerebellar circuitry, provide a new framework for exploring the contribution of the cerebellum to diverse aspects of behavior.","container-title":"Annual Review of Neuroscience","DOI":"10.1146/annurev.neuro.31.060407.125606","issue":"1","note":"_eprint: https://doi.org/10.1146/annurev.neuro.31.060407.125606\nPMID: 19555291","page":"413-434","source":"Annual Reviews","title":"Cerebellum and Nonmotor Function","volume":"32","author":[{"family":"Strick","given":"Peter L."},{"family":"Dum","given":"Richard P."},{"family":"Fiez","given":"Julie A."}],"issued":{"date-parts":[["2009"]]}}}],"schema":"https://github.com/citation-style-language/schema/raw/master/csl-citation.json"} </w:instrText>
      </w:r>
      <w:r w:rsidR="00BC2CCF" w:rsidRPr="000217C7">
        <w:rPr>
          <w:color w:val="000000" w:themeColor="text1"/>
        </w:rPr>
        <w:fldChar w:fldCharType="separate"/>
      </w:r>
      <w:r w:rsidR="00D06948" w:rsidRPr="000217C7">
        <w:rPr>
          <w:rFonts w:cs="Times New Roman"/>
          <w:color w:val="000000" w:themeColor="text1"/>
          <w:lang w:val="en-GB"/>
        </w:rPr>
        <w:t>(Strick et al., 2009)</w:t>
      </w:r>
      <w:r w:rsidR="00BC2CCF" w:rsidRPr="000217C7">
        <w:rPr>
          <w:color w:val="000000" w:themeColor="text1"/>
        </w:rPr>
        <w:fldChar w:fldCharType="end"/>
      </w:r>
      <w:r w:rsidR="00935F72" w:rsidRPr="000217C7">
        <w:rPr>
          <w:color w:val="000000" w:themeColor="text1"/>
        </w:rPr>
        <w:t>.</w:t>
      </w:r>
      <w:r w:rsidR="00525A04" w:rsidRPr="000217C7">
        <w:rPr>
          <w:color w:val="000000" w:themeColor="text1"/>
        </w:rPr>
        <w:t xml:space="preserve"> </w:t>
      </w:r>
      <w:r w:rsidR="00992394" w:rsidRPr="000217C7">
        <w:rPr>
          <w:color w:val="000000" w:themeColor="text1"/>
        </w:rPr>
        <w:t xml:space="preserve">Interestingly, it has been found to have a role also in error and conflict processing and response inhibition </w:t>
      </w:r>
      <w:r w:rsidR="00BC2CCF" w:rsidRPr="000217C7">
        <w:rPr>
          <w:color w:val="000000" w:themeColor="text1"/>
        </w:rPr>
        <w:fldChar w:fldCharType="begin"/>
      </w:r>
      <w:r w:rsidR="009456C2" w:rsidRPr="000217C7">
        <w:rPr>
          <w:color w:val="000000" w:themeColor="text1"/>
        </w:rPr>
        <w:instrText xml:space="preserve"> ADDIN ZOTERO_ITEM CSL_CITATION {"citationID":"a1ql10k561e","properties":{"formattedCitation":"(Peterburs and Desmond, 2016)","plainCitation":"(Peterburs and Desmond, 2016)","noteIndex":0},"citationItems":[{"id":2543,"uris":["http://zotero.org/users/local/ukz7dhIj/items/BASVCHUW"],"uri":["http://zotero.org/users/local/ukz7dhIj/items/BASVCHUW"],"itemData":{"id":2543,"type":"article-journal","abstract":"While the cerebellum has traditionally been thought of as mainly involved in motor functions, evidence has been accumulating for cerebellar contributions also to non-motor, cognitive functions. The notion of a cerebellar internal model underlying prediction and processing of sensory events and coordination and fine-tuning of appropriate responses has put the cerebellum right at the interface of motor behavior and cognition. Along these lines, the cerebellum may critically contribute to performance monitoring, a set of cognitive and affective functions underlying adaptive behavior. This review presents and integrates evidence from recent neuroimaging and clinical studies for a cerebellar role in performance monitoring with focus on sensory prediction, error and conflict processing, response inhibition, and feedback learning. Together with evidence for involvement in articulatory monitoring during working memory, these findings suggest monitoring as the cerebellum's overarching function.","container-title":"Current Opinion in Neurobiology","DOI":"10.1016/j.conb.2016.06.011","ISSN":"1873-6882","journalAbbreviation":"Curr. Opin. Neurobiol.","language":"eng","note":"PMID: 27372055\nPMCID: PMC5056810","page":"38-44","source":"PubMed","title":"The role of the human cerebellum in performance monitoring","volume":"40","author":[{"family":"Peterburs","given":"Jutta"},{"family":"Desmond","given":"John E."}],"issued":{"date-parts":[["2016"]]}}}],"schema":"https://github.com/citation-style-language/schema/raw/master/csl-citation.json"} </w:instrText>
      </w:r>
      <w:r w:rsidR="00BC2CCF" w:rsidRPr="000217C7">
        <w:rPr>
          <w:color w:val="000000" w:themeColor="text1"/>
        </w:rPr>
        <w:fldChar w:fldCharType="separate"/>
      </w:r>
      <w:r w:rsidR="009456C2" w:rsidRPr="000217C7">
        <w:rPr>
          <w:rFonts w:cs="Times New Roman"/>
          <w:color w:val="000000" w:themeColor="text1"/>
          <w:lang w:val="en-GB"/>
        </w:rPr>
        <w:t>(Peterburs and Desmond, 2016)</w:t>
      </w:r>
      <w:r w:rsidR="00BC2CCF" w:rsidRPr="000217C7">
        <w:rPr>
          <w:color w:val="000000" w:themeColor="text1"/>
        </w:rPr>
        <w:fldChar w:fldCharType="end"/>
      </w:r>
      <w:r w:rsidR="003D133F" w:rsidRPr="000217C7">
        <w:rPr>
          <w:color w:val="000000" w:themeColor="text1"/>
        </w:rPr>
        <w:t>.</w:t>
      </w:r>
      <w:r w:rsidR="00665906" w:rsidRPr="000217C7">
        <w:rPr>
          <w:color w:val="000000" w:themeColor="text1"/>
        </w:rPr>
        <w:t xml:space="preserve"> This result, however, should be taken with caution, as it disappears when adding the EAT-26 score as a covariate. This suggests that dysfunctional eating habits may influence the relationship between accuracy and GM density in the cerebellum.</w:t>
      </w:r>
    </w:p>
    <w:p w14:paraId="0FE27AC3" w14:textId="77777777" w:rsidR="003D133F" w:rsidRPr="000217C7" w:rsidRDefault="003D133F" w:rsidP="0047026B">
      <w:pPr>
        <w:pStyle w:val="Heading3"/>
      </w:pPr>
      <w:r w:rsidRPr="000217C7">
        <w:t>Limitations</w:t>
      </w:r>
    </w:p>
    <w:p w14:paraId="7E8C3FD0" w14:textId="77F86C99" w:rsidR="00937456" w:rsidRPr="000217C7" w:rsidRDefault="00B079B7" w:rsidP="00892870">
      <w:pPr>
        <w:rPr>
          <w:color w:val="000000" w:themeColor="text1"/>
        </w:rPr>
      </w:pPr>
      <w:r w:rsidRPr="000217C7">
        <w:rPr>
          <w:color w:val="000000" w:themeColor="text1"/>
        </w:rPr>
        <w:t xml:space="preserve">Some issues should be acknowledged since they constitute limitations of this study. </w:t>
      </w:r>
      <w:r w:rsidRPr="000217C7">
        <w:rPr>
          <w:i/>
          <w:color w:val="000000" w:themeColor="text1"/>
        </w:rPr>
        <w:t>First</w:t>
      </w:r>
      <w:r w:rsidRPr="000217C7">
        <w:rPr>
          <w:color w:val="000000" w:themeColor="text1"/>
        </w:rPr>
        <w:t xml:space="preserve">, </w:t>
      </w:r>
      <w:r w:rsidR="005B5C48" w:rsidRPr="000217C7">
        <w:rPr>
          <w:color w:val="000000" w:themeColor="text1"/>
        </w:rPr>
        <w:t>we cannot exclude that the absence of a subliminal attentional bias specific for food stimuli may be due to the composition of the sample, which includes a wide range of BMI</w:t>
      </w:r>
      <w:r w:rsidR="00C028F0" w:rsidRPr="000217C7">
        <w:rPr>
          <w:color w:val="000000" w:themeColor="text1"/>
        </w:rPr>
        <w:t xml:space="preserve"> but does not address the presence of a food bias in </w:t>
      </w:r>
      <w:r w:rsidR="00700D02" w:rsidRPr="000217C7">
        <w:rPr>
          <w:color w:val="000000" w:themeColor="text1"/>
        </w:rPr>
        <w:t xml:space="preserve">individuals with </w:t>
      </w:r>
      <w:r w:rsidR="00C028F0" w:rsidRPr="000217C7">
        <w:rPr>
          <w:color w:val="000000" w:themeColor="text1"/>
        </w:rPr>
        <w:t>overweight vs normal</w:t>
      </w:r>
      <w:r w:rsidR="002306CC" w:rsidRPr="000217C7">
        <w:rPr>
          <w:color w:val="000000" w:themeColor="text1"/>
        </w:rPr>
        <w:t>-</w:t>
      </w:r>
      <w:r w:rsidR="00C028F0" w:rsidRPr="000217C7">
        <w:rPr>
          <w:color w:val="000000" w:themeColor="text1"/>
        </w:rPr>
        <w:t>weight individuals. This choice was made to investigate the effects of BMI as a continuum, but these results may differ in a sample of individuals with higher BMIs</w:t>
      </w:r>
      <w:r w:rsidR="005B5C48" w:rsidRPr="000217C7">
        <w:rPr>
          <w:color w:val="000000" w:themeColor="text1"/>
        </w:rPr>
        <w:t xml:space="preserve">. </w:t>
      </w:r>
      <w:r w:rsidR="002306CC" w:rsidRPr="000217C7">
        <w:rPr>
          <w:color w:val="000000" w:themeColor="text1"/>
        </w:rPr>
        <w:t>Also</w:t>
      </w:r>
      <w:r w:rsidR="00C028F0" w:rsidRPr="000217C7">
        <w:rPr>
          <w:color w:val="000000" w:themeColor="text1"/>
        </w:rPr>
        <w:t>, f</w:t>
      </w:r>
      <w:r w:rsidR="005B5C48" w:rsidRPr="000217C7">
        <w:rPr>
          <w:color w:val="000000" w:themeColor="text1"/>
        </w:rPr>
        <w:t xml:space="preserve">uture studies should address how dysfunctional eating attitudes influence subliminal food processing. </w:t>
      </w:r>
      <w:r w:rsidR="000D160E" w:rsidRPr="000217C7">
        <w:rPr>
          <w:color w:val="000000" w:themeColor="text1"/>
        </w:rPr>
        <w:t xml:space="preserve">Second, we did not screen our participants for history of eating disorders, which may have influenced our results. However, we used the EAT-26 scores, which are </w:t>
      </w:r>
      <w:r w:rsidR="000D160E" w:rsidRPr="000217C7">
        <w:rPr>
          <w:color w:val="000000" w:themeColor="text1"/>
        </w:rPr>
        <w:lastRenderedPageBreak/>
        <w:t>indicative of eating disorders symptomatology, as covariates in our analyses to isolate the possible effect of eating disorders symptoms</w:t>
      </w:r>
      <w:r w:rsidR="00892870" w:rsidRPr="000217C7">
        <w:rPr>
          <w:color w:val="000000" w:themeColor="text1"/>
        </w:rPr>
        <w:t>. Finally</w:t>
      </w:r>
      <w:r w:rsidR="005B5C48" w:rsidRPr="000217C7">
        <w:rPr>
          <w:color w:val="000000" w:themeColor="text1"/>
        </w:rPr>
        <w:t xml:space="preserve">, </w:t>
      </w:r>
      <w:r w:rsidR="00331387" w:rsidRPr="000217C7">
        <w:rPr>
          <w:color w:val="000000" w:themeColor="text1"/>
        </w:rPr>
        <w:t>it is possible that choosing more salient food stimuli (highly caloric, highly palatable) might have yielded a food-specific subliminal bias</w:t>
      </w:r>
      <w:r w:rsidR="00D866B6" w:rsidRPr="000217C7">
        <w:rPr>
          <w:color w:val="000000" w:themeColor="text1"/>
        </w:rPr>
        <w:t xml:space="preserve">. </w:t>
      </w:r>
      <w:r w:rsidR="005B5C48" w:rsidRPr="000217C7">
        <w:rPr>
          <w:i/>
          <w:color w:val="000000" w:themeColor="text1"/>
        </w:rPr>
        <w:t>Third</w:t>
      </w:r>
      <w:r w:rsidR="005B5C48" w:rsidRPr="000217C7">
        <w:rPr>
          <w:color w:val="000000" w:themeColor="text1"/>
        </w:rPr>
        <w:t xml:space="preserve">, </w:t>
      </w:r>
      <w:r w:rsidR="00143D4E" w:rsidRPr="000217C7">
        <w:rPr>
          <w:color w:val="000000" w:themeColor="text1"/>
        </w:rPr>
        <w:t xml:space="preserve">it is important to notice that the Go/No Go task, </w:t>
      </w:r>
      <w:r w:rsidR="002306CC" w:rsidRPr="000217C7">
        <w:rPr>
          <w:color w:val="000000" w:themeColor="text1"/>
        </w:rPr>
        <w:t xml:space="preserve">even if </w:t>
      </w:r>
      <w:r w:rsidR="00143D4E" w:rsidRPr="000217C7">
        <w:rPr>
          <w:color w:val="000000" w:themeColor="text1"/>
        </w:rPr>
        <w:t xml:space="preserve">established in the literature, tends to yield small effect sizes </w:t>
      </w:r>
      <w:r w:rsidR="00964A7F" w:rsidRPr="000217C7">
        <w:rPr>
          <w:color w:val="000000" w:themeColor="text1"/>
        </w:rPr>
        <w:t xml:space="preserve">that </w:t>
      </w:r>
      <w:r w:rsidR="00143D4E" w:rsidRPr="000217C7">
        <w:rPr>
          <w:color w:val="000000" w:themeColor="text1"/>
        </w:rPr>
        <w:t xml:space="preserve">are not always reproduced across studies </w:t>
      </w:r>
      <w:r w:rsidR="00BC2CCF" w:rsidRPr="000217C7">
        <w:rPr>
          <w:color w:val="000000" w:themeColor="text1"/>
        </w:rPr>
        <w:fldChar w:fldCharType="begin"/>
      </w:r>
      <w:r w:rsidR="00621B08" w:rsidRPr="000217C7">
        <w:rPr>
          <w:color w:val="000000" w:themeColor="text1"/>
        </w:rPr>
        <w:instrText xml:space="preserve"> ADDIN ZOTERO_ITEM CSL_CITATION {"citationID":"atiau69rnm","properties":{"formattedCitation":"(Bartholdy et al., 2016; Kulendran et al., 2017)","plainCitation":"(Bartholdy et al., 2016; Kulendran et al., 2017)","noteIndex":0},"citationItems":[{"id":922,"uris":["http://zotero.org/users/local/ukz7dhIj/items/64TJ25WE"],"uri":["http://zotero.org/users/local/ukz7dhIj/items/64TJ25WE"],"itemData":{"id":922,"type":"article-journal","abstract":"Altered inhibitory control (response inhibition, reward-based inhibition, cognitive inhibition, reversal learning) has been implicated in eating disorders (EDs) and obesity. It is unclear, however, how different types of inhibitory control contribute to eating and weight-control behaviours. This review evaluates the relationship between one aspect of inhibitory control (a reactive component of motor response inhibition measured by the stop signal task) and eating/weight in clinical and non-clinical populations. Sixty-two studies from 58 journal articles were included. Restrained eaters had diminished reactive inhibitory control compared to unrestrained eaters, and showed greatest benefit to their eating behaviour from manipulations of inhibitory control. Obese individuals may show less reactive inhibitory control but only in the context of food-specific inhibition or after executive resources are depleted. Of the limited studies in EDs, the majority found no impairment in reactive inhibitory control, although findings are inconsistent. Thus, altered reactive inhibitory control is related to some maladaptive eating behaviours, and hence may provide a therapeutic target for behavioural manipulations and/or neuromodulation. However, other types of inhibitory control may also contribute. Methodological and theoretical considerations are discussed.","container-title":"Neuroscience &amp; Biobehavioral Reviews","DOI":"10.1016/j.neubiorev.2016.02.010","ISSN":"0149-7634","journalAbbreviation":"Neuroscience &amp; Biobehavioral Reviews","page":"35-62","source":"ScienceDirect","title":"A systematic review of the relationship between eating, weight and inhibitory control using the stop signal task","volume":"64","author":[{"family":"Bartholdy","given":"Savani"},{"family":"Dalton","given":"Bethan"},{"family":"O’Daly","given":"Owen G."},{"family":"Campbell","given":"Iain C."},{"family":"Schmidt","given":"Ulrike"}],"issued":{"date-parts":[["2016",5,1]]}}},{"id":319,"uris":["http://zotero.org/users/local/ukz7dhIj/items/F5JUE6KM"],"uri":["http://zotero.org/users/local/ukz7dhIj/items/F5JUE6KM"],"itemData":{"id":319,"type":"article-journal","abstract":"Objective: There is evidence that executive function (and specifically inhibitory control) is related to obesity and eating behaviour. The go-no go task, the Stop Signal Paradigm and the Stroop Task are examples of behavioural tasks to measure inhibitory control.Methods: This paper systematically reviews the literature on inhibitory control and its role in obesity and eating behaviours. Studies involving animals, particular clinical population (addiction, eating or psychiatric disorder) and work not related to obesity or psychology were excluded. Only papers that examined the relationship between inhibitory control and one or more eating-related measurements (BMI, BMI change or laboratory food intake measures) were included. Twenty one studies met the selection criteria. Computerized tasks to measure inhibitory control were used in the studies analysed in this review.Results: The studies that used the go-no go task reveal that age can moderate the relationship between impulsivity and body weight or reported no association. Studies using the Stop Signal Paradigm reveal that the results on the task are a predictor of weight loss in both adolescents and adults populations. Studies using the Stroop Task demonstrate a difference between obese and normal weight groups.Conclusions: These results reveal the role of inhibitory control in obesity. However, a better understanding of the mechanisms behind this connection is needed. We also conclude that performance tasks that measure inhibitory control are able to differentiate between obese and non-obese groups, but it is recommended wider population range and larger samples in future studies.","container-title":"Medical Research Archives","ISSN":"2375-1924","issue":"8","language":"en","title":"The Role of Impulsivity in Obesity as Measured by Inhibitory Control: A Systematic Review","title-short":"The Role of Impulsivity in Obesity as Measured by Inhibitory Control","URL":"https://journals.ke-i.org/index.php/mra/article/view/1168","volume":"5","author":[{"family":"Kulendran","given":"Myutan"},{"family":"Vlaev","given":"Ivo"},{"family":"Gamboa","given":"Patricia"},{"family":"Darzi","given":"Ara"}],"issued":{"date-parts":[["2017",8,15]]}}}],"schema":"https://github.com/citation-style-language/schema/raw/master/csl-citation.json"} </w:instrText>
      </w:r>
      <w:r w:rsidR="00BC2CCF" w:rsidRPr="000217C7">
        <w:rPr>
          <w:color w:val="000000" w:themeColor="text1"/>
        </w:rPr>
        <w:fldChar w:fldCharType="separate"/>
      </w:r>
      <w:r w:rsidR="00621B08" w:rsidRPr="000217C7">
        <w:rPr>
          <w:rFonts w:cs="Times New Roman"/>
          <w:color w:val="000000" w:themeColor="text1"/>
          <w:lang w:val="en-GB"/>
        </w:rPr>
        <w:t>(Bartholdy et al., 2016; Kulendran et al., 2017)</w:t>
      </w:r>
      <w:r w:rsidR="00BC2CCF" w:rsidRPr="000217C7">
        <w:rPr>
          <w:color w:val="000000" w:themeColor="text1"/>
        </w:rPr>
        <w:fldChar w:fldCharType="end"/>
      </w:r>
      <w:r w:rsidR="00143D4E" w:rsidRPr="000217C7">
        <w:rPr>
          <w:color w:val="000000" w:themeColor="text1"/>
        </w:rPr>
        <w:t>.</w:t>
      </w:r>
      <w:r w:rsidR="00892870" w:rsidRPr="000217C7">
        <w:rPr>
          <w:color w:val="000000" w:themeColor="text1"/>
        </w:rPr>
        <w:t xml:space="preserve"> </w:t>
      </w:r>
    </w:p>
    <w:p w14:paraId="6578F882" w14:textId="77777777" w:rsidR="00937456" w:rsidRPr="000217C7" w:rsidRDefault="00360F1F" w:rsidP="009E3B74">
      <w:pPr>
        <w:pStyle w:val="Heading1"/>
      </w:pPr>
      <w:r w:rsidRPr="000217C7">
        <w:t xml:space="preserve">5 - </w:t>
      </w:r>
      <w:r w:rsidR="00937456" w:rsidRPr="000217C7">
        <w:t>Conclusions</w:t>
      </w:r>
    </w:p>
    <w:p w14:paraId="6CE28D6F" w14:textId="0CCC5A98" w:rsidR="004C3329" w:rsidRPr="000217C7" w:rsidRDefault="00586D54" w:rsidP="004C3329">
      <w:pPr>
        <w:rPr>
          <w:color w:val="000000" w:themeColor="text1"/>
        </w:rPr>
      </w:pPr>
      <w:r w:rsidRPr="000217C7">
        <w:rPr>
          <w:color w:val="000000" w:themeColor="text1"/>
        </w:rPr>
        <w:t xml:space="preserve"> </w:t>
      </w:r>
      <w:r w:rsidR="00955E7B" w:rsidRPr="000217C7">
        <w:rPr>
          <w:color w:val="000000" w:themeColor="text1"/>
        </w:rPr>
        <w:t>In conclusion</w:t>
      </w:r>
      <w:r w:rsidR="00F27382" w:rsidRPr="000217C7">
        <w:rPr>
          <w:color w:val="000000" w:themeColor="text1"/>
        </w:rPr>
        <w:t xml:space="preserve">, this </w:t>
      </w:r>
      <w:r w:rsidR="00D866B6" w:rsidRPr="000217C7">
        <w:rPr>
          <w:color w:val="000000" w:themeColor="text1"/>
        </w:rPr>
        <w:t>study adds novel findings to the current literature on obesity</w:t>
      </w:r>
      <w:r w:rsidRPr="000217C7">
        <w:rPr>
          <w:color w:val="000000" w:themeColor="text1"/>
        </w:rPr>
        <w:t xml:space="preserve">. </w:t>
      </w:r>
      <w:r w:rsidR="00D866B6" w:rsidRPr="000217C7">
        <w:rPr>
          <w:color w:val="000000" w:themeColor="text1"/>
        </w:rPr>
        <w:t>It</w:t>
      </w:r>
      <w:r w:rsidR="00F27382" w:rsidRPr="000217C7">
        <w:rPr>
          <w:color w:val="000000" w:themeColor="text1"/>
        </w:rPr>
        <w:t xml:space="preserve"> provide</w:t>
      </w:r>
      <w:r w:rsidR="00661B8D" w:rsidRPr="000217C7">
        <w:rPr>
          <w:color w:val="000000" w:themeColor="text1"/>
        </w:rPr>
        <w:t>s</w:t>
      </w:r>
      <w:r w:rsidR="00F27382" w:rsidRPr="000217C7">
        <w:rPr>
          <w:color w:val="000000" w:themeColor="text1"/>
        </w:rPr>
        <w:t xml:space="preserve"> the first evidence that </w:t>
      </w:r>
      <w:r w:rsidR="00E57B3E" w:rsidRPr="000217C7">
        <w:rPr>
          <w:color w:val="000000" w:themeColor="text1"/>
        </w:rPr>
        <w:t>individuals with a higher BMI</w:t>
      </w:r>
      <w:r w:rsidR="00F27382" w:rsidRPr="000217C7">
        <w:rPr>
          <w:color w:val="000000" w:themeColor="text1"/>
        </w:rPr>
        <w:t xml:space="preserve"> are characterized by </w:t>
      </w:r>
      <w:r w:rsidR="00D336CD" w:rsidRPr="000217C7">
        <w:rPr>
          <w:color w:val="000000" w:themeColor="text1"/>
        </w:rPr>
        <w:t xml:space="preserve">slower </w:t>
      </w:r>
      <w:r w:rsidR="00F27382" w:rsidRPr="000217C7">
        <w:rPr>
          <w:color w:val="000000" w:themeColor="text1"/>
        </w:rPr>
        <w:t xml:space="preserve">subliminal processing of visual stimuli and that higher threshold of awareness might be linked to </w:t>
      </w:r>
      <w:r w:rsidR="00D336CD" w:rsidRPr="000217C7">
        <w:rPr>
          <w:color w:val="000000" w:themeColor="text1"/>
        </w:rPr>
        <w:t xml:space="preserve">lower </w:t>
      </w:r>
      <w:r w:rsidR="003D133F" w:rsidRPr="000217C7">
        <w:rPr>
          <w:color w:val="000000" w:themeColor="text1"/>
        </w:rPr>
        <w:t>GM</w:t>
      </w:r>
      <w:r w:rsidR="00213D25" w:rsidRPr="000217C7">
        <w:rPr>
          <w:color w:val="000000" w:themeColor="text1"/>
        </w:rPr>
        <w:t xml:space="preserve"> density </w:t>
      </w:r>
      <w:r w:rsidR="00F27382" w:rsidRPr="000217C7">
        <w:rPr>
          <w:color w:val="000000" w:themeColor="text1"/>
        </w:rPr>
        <w:t>of key areas involved in awareness, high-level sensory integration, and reward such as OFC, bilateral temporal areas, the operculum</w:t>
      </w:r>
      <w:r w:rsidRPr="000217C7">
        <w:rPr>
          <w:color w:val="000000" w:themeColor="text1"/>
        </w:rPr>
        <w:t>,</w:t>
      </w:r>
      <w:r w:rsidR="00F27382" w:rsidRPr="000217C7">
        <w:rPr>
          <w:color w:val="000000" w:themeColor="text1"/>
        </w:rPr>
        <w:t xml:space="preserve"> and insula.</w:t>
      </w:r>
      <w:r w:rsidR="002B1FE6" w:rsidRPr="000217C7">
        <w:rPr>
          <w:color w:val="000000" w:themeColor="text1"/>
        </w:rPr>
        <w:t xml:space="preserve"> </w:t>
      </w:r>
      <w:r w:rsidR="00D866B6" w:rsidRPr="000217C7">
        <w:rPr>
          <w:color w:val="000000" w:themeColor="text1"/>
        </w:rPr>
        <w:t xml:space="preserve">It also </w:t>
      </w:r>
      <w:r w:rsidRPr="000217C7">
        <w:rPr>
          <w:color w:val="000000" w:themeColor="text1"/>
        </w:rPr>
        <w:t xml:space="preserve">confirms </w:t>
      </w:r>
      <w:r w:rsidR="00037F81" w:rsidRPr="000217C7">
        <w:rPr>
          <w:color w:val="000000" w:themeColor="text1"/>
        </w:rPr>
        <w:t xml:space="preserve">reduced </w:t>
      </w:r>
      <w:r w:rsidRPr="000217C7">
        <w:rPr>
          <w:color w:val="000000" w:themeColor="text1"/>
        </w:rPr>
        <w:t xml:space="preserve">inhibition toward food in obesity and shows that the food-specific bias measured through the Go/No-Go task resulted associated with </w:t>
      </w:r>
      <w:r w:rsidR="00D866B6" w:rsidRPr="000217C7">
        <w:rPr>
          <w:color w:val="000000" w:themeColor="text1"/>
          <w:lang w:val="en-GB"/>
        </w:rPr>
        <w:t>lower GM density in the right parietal operculum and its higher functional connectivity with the left precentral gyrus, lower GM density in the left orbital gyrus/temporal pole, and weaker connectivity with visual</w:t>
      </w:r>
      <w:r w:rsidRPr="000217C7">
        <w:rPr>
          <w:color w:val="000000" w:themeColor="text1"/>
          <w:lang w:val="en-GB"/>
        </w:rPr>
        <w:t xml:space="preserve"> areas.</w:t>
      </w:r>
    </w:p>
    <w:p w14:paraId="4A58BEFB" w14:textId="16BC27D4" w:rsidR="00B61EA4" w:rsidRPr="000217C7" w:rsidRDefault="00BA0AD6" w:rsidP="00C028F0">
      <w:pPr>
        <w:ind w:firstLine="0"/>
        <w:rPr>
          <w:color w:val="000000" w:themeColor="text1"/>
        </w:rPr>
      </w:pPr>
      <w:r w:rsidRPr="000217C7">
        <w:rPr>
          <w:color w:val="000000" w:themeColor="text1"/>
        </w:rPr>
        <w:tab/>
      </w:r>
      <w:r w:rsidR="00586D54" w:rsidRPr="000217C7">
        <w:rPr>
          <w:color w:val="000000" w:themeColor="text1"/>
        </w:rPr>
        <w:t>Also</w:t>
      </w:r>
      <w:r w:rsidR="00F27382" w:rsidRPr="000217C7">
        <w:rPr>
          <w:color w:val="000000" w:themeColor="text1"/>
        </w:rPr>
        <w:t xml:space="preserve">, we demonstrated that differences in brain morphology and connectivity </w:t>
      </w:r>
      <w:r w:rsidR="00143D4E" w:rsidRPr="000217C7">
        <w:rPr>
          <w:color w:val="000000" w:themeColor="text1"/>
        </w:rPr>
        <w:t>are related to</w:t>
      </w:r>
      <w:r w:rsidR="00F27382" w:rsidRPr="000217C7">
        <w:rPr>
          <w:color w:val="000000" w:themeColor="text1"/>
        </w:rPr>
        <w:t xml:space="preserve"> different behavioral outcomes at the CFS and the Go</w:t>
      </w:r>
      <w:r w:rsidR="000B6E55" w:rsidRPr="000217C7">
        <w:rPr>
          <w:color w:val="000000" w:themeColor="text1"/>
        </w:rPr>
        <w:t>/</w:t>
      </w:r>
      <w:r w:rsidR="00F27382" w:rsidRPr="000217C7">
        <w:rPr>
          <w:color w:val="000000" w:themeColor="text1"/>
        </w:rPr>
        <w:t>No</w:t>
      </w:r>
      <w:r w:rsidR="000B6E55" w:rsidRPr="000217C7">
        <w:rPr>
          <w:color w:val="000000" w:themeColor="text1"/>
        </w:rPr>
        <w:t>-G</w:t>
      </w:r>
      <w:r w:rsidR="00F27382" w:rsidRPr="000217C7">
        <w:rPr>
          <w:color w:val="000000" w:themeColor="text1"/>
        </w:rPr>
        <w:t xml:space="preserve">o task. </w:t>
      </w:r>
      <w:r w:rsidR="00661B8D" w:rsidRPr="000217C7">
        <w:rPr>
          <w:color w:val="000000" w:themeColor="text1"/>
        </w:rPr>
        <w:t>Notab</w:t>
      </w:r>
      <w:r w:rsidR="00F27382" w:rsidRPr="000217C7">
        <w:rPr>
          <w:color w:val="000000" w:themeColor="text1"/>
        </w:rPr>
        <w:t>ly, better behavioral performance at the bCFS and Go/No-Go tasks correlates with higher GM de</w:t>
      </w:r>
      <w:r w:rsidR="00661B8D" w:rsidRPr="000217C7">
        <w:rPr>
          <w:color w:val="000000" w:themeColor="text1"/>
        </w:rPr>
        <w:t xml:space="preserve">nsity in frontal control areas, </w:t>
      </w:r>
      <w:r w:rsidR="00F27382" w:rsidRPr="000217C7">
        <w:rPr>
          <w:color w:val="000000" w:themeColor="text1"/>
        </w:rPr>
        <w:t>while slower subliminal processing is linked to higher GM density in areas involved in visual processing and reward, as well as to high</w:t>
      </w:r>
      <w:r w:rsidR="007363FD" w:rsidRPr="000217C7">
        <w:rPr>
          <w:color w:val="000000" w:themeColor="text1"/>
        </w:rPr>
        <w:t>er</w:t>
      </w:r>
      <w:r w:rsidR="00F27382" w:rsidRPr="000217C7">
        <w:rPr>
          <w:color w:val="000000" w:themeColor="text1"/>
        </w:rPr>
        <w:t xml:space="preserve"> connectivity </w:t>
      </w:r>
      <w:r w:rsidR="007363FD" w:rsidRPr="000217C7">
        <w:rPr>
          <w:color w:val="000000" w:themeColor="text1"/>
        </w:rPr>
        <w:t>to</w:t>
      </w:r>
      <w:r w:rsidR="00F27382" w:rsidRPr="000217C7">
        <w:rPr>
          <w:color w:val="000000" w:themeColor="text1"/>
        </w:rPr>
        <w:t xml:space="preserve"> sensorimotor areas</w:t>
      </w:r>
      <w:r w:rsidR="007363FD" w:rsidRPr="000217C7">
        <w:rPr>
          <w:color w:val="000000" w:themeColor="text1"/>
        </w:rPr>
        <w:t xml:space="preserve"> and lower connectivity to visual areas</w:t>
      </w:r>
      <w:r w:rsidR="00F27382" w:rsidRPr="000217C7">
        <w:rPr>
          <w:color w:val="000000" w:themeColor="text1"/>
        </w:rPr>
        <w:t>. We</w:t>
      </w:r>
      <w:r w:rsidR="00661B8D" w:rsidRPr="000217C7">
        <w:rPr>
          <w:color w:val="000000" w:themeColor="text1"/>
        </w:rPr>
        <w:t>, therefore,</w:t>
      </w:r>
      <w:r w:rsidR="00F27382" w:rsidRPr="000217C7">
        <w:rPr>
          <w:color w:val="000000" w:themeColor="text1"/>
        </w:rPr>
        <w:t xml:space="preserve"> suggest that behavioral alterations in the performance of the bCFS and Go/No-Go task can be attributed to alterations in the reward and control circuits.</w:t>
      </w:r>
      <w:r w:rsidR="0034550A" w:rsidRPr="000217C7">
        <w:rPr>
          <w:color w:val="000000" w:themeColor="text1"/>
        </w:rPr>
        <w:t xml:space="preserve"> </w:t>
      </w:r>
      <w:r w:rsidR="00661B8D" w:rsidRPr="000217C7">
        <w:rPr>
          <w:color w:val="000000" w:themeColor="text1"/>
        </w:rPr>
        <w:t xml:space="preserve">This result </w:t>
      </w:r>
      <w:r w:rsidR="00955E7B" w:rsidRPr="000217C7">
        <w:rPr>
          <w:color w:val="000000" w:themeColor="text1"/>
        </w:rPr>
        <w:t xml:space="preserve">paves the way </w:t>
      </w:r>
      <w:r w:rsidR="00586D54" w:rsidRPr="000217C7">
        <w:rPr>
          <w:color w:val="000000" w:themeColor="text1"/>
        </w:rPr>
        <w:t>for</w:t>
      </w:r>
      <w:r w:rsidR="00955E7B" w:rsidRPr="000217C7">
        <w:rPr>
          <w:color w:val="000000" w:themeColor="text1"/>
        </w:rPr>
        <w:t xml:space="preserve"> </w:t>
      </w:r>
      <w:r w:rsidR="00661B8D" w:rsidRPr="000217C7">
        <w:rPr>
          <w:color w:val="000000" w:themeColor="text1"/>
        </w:rPr>
        <w:t>future investigations</w:t>
      </w:r>
      <w:r w:rsidR="00143D4E" w:rsidRPr="000217C7">
        <w:rPr>
          <w:color w:val="000000" w:themeColor="text1"/>
        </w:rPr>
        <w:t xml:space="preserve"> using these paradigms in healthy and pat</w:t>
      </w:r>
      <w:r w:rsidR="00992394" w:rsidRPr="000217C7">
        <w:rPr>
          <w:color w:val="000000" w:themeColor="text1"/>
        </w:rPr>
        <w:t>hologi</w:t>
      </w:r>
      <w:r w:rsidR="00143D4E" w:rsidRPr="000217C7">
        <w:rPr>
          <w:color w:val="000000" w:themeColor="text1"/>
        </w:rPr>
        <w:t>cal populations.</w:t>
      </w:r>
    </w:p>
    <w:p w14:paraId="49A36D23" w14:textId="77777777" w:rsidR="00DA4501" w:rsidRPr="000217C7" w:rsidRDefault="00DA4501" w:rsidP="00C028F0">
      <w:pPr>
        <w:ind w:firstLine="0"/>
        <w:rPr>
          <w:color w:val="000000" w:themeColor="text1"/>
        </w:rPr>
      </w:pPr>
    </w:p>
    <w:p w14:paraId="1D9EBC45" w14:textId="51DC5EA0" w:rsidR="00DA4501" w:rsidRPr="000217C7" w:rsidRDefault="00AA6F82" w:rsidP="00DA4501">
      <w:pPr>
        <w:pStyle w:val="Heading2"/>
      </w:pPr>
      <w:r w:rsidRPr="000217C7">
        <w:t>Acknowledgments</w:t>
      </w:r>
    </w:p>
    <w:p w14:paraId="6202D8E5" w14:textId="739817BB" w:rsidR="00260B02" w:rsidRPr="000217C7" w:rsidRDefault="00DA4501" w:rsidP="0083215A">
      <w:pPr>
        <w:rPr>
          <w:color w:val="000000" w:themeColor="text1"/>
        </w:rPr>
      </w:pPr>
      <w:r w:rsidRPr="000217C7">
        <w:rPr>
          <w:color w:val="000000" w:themeColor="text1"/>
        </w:rPr>
        <w:t>T</w:t>
      </w:r>
      <w:r w:rsidR="0083215A" w:rsidRPr="000217C7">
        <w:rPr>
          <w:color w:val="000000" w:themeColor="text1"/>
        </w:rPr>
        <w:t xml:space="preserve">he Authors thank Carol </w:t>
      </w:r>
      <w:proofErr w:type="spellStart"/>
      <w:r w:rsidR="0083215A" w:rsidRPr="000217C7">
        <w:rPr>
          <w:color w:val="000000" w:themeColor="text1"/>
        </w:rPr>
        <w:t>Coricelli</w:t>
      </w:r>
      <w:proofErr w:type="spellEnd"/>
      <w:r w:rsidR="0083215A" w:rsidRPr="000217C7">
        <w:rPr>
          <w:color w:val="000000" w:themeColor="text1"/>
        </w:rPr>
        <w:t xml:space="preserve"> for her comments and insights on a previous version of this paper</w:t>
      </w:r>
      <w:r w:rsidR="00260B02" w:rsidRPr="000217C7">
        <w:rPr>
          <w:color w:val="000000" w:themeColor="text1"/>
        </w:rPr>
        <w:t xml:space="preserve"> and XX for the English revision of the manuscript.</w:t>
      </w:r>
    </w:p>
    <w:p w14:paraId="0B00C48E" w14:textId="77777777" w:rsidR="00260B02" w:rsidRPr="000217C7" w:rsidRDefault="00260B02" w:rsidP="0083215A">
      <w:pPr>
        <w:rPr>
          <w:color w:val="000000" w:themeColor="text1"/>
        </w:rPr>
      </w:pPr>
    </w:p>
    <w:p w14:paraId="18CAF1BC" w14:textId="4D55FCA5" w:rsidR="00DA4501" w:rsidRPr="000217C7" w:rsidRDefault="00360F1F" w:rsidP="0030116A">
      <w:pPr>
        <w:rPr>
          <w:color w:val="000000" w:themeColor="text1"/>
          <w:lang w:eastAsia="en-GB"/>
        </w:rPr>
      </w:pPr>
      <w:r w:rsidRPr="000217C7">
        <w:rPr>
          <w:rStyle w:val="Heading2Char"/>
        </w:rPr>
        <w:t>Data/code availability statement</w:t>
      </w:r>
    </w:p>
    <w:p w14:paraId="3CA8705F" w14:textId="77777777" w:rsidR="00DA4501" w:rsidRPr="000217C7" w:rsidRDefault="00DA4501" w:rsidP="00DA4501">
      <w:pPr>
        <w:rPr>
          <w:color w:val="000000" w:themeColor="text1"/>
        </w:rPr>
      </w:pPr>
      <w:r w:rsidRPr="000217C7">
        <w:rPr>
          <w:color w:val="000000" w:themeColor="text1"/>
          <w:lang w:eastAsia="en-GB"/>
        </w:rPr>
        <w:t>T</w:t>
      </w:r>
      <w:r w:rsidR="0030116A" w:rsidRPr="000217C7">
        <w:rPr>
          <w:color w:val="000000" w:themeColor="text1"/>
          <w:lang w:eastAsia="en-GB"/>
        </w:rPr>
        <w:t xml:space="preserve">he behavioral and neuroimaging data is available at this address: </w:t>
      </w:r>
      <w:r w:rsidR="0030116A" w:rsidRPr="000217C7">
        <w:rPr>
          <w:color w:val="000000" w:themeColor="text1"/>
        </w:rPr>
        <w:t>https://osf.io/8vgzu/?view_only=9605d16738294ac490ca8be786264bd7</w:t>
      </w:r>
      <w:r w:rsidR="0030116A" w:rsidRPr="000217C7">
        <w:rPr>
          <w:color w:val="000000" w:themeColor="text1"/>
          <w:lang w:eastAsia="en-GB"/>
        </w:rPr>
        <w:t xml:space="preserve">  </w:t>
      </w:r>
      <w:r w:rsidR="00360F1F" w:rsidRPr="000217C7">
        <w:rPr>
          <w:color w:val="000000" w:themeColor="text1"/>
        </w:rPr>
        <w:t xml:space="preserve"> </w:t>
      </w:r>
    </w:p>
    <w:p w14:paraId="24EBB365" w14:textId="0868DE6F" w:rsidR="00DA4501" w:rsidRPr="000217C7" w:rsidRDefault="00360F1F" w:rsidP="00C028F0">
      <w:pPr>
        <w:pStyle w:val="Heading2"/>
        <w:rPr>
          <w:rFonts w:eastAsia="Times New Roman"/>
          <w:lang w:eastAsia="en-GB"/>
        </w:rPr>
      </w:pPr>
      <w:r w:rsidRPr="000217C7">
        <w:rPr>
          <w:rFonts w:eastAsia="Times New Roman"/>
          <w:lang w:eastAsia="en-GB"/>
        </w:rPr>
        <w:t>Declarations of interest</w:t>
      </w:r>
    </w:p>
    <w:p w14:paraId="014DFD17" w14:textId="77777777" w:rsidR="00CC5709" w:rsidRPr="000217C7" w:rsidRDefault="00DA4501" w:rsidP="00656E2D">
      <w:pPr>
        <w:rPr>
          <w:rFonts w:eastAsia="Times New Roman" w:cs="Times New Roman"/>
          <w:color w:val="000000" w:themeColor="text1"/>
          <w:lang w:eastAsia="en-GB"/>
        </w:rPr>
      </w:pPr>
      <w:r w:rsidRPr="000217C7">
        <w:rPr>
          <w:rFonts w:eastAsia="Times New Roman" w:cs="Times New Roman"/>
          <w:color w:val="000000" w:themeColor="text1"/>
          <w:lang w:eastAsia="en-GB"/>
        </w:rPr>
        <w:t>N</w:t>
      </w:r>
      <w:r w:rsidR="00360F1F" w:rsidRPr="000217C7">
        <w:rPr>
          <w:rFonts w:eastAsia="Times New Roman" w:cs="Times New Roman"/>
          <w:color w:val="000000" w:themeColor="text1"/>
          <w:lang w:eastAsia="en-GB"/>
        </w:rPr>
        <w:t>one</w:t>
      </w:r>
      <w:r w:rsidRPr="000217C7">
        <w:rPr>
          <w:rFonts w:eastAsia="Times New Roman" w:cs="Times New Roman"/>
          <w:color w:val="000000" w:themeColor="text1"/>
          <w:lang w:eastAsia="en-GB"/>
        </w:rPr>
        <w:t>.</w:t>
      </w:r>
    </w:p>
    <w:p w14:paraId="27F31534" w14:textId="77777777" w:rsidR="00AB160A" w:rsidRPr="000217C7" w:rsidRDefault="0001408A" w:rsidP="00F85F4A">
      <w:pPr>
        <w:pStyle w:val="Caption"/>
        <w:rPr>
          <w:color w:val="000000" w:themeColor="text1"/>
        </w:rPr>
      </w:pPr>
      <w:r w:rsidRPr="000217C7">
        <w:rPr>
          <w:color w:val="000000" w:themeColor="text1"/>
        </w:rPr>
        <w:br w:type="page"/>
      </w:r>
    </w:p>
    <w:p w14:paraId="3381280F" w14:textId="77777777" w:rsidR="00E26F65" w:rsidRPr="000217C7" w:rsidRDefault="003B2E44" w:rsidP="003705CB">
      <w:pPr>
        <w:pStyle w:val="Heading1"/>
      </w:pPr>
      <w:bookmarkStart w:id="37" w:name="_Toc528590123"/>
      <w:r w:rsidRPr="000217C7">
        <w:lastRenderedPageBreak/>
        <w:t>References</w:t>
      </w:r>
      <w:bookmarkEnd w:id="1"/>
      <w:bookmarkEnd w:id="2"/>
      <w:bookmarkEnd w:id="3"/>
      <w:bookmarkEnd w:id="4"/>
      <w:bookmarkEnd w:id="37"/>
    </w:p>
    <w:p w14:paraId="7CEAA751" w14:textId="26D4AF9C" w:rsidR="00C200A8" w:rsidRPr="000217C7" w:rsidRDefault="00BC2CCF" w:rsidP="00C200A8">
      <w:pPr>
        <w:rPr>
          <w:color w:val="000000" w:themeColor="text1"/>
        </w:rPr>
      </w:pPr>
      <w:r w:rsidRPr="000217C7">
        <w:rPr>
          <w:color w:val="000000" w:themeColor="text1"/>
        </w:rPr>
        <w:fldChar w:fldCharType="begin"/>
      </w:r>
      <w:r w:rsidR="000E1A07" w:rsidRPr="000217C7">
        <w:rPr>
          <w:color w:val="000000" w:themeColor="text1"/>
        </w:rPr>
        <w:instrText xml:space="preserve"> ADDIN ZOTERO_BIBL {"uncited":[],"omitted":[],"custom":[]} CSL_BIBLIOGRAPHY </w:instrText>
      </w:r>
      <w:r w:rsidRPr="000217C7">
        <w:rPr>
          <w:color w:val="000000" w:themeColor="text1"/>
        </w:rPr>
        <w:fldChar w:fldCharType="separate"/>
      </w:r>
      <w:r w:rsidR="002E403E" w:rsidRPr="000217C7">
        <w:rPr>
          <w:rFonts w:cs="Times New Roman"/>
          <w:color w:val="000000" w:themeColor="text1"/>
          <w:lang w:val="en-GB"/>
        </w:rPr>
        <w:t>Automatic citation updates are disabled. To see the bibliography, click Refresh in the Zotero tab.</w:t>
      </w:r>
      <w:r w:rsidRPr="000217C7">
        <w:rPr>
          <w:color w:val="000000" w:themeColor="text1"/>
        </w:rPr>
        <w:fldChar w:fldCharType="end"/>
      </w:r>
    </w:p>
    <w:p w14:paraId="5121CB25" w14:textId="77777777" w:rsidR="00F0130B" w:rsidRPr="000217C7" w:rsidRDefault="00F0130B" w:rsidP="009C5A2F">
      <w:pPr>
        <w:pStyle w:val="Bibliography"/>
        <w:rPr>
          <w:color w:val="000000" w:themeColor="text1"/>
        </w:rPr>
      </w:pPr>
    </w:p>
    <w:sectPr w:rsidR="00F0130B" w:rsidRPr="000217C7" w:rsidSect="00694498">
      <w:headerReference w:type="default" r:id="rId23"/>
      <w:footerReference w:type="even" r:id="rId24"/>
      <w:footerReference w:type="default" r:id="rId25"/>
      <w:type w:val="continuous"/>
      <w:pgSz w:w="11900" w:h="16840" w:code="9"/>
      <w:pgMar w:top="1417"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8D9E0C" w14:textId="77777777" w:rsidR="004A5B1C" w:rsidRDefault="004A5B1C" w:rsidP="003705CB">
      <w:r>
        <w:separator/>
      </w:r>
    </w:p>
    <w:p w14:paraId="71F4F45E" w14:textId="77777777" w:rsidR="004A5B1C" w:rsidRDefault="004A5B1C" w:rsidP="003705CB"/>
  </w:endnote>
  <w:endnote w:type="continuationSeparator" w:id="0">
    <w:p w14:paraId="56D23EAF" w14:textId="77777777" w:rsidR="004A5B1C" w:rsidRDefault="004A5B1C" w:rsidP="003705CB">
      <w:r>
        <w:continuationSeparator/>
      </w:r>
    </w:p>
    <w:p w14:paraId="5ABBB01D" w14:textId="77777777" w:rsidR="004A5B1C" w:rsidRDefault="004A5B1C" w:rsidP="003705CB"/>
  </w:endnote>
  <w:endnote w:type="continuationNotice" w:id="1">
    <w:p w14:paraId="20D097F9" w14:textId="77777777" w:rsidR="004A5B1C" w:rsidRDefault="004A5B1C" w:rsidP="003705CB"/>
    <w:p w14:paraId="7D62F81B" w14:textId="77777777" w:rsidR="004A5B1C" w:rsidRDefault="004A5B1C" w:rsidP="003705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TimesNewRomanPSMT">
    <w:panose1 w:val="00000000000000000000"/>
    <w:charset w:val="00"/>
    <w:family w:val="roman"/>
    <w:notTrueType/>
    <w:pitch w:val="default"/>
  </w:font>
  <w:font w:name="AdvOT596495f2+fb">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A058A2" w14:textId="77777777" w:rsidR="000217C7" w:rsidRDefault="000217C7" w:rsidP="003705C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E751DB5" w14:textId="77777777" w:rsidR="000217C7" w:rsidRDefault="000217C7" w:rsidP="003705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C5399" w14:textId="77777777" w:rsidR="000217C7" w:rsidRDefault="000217C7" w:rsidP="003705CB">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p w14:paraId="7C9FDC83" w14:textId="77777777" w:rsidR="000217C7" w:rsidRDefault="000217C7" w:rsidP="003705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F18787" w14:textId="77777777" w:rsidR="004A5B1C" w:rsidRDefault="004A5B1C" w:rsidP="003705CB">
      <w:r>
        <w:separator/>
      </w:r>
    </w:p>
    <w:p w14:paraId="40E8EC8E" w14:textId="77777777" w:rsidR="004A5B1C" w:rsidRDefault="004A5B1C" w:rsidP="003705CB"/>
  </w:footnote>
  <w:footnote w:type="continuationSeparator" w:id="0">
    <w:p w14:paraId="0A9D1838" w14:textId="77777777" w:rsidR="004A5B1C" w:rsidRDefault="004A5B1C" w:rsidP="003705CB">
      <w:r>
        <w:continuationSeparator/>
      </w:r>
    </w:p>
    <w:p w14:paraId="47B6D01E" w14:textId="77777777" w:rsidR="004A5B1C" w:rsidRDefault="004A5B1C" w:rsidP="003705CB"/>
  </w:footnote>
  <w:footnote w:type="continuationNotice" w:id="1">
    <w:p w14:paraId="7C936A51" w14:textId="77777777" w:rsidR="004A5B1C" w:rsidRDefault="004A5B1C" w:rsidP="003705CB"/>
    <w:p w14:paraId="3E629B83" w14:textId="77777777" w:rsidR="004A5B1C" w:rsidRDefault="004A5B1C" w:rsidP="003705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32D33B" w14:textId="77777777" w:rsidR="000217C7" w:rsidRDefault="000217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B707E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602313"/>
    <w:multiLevelType w:val="hybridMultilevel"/>
    <w:tmpl w:val="7FE63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361AD"/>
    <w:multiLevelType w:val="hybridMultilevel"/>
    <w:tmpl w:val="E878C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5C3A8C"/>
    <w:multiLevelType w:val="multilevel"/>
    <w:tmpl w:val="78BAE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A97EE2"/>
    <w:multiLevelType w:val="hybridMultilevel"/>
    <w:tmpl w:val="D7FC7B9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16AA2B46"/>
    <w:multiLevelType w:val="multilevel"/>
    <w:tmpl w:val="910E6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485847"/>
    <w:multiLevelType w:val="hybridMultilevel"/>
    <w:tmpl w:val="A33CD2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927DFF"/>
    <w:multiLevelType w:val="hybridMultilevel"/>
    <w:tmpl w:val="39DC25D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DB4741"/>
    <w:multiLevelType w:val="hybridMultilevel"/>
    <w:tmpl w:val="A6E05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DC5224"/>
    <w:multiLevelType w:val="hybridMultilevel"/>
    <w:tmpl w:val="0E52A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DB603A"/>
    <w:multiLevelType w:val="hybridMultilevel"/>
    <w:tmpl w:val="CF14E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F54725"/>
    <w:multiLevelType w:val="hybridMultilevel"/>
    <w:tmpl w:val="16728938"/>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2" w15:restartNumberingAfterBreak="0">
    <w:nsid w:val="2E3B3BDA"/>
    <w:multiLevelType w:val="hybridMultilevel"/>
    <w:tmpl w:val="0EE494AE"/>
    <w:lvl w:ilvl="0" w:tplc="5E9CF79E">
      <w:start w:val="1"/>
      <w:numFmt w:val="upp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3" w15:restartNumberingAfterBreak="0">
    <w:nsid w:val="33255E0D"/>
    <w:multiLevelType w:val="multilevel"/>
    <w:tmpl w:val="BCDE2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803B63"/>
    <w:multiLevelType w:val="hybridMultilevel"/>
    <w:tmpl w:val="2D767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1B72E7"/>
    <w:multiLevelType w:val="hybridMultilevel"/>
    <w:tmpl w:val="D58024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CA3091E"/>
    <w:multiLevelType w:val="hybridMultilevel"/>
    <w:tmpl w:val="B5B80B1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437BB4"/>
    <w:multiLevelType w:val="hybridMultilevel"/>
    <w:tmpl w:val="082837BC"/>
    <w:lvl w:ilvl="0" w:tplc="04AE020C">
      <w:start w:val="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9C433B"/>
    <w:multiLevelType w:val="hybridMultilevel"/>
    <w:tmpl w:val="DBA007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053718"/>
    <w:multiLevelType w:val="hybridMultilevel"/>
    <w:tmpl w:val="BA22409E"/>
    <w:lvl w:ilvl="0" w:tplc="B29E09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6E842C1"/>
    <w:multiLevelType w:val="hybridMultilevel"/>
    <w:tmpl w:val="76680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EF4415"/>
    <w:multiLevelType w:val="hybridMultilevel"/>
    <w:tmpl w:val="7BFE623E"/>
    <w:lvl w:ilvl="0" w:tplc="5596CCFC">
      <w:start w:val="1"/>
      <w:numFmt w:val="decimal"/>
      <w:lvlText w:val="%1)"/>
      <w:lvlJc w:val="left"/>
      <w:pPr>
        <w:ind w:left="1740" w:hanging="10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D6B2EE3"/>
    <w:multiLevelType w:val="hybridMultilevel"/>
    <w:tmpl w:val="638A0E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502E32"/>
    <w:multiLevelType w:val="hybridMultilevel"/>
    <w:tmpl w:val="D1A2B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52100C"/>
    <w:multiLevelType w:val="hybridMultilevel"/>
    <w:tmpl w:val="BA70E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AE9165D"/>
    <w:multiLevelType w:val="hybridMultilevel"/>
    <w:tmpl w:val="4984BEFC"/>
    <w:lvl w:ilvl="0" w:tplc="F07C5E4E">
      <w:start w:val="2"/>
      <w:numFmt w:val="bullet"/>
      <w:lvlText w:val="-"/>
      <w:lvlJc w:val="left"/>
      <w:pPr>
        <w:ind w:left="814" w:hanging="360"/>
      </w:pPr>
      <w:rPr>
        <w:rFonts w:ascii="Times New Roman" w:eastAsiaTheme="minorHAnsi" w:hAnsi="Times New Roman" w:cs="Times New Roman" w:hint="default"/>
      </w:rPr>
    </w:lvl>
    <w:lvl w:ilvl="1" w:tplc="04090003" w:tentative="1">
      <w:start w:val="1"/>
      <w:numFmt w:val="bullet"/>
      <w:lvlText w:val="o"/>
      <w:lvlJc w:val="left"/>
      <w:pPr>
        <w:ind w:left="1534" w:hanging="360"/>
      </w:pPr>
      <w:rPr>
        <w:rFonts w:ascii="Courier New" w:hAnsi="Courier New" w:cs="Courier New" w:hint="default"/>
      </w:rPr>
    </w:lvl>
    <w:lvl w:ilvl="2" w:tplc="04090005" w:tentative="1">
      <w:start w:val="1"/>
      <w:numFmt w:val="bullet"/>
      <w:lvlText w:val=""/>
      <w:lvlJc w:val="left"/>
      <w:pPr>
        <w:ind w:left="2254" w:hanging="360"/>
      </w:pPr>
      <w:rPr>
        <w:rFonts w:ascii="Wingdings" w:hAnsi="Wingdings" w:hint="default"/>
      </w:rPr>
    </w:lvl>
    <w:lvl w:ilvl="3" w:tplc="04090001" w:tentative="1">
      <w:start w:val="1"/>
      <w:numFmt w:val="bullet"/>
      <w:lvlText w:val=""/>
      <w:lvlJc w:val="left"/>
      <w:pPr>
        <w:ind w:left="2974" w:hanging="360"/>
      </w:pPr>
      <w:rPr>
        <w:rFonts w:ascii="Symbol" w:hAnsi="Symbol" w:hint="default"/>
      </w:rPr>
    </w:lvl>
    <w:lvl w:ilvl="4" w:tplc="04090003" w:tentative="1">
      <w:start w:val="1"/>
      <w:numFmt w:val="bullet"/>
      <w:lvlText w:val="o"/>
      <w:lvlJc w:val="left"/>
      <w:pPr>
        <w:ind w:left="3694" w:hanging="360"/>
      </w:pPr>
      <w:rPr>
        <w:rFonts w:ascii="Courier New" w:hAnsi="Courier New" w:cs="Courier New" w:hint="default"/>
      </w:rPr>
    </w:lvl>
    <w:lvl w:ilvl="5" w:tplc="04090005" w:tentative="1">
      <w:start w:val="1"/>
      <w:numFmt w:val="bullet"/>
      <w:lvlText w:val=""/>
      <w:lvlJc w:val="left"/>
      <w:pPr>
        <w:ind w:left="4414" w:hanging="360"/>
      </w:pPr>
      <w:rPr>
        <w:rFonts w:ascii="Wingdings" w:hAnsi="Wingdings" w:hint="default"/>
      </w:rPr>
    </w:lvl>
    <w:lvl w:ilvl="6" w:tplc="04090001" w:tentative="1">
      <w:start w:val="1"/>
      <w:numFmt w:val="bullet"/>
      <w:lvlText w:val=""/>
      <w:lvlJc w:val="left"/>
      <w:pPr>
        <w:ind w:left="5134" w:hanging="360"/>
      </w:pPr>
      <w:rPr>
        <w:rFonts w:ascii="Symbol" w:hAnsi="Symbol" w:hint="default"/>
      </w:rPr>
    </w:lvl>
    <w:lvl w:ilvl="7" w:tplc="04090003" w:tentative="1">
      <w:start w:val="1"/>
      <w:numFmt w:val="bullet"/>
      <w:lvlText w:val="o"/>
      <w:lvlJc w:val="left"/>
      <w:pPr>
        <w:ind w:left="5854" w:hanging="360"/>
      </w:pPr>
      <w:rPr>
        <w:rFonts w:ascii="Courier New" w:hAnsi="Courier New" w:cs="Courier New" w:hint="default"/>
      </w:rPr>
    </w:lvl>
    <w:lvl w:ilvl="8" w:tplc="04090005" w:tentative="1">
      <w:start w:val="1"/>
      <w:numFmt w:val="bullet"/>
      <w:lvlText w:val=""/>
      <w:lvlJc w:val="left"/>
      <w:pPr>
        <w:ind w:left="6574" w:hanging="360"/>
      </w:pPr>
      <w:rPr>
        <w:rFonts w:ascii="Wingdings" w:hAnsi="Wingdings" w:hint="default"/>
      </w:rPr>
    </w:lvl>
  </w:abstractNum>
  <w:abstractNum w:abstractNumId="26" w15:restartNumberingAfterBreak="0">
    <w:nsid w:val="7EF42F98"/>
    <w:multiLevelType w:val="hybridMultilevel"/>
    <w:tmpl w:val="4D8C533E"/>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num w:numId="1">
    <w:abstractNumId w:val="6"/>
  </w:num>
  <w:num w:numId="2">
    <w:abstractNumId w:val="4"/>
  </w:num>
  <w:num w:numId="3">
    <w:abstractNumId w:val="14"/>
  </w:num>
  <w:num w:numId="4">
    <w:abstractNumId w:val="22"/>
  </w:num>
  <w:num w:numId="5">
    <w:abstractNumId w:val="24"/>
  </w:num>
  <w:num w:numId="6">
    <w:abstractNumId w:val="20"/>
  </w:num>
  <w:num w:numId="7">
    <w:abstractNumId w:val="26"/>
  </w:num>
  <w:num w:numId="8">
    <w:abstractNumId w:val="1"/>
  </w:num>
  <w:num w:numId="9">
    <w:abstractNumId w:val="2"/>
  </w:num>
  <w:num w:numId="10">
    <w:abstractNumId w:val="3"/>
  </w:num>
  <w:num w:numId="11">
    <w:abstractNumId w:val="13"/>
  </w:num>
  <w:num w:numId="12">
    <w:abstractNumId w:val="16"/>
  </w:num>
  <w:num w:numId="13">
    <w:abstractNumId w:val="10"/>
  </w:num>
  <w:num w:numId="14">
    <w:abstractNumId w:val="23"/>
  </w:num>
  <w:num w:numId="15">
    <w:abstractNumId w:val="21"/>
  </w:num>
  <w:num w:numId="16">
    <w:abstractNumId w:val="19"/>
  </w:num>
  <w:num w:numId="17">
    <w:abstractNumId w:val="17"/>
  </w:num>
  <w:num w:numId="18">
    <w:abstractNumId w:val="25"/>
  </w:num>
  <w:num w:numId="19">
    <w:abstractNumId w:val="0"/>
  </w:num>
  <w:num w:numId="20">
    <w:abstractNumId w:val="11"/>
  </w:num>
  <w:num w:numId="21">
    <w:abstractNumId w:val="18"/>
  </w:num>
  <w:num w:numId="22">
    <w:abstractNumId w:val="7"/>
  </w:num>
  <w:num w:numId="23">
    <w:abstractNumId w:val="9"/>
  </w:num>
  <w:num w:numId="24">
    <w:abstractNumId w:val="8"/>
  </w:num>
  <w:num w:numId="25">
    <w:abstractNumId w:val="12"/>
  </w:num>
  <w:num w:numId="26">
    <w:abstractNumId w:val="5"/>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en-US" w:vendorID="64" w:dllVersion="6" w:nlCheck="1" w:checkStyle="1"/>
  <w:activeWritingStyle w:appName="MSWord" w:lang="it-IT" w:vendorID="64" w:dllVersion="6" w:nlCheck="1" w:checkStyle="0"/>
  <w:activeWritingStyle w:appName="MSWord" w:lang="en-GB" w:vendorID="64" w:dllVersion="6" w:nlCheck="1" w:checkStyle="1"/>
  <w:activeWritingStyle w:appName="MSWord" w:lang="en-GB" w:vendorID="64" w:dllVersion="4096" w:nlCheck="1" w:checkStyle="0"/>
  <w:activeWritingStyle w:appName="MSWord" w:lang="it-IT" w:vendorID="64" w:dllVersion="4096" w:nlCheck="1" w:checkStyle="0"/>
  <w:activeWritingStyle w:appName="MSWord" w:lang="en-US" w:vendorID="64" w:dllVersion="4096" w:nlCheck="1" w:checkStyle="0"/>
  <w:activeWritingStyle w:appName="MSWord" w:lang="it-IT" w:vendorID="64" w:dllVersion="0" w:nlCheck="1" w:checkStyle="0"/>
  <w:activeWritingStyle w:appName="MSWord" w:lang="en-US" w:vendorID="64" w:dllVersion="0" w:nlCheck="1" w:checkStyle="0"/>
  <w:activeWritingStyle w:appName="MSWord" w:lang="en-GB" w:vendorID="64" w:dllVersion="0" w:nlCheck="1" w:checkStyle="0"/>
  <w:proofState w:spelling="clean" w:grammar="clean"/>
  <w:doNotTrackFormatting/>
  <w:defaultTabStop w:val="720"/>
  <w:hyphenationZone w:val="283"/>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EyNDcxMje3NDS3tDRU0lEKTi0uzszPAykwNKsFALRC9tstAAAA"/>
  </w:docVars>
  <w:rsids>
    <w:rsidRoot w:val="0081041F"/>
    <w:rsid w:val="0000014D"/>
    <w:rsid w:val="00000F1D"/>
    <w:rsid w:val="00001B55"/>
    <w:rsid w:val="00001E29"/>
    <w:rsid w:val="00002476"/>
    <w:rsid w:val="000038BE"/>
    <w:rsid w:val="0000430B"/>
    <w:rsid w:val="000051FB"/>
    <w:rsid w:val="0000550A"/>
    <w:rsid w:val="00006C45"/>
    <w:rsid w:val="000079F8"/>
    <w:rsid w:val="00007F91"/>
    <w:rsid w:val="00010107"/>
    <w:rsid w:val="0001213A"/>
    <w:rsid w:val="00012413"/>
    <w:rsid w:val="00012E3B"/>
    <w:rsid w:val="0001373C"/>
    <w:rsid w:val="0001408A"/>
    <w:rsid w:val="0001443E"/>
    <w:rsid w:val="00014D56"/>
    <w:rsid w:val="00014DB4"/>
    <w:rsid w:val="00015166"/>
    <w:rsid w:val="00016487"/>
    <w:rsid w:val="0001700B"/>
    <w:rsid w:val="0001735A"/>
    <w:rsid w:val="00017A18"/>
    <w:rsid w:val="00020F2C"/>
    <w:rsid w:val="00020FC1"/>
    <w:rsid w:val="000217C7"/>
    <w:rsid w:val="000225EB"/>
    <w:rsid w:val="000233AB"/>
    <w:rsid w:val="000239D6"/>
    <w:rsid w:val="00024676"/>
    <w:rsid w:val="00025652"/>
    <w:rsid w:val="0002685D"/>
    <w:rsid w:val="0002738A"/>
    <w:rsid w:val="0002788F"/>
    <w:rsid w:val="00027DD5"/>
    <w:rsid w:val="00033EF8"/>
    <w:rsid w:val="00034165"/>
    <w:rsid w:val="0003469E"/>
    <w:rsid w:val="00035DBB"/>
    <w:rsid w:val="000369B9"/>
    <w:rsid w:val="00037F81"/>
    <w:rsid w:val="0004143A"/>
    <w:rsid w:val="00041E94"/>
    <w:rsid w:val="0004245A"/>
    <w:rsid w:val="000431E5"/>
    <w:rsid w:val="0004343C"/>
    <w:rsid w:val="000434C8"/>
    <w:rsid w:val="0004544D"/>
    <w:rsid w:val="00045831"/>
    <w:rsid w:val="0004606A"/>
    <w:rsid w:val="0004619D"/>
    <w:rsid w:val="00046AC4"/>
    <w:rsid w:val="000472D3"/>
    <w:rsid w:val="00047730"/>
    <w:rsid w:val="000507B3"/>
    <w:rsid w:val="0005137E"/>
    <w:rsid w:val="000514D5"/>
    <w:rsid w:val="00053A9A"/>
    <w:rsid w:val="00054C2C"/>
    <w:rsid w:val="00056D22"/>
    <w:rsid w:val="000602B5"/>
    <w:rsid w:val="000608D0"/>
    <w:rsid w:val="00060CFB"/>
    <w:rsid w:val="00062DB3"/>
    <w:rsid w:val="000638A2"/>
    <w:rsid w:val="00063A4E"/>
    <w:rsid w:val="00063AFA"/>
    <w:rsid w:val="00064111"/>
    <w:rsid w:val="00065E23"/>
    <w:rsid w:val="0006630B"/>
    <w:rsid w:val="000669A9"/>
    <w:rsid w:val="00067374"/>
    <w:rsid w:val="00070241"/>
    <w:rsid w:val="0007084B"/>
    <w:rsid w:val="00071A3F"/>
    <w:rsid w:val="0007453B"/>
    <w:rsid w:val="000802CD"/>
    <w:rsid w:val="00080793"/>
    <w:rsid w:val="00080B20"/>
    <w:rsid w:val="00080C34"/>
    <w:rsid w:val="00081925"/>
    <w:rsid w:val="00081DC0"/>
    <w:rsid w:val="000821BC"/>
    <w:rsid w:val="00082AF0"/>
    <w:rsid w:val="000836C1"/>
    <w:rsid w:val="00083C4A"/>
    <w:rsid w:val="00084333"/>
    <w:rsid w:val="0008453D"/>
    <w:rsid w:val="000914E9"/>
    <w:rsid w:val="00094D39"/>
    <w:rsid w:val="00094EF3"/>
    <w:rsid w:val="00095FFC"/>
    <w:rsid w:val="00096888"/>
    <w:rsid w:val="00097247"/>
    <w:rsid w:val="000974B4"/>
    <w:rsid w:val="00097982"/>
    <w:rsid w:val="000A0EA6"/>
    <w:rsid w:val="000A1A57"/>
    <w:rsid w:val="000A1C40"/>
    <w:rsid w:val="000A2559"/>
    <w:rsid w:val="000A2D97"/>
    <w:rsid w:val="000A2E2C"/>
    <w:rsid w:val="000A3BF4"/>
    <w:rsid w:val="000A43F9"/>
    <w:rsid w:val="000A6572"/>
    <w:rsid w:val="000A6C87"/>
    <w:rsid w:val="000A7086"/>
    <w:rsid w:val="000A7231"/>
    <w:rsid w:val="000B0ECC"/>
    <w:rsid w:val="000B0FEA"/>
    <w:rsid w:val="000B13B8"/>
    <w:rsid w:val="000B24A9"/>
    <w:rsid w:val="000B2ABF"/>
    <w:rsid w:val="000B3211"/>
    <w:rsid w:val="000B415C"/>
    <w:rsid w:val="000B4359"/>
    <w:rsid w:val="000B4B33"/>
    <w:rsid w:val="000B5C84"/>
    <w:rsid w:val="000B6130"/>
    <w:rsid w:val="000B6212"/>
    <w:rsid w:val="000B6E55"/>
    <w:rsid w:val="000B7AA5"/>
    <w:rsid w:val="000C0065"/>
    <w:rsid w:val="000C031A"/>
    <w:rsid w:val="000C47D8"/>
    <w:rsid w:val="000C4B42"/>
    <w:rsid w:val="000C56E9"/>
    <w:rsid w:val="000C5AA4"/>
    <w:rsid w:val="000C6499"/>
    <w:rsid w:val="000C651F"/>
    <w:rsid w:val="000C6DA0"/>
    <w:rsid w:val="000C742F"/>
    <w:rsid w:val="000C7EB2"/>
    <w:rsid w:val="000C7F21"/>
    <w:rsid w:val="000D1438"/>
    <w:rsid w:val="000D160E"/>
    <w:rsid w:val="000D4A2F"/>
    <w:rsid w:val="000D57BC"/>
    <w:rsid w:val="000D60B2"/>
    <w:rsid w:val="000D6E43"/>
    <w:rsid w:val="000D7BBB"/>
    <w:rsid w:val="000E0531"/>
    <w:rsid w:val="000E1557"/>
    <w:rsid w:val="000E15C5"/>
    <w:rsid w:val="000E1A07"/>
    <w:rsid w:val="000E2DFE"/>
    <w:rsid w:val="000E360C"/>
    <w:rsid w:val="000E3A91"/>
    <w:rsid w:val="000E3B4D"/>
    <w:rsid w:val="000E3E26"/>
    <w:rsid w:val="000E5875"/>
    <w:rsid w:val="000E59F2"/>
    <w:rsid w:val="000E64FF"/>
    <w:rsid w:val="000E729A"/>
    <w:rsid w:val="000E7449"/>
    <w:rsid w:val="000F061F"/>
    <w:rsid w:val="000F0FFD"/>
    <w:rsid w:val="000F2F72"/>
    <w:rsid w:val="000F30E7"/>
    <w:rsid w:val="000F36B0"/>
    <w:rsid w:val="000F4502"/>
    <w:rsid w:val="000F4EB0"/>
    <w:rsid w:val="000F5623"/>
    <w:rsid w:val="000F57AB"/>
    <w:rsid w:val="00100A48"/>
    <w:rsid w:val="00100B33"/>
    <w:rsid w:val="00103CF2"/>
    <w:rsid w:val="00104DFB"/>
    <w:rsid w:val="001052CF"/>
    <w:rsid w:val="00105C8F"/>
    <w:rsid w:val="00105D3E"/>
    <w:rsid w:val="00105FC6"/>
    <w:rsid w:val="00106CC5"/>
    <w:rsid w:val="00107907"/>
    <w:rsid w:val="00107B63"/>
    <w:rsid w:val="00107E4C"/>
    <w:rsid w:val="00114BAD"/>
    <w:rsid w:val="001156F6"/>
    <w:rsid w:val="00115DD3"/>
    <w:rsid w:val="0011739A"/>
    <w:rsid w:val="00117617"/>
    <w:rsid w:val="00120DE2"/>
    <w:rsid w:val="001214C3"/>
    <w:rsid w:val="001239EC"/>
    <w:rsid w:val="00123B43"/>
    <w:rsid w:val="00123C98"/>
    <w:rsid w:val="00123DA9"/>
    <w:rsid w:val="001242DE"/>
    <w:rsid w:val="00124DA1"/>
    <w:rsid w:val="001253E7"/>
    <w:rsid w:val="00125596"/>
    <w:rsid w:val="00125DE6"/>
    <w:rsid w:val="00125F3E"/>
    <w:rsid w:val="00130B32"/>
    <w:rsid w:val="001323C3"/>
    <w:rsid w:val="0013268F"/>
    <w:rsid w:val="0013347E"/>
    <w:rsid w:val="001344EC"/>
    <w:rsid w:val="0013461C"/>
    <w:rsid w:val="0013786E"/>
    <w:rsid w:val="00140923"/>
    <w:rsid w:val="00140991"/>
    <w:rsid w:val="00140DBA"/>
    <w:rsid w:val="00140F45"/>
    <w:rsid w:val="0014129A"/>
    <w:rsid w:val="00142372"/>
    <w:rsid w:val="00143D4E"/>
    <w:rsid w:val="001440D3"/>
    <w:rsid w:val="00145659"/>
    <w:rsid w:val="001462A6"/>
    <w:rsid w:val="0014699B"/>
    <w:rsid w:val="001471BE"/>
    <w:rsid w:val="00147B1A"/>
    <w:rsid w:val="00150295"/>
    <w:rsid w:val="00150473"/>
    <w:rsid w:val="00152011"/>
    <w:rsid w:val="00152385"/>
    <w:rsid w:val="0015332C"/>
    <w:rsid w:val="001539A0"/>
    <w:rsid w:val="00154B25"/>
    <w:rsid w:val="001553E8"/>
    <w:rsid w:val="00155A1C"/>
    <w:rsid w:val="001565FD"/>
    <w:rsid w:val="00157651"/>
    <w:rsid w:val="00157EEF"/>
    <w:rsid w:val="001600E3"/>
    <w:rsid w:val="00160867"/>
    <w:rsid w:val="00160B25"/>
    <w:rsid w:val="00160F42"/>
    <w:rsid w:val="00165F6C"/>
    <w:rsid w:val="00166642"/>
    <w:rsid w:val="00167DB8"/>
    <w:rsid w:val="00167E1C"/>
    <w:rsid w:val="001701E8"/>
    <w:rsid w:val="00171249"/>
    <w:rsid w:val="0017140D"/>
    <w:rsid w:val="00171E18"/>
    <w:rsid w:val="0017303D"/>
    <w:rsid w:val="00173BA0"/>
    <w:rsid w:val="001742F1"/>
    <w:rsid w:val="00174B42"/>
    <w:rsid w:val="00175B02"/>
    <w:rsid w:val="0017633E"/>
    <w:rsid w:val="00176E12"/>
    <w:rsid w:val="001777CE"/>
    <w:rsid w:val="001777F9"/>
    <w:rsid w:val="00177A8C"/>
    <w:rsid w:val="001813B9"/>
    <w:rsid w:val="00181A42"/>
    <w:rsid w:val="00182AA0"/>
    <w:rsid w:val="0018665B"/>
    <w:rsid w:val="001866D5"/>
    <w:rsid w:val="0019008B"/>
    <w:rsid w:val="0019023A"/>
    <w:rsid w:val="00191CA3"/>
    <w:rsid w:val="00192BA8"/>
    <w:rsid w:val="00193A55"/>
    <w:rsid w:val="00195C16"/>
    <w:rsid w:val="00197378"/>
    <w:rsid w:val="00197465"/>
    <w:rsid w:val="0019785B"/>
    <w:rsid w:val="001A09A6"/>
    <w:rsid w:val="001A26CD"/>
    <w:rsid w:val="001A2EF0"/>
    <w:rsid w:val="001A371D"/>
    <w:rsid w:val="001A3E30"/>
    <w:rsid w:val="001A635F"/>
    <w:rsid w:val="001A6A12"/>
    <w:rsid w:val="001A6D0A"/>
    <w:rsid w:val="001A7C9F"/>
    <w:rsid w:val="001B15EA"/>
    <w:rsid w:val="001B25F0"/>
    <w:rsid w:val="001B2ED3"/>
    <w:rsid w:val="001B4D3B"/>
    <w:rsid w:val="001B6EF4"/>
    <w:rsid w:val="001B7ED1"/>
    <w:rsid w:val="001C13BD"/>
    <w:rsid w:val="001C184D"/>
    <w:rsid w:val="001C2AD7"/>
    <w:rsid w:val="001C326A"/>
    <w:rsid w:val="001C4F88"/>
    <w:rsid w:val="001C6499"/>
    <w:rsid w:val="001C6857"/>
    <w:rsid w:val="001D0FD2"/>
    <w:rsid w:val="001D1EA4"/>
    <w:rsid w:val="001D3263"/>
    <w:rsid w:val="001D3DA8"/>
    <w:rsid w:val="001D43B2"/>
    <w:rsid w:val="001D56D4"/>
    <w:rsid w:val="001D59BC"/>
    <w:rsid w:val="001D6056"/>
    <w:rsid w:val="001D74E2"/>
    <w:rsid w:val="001E007C"/>
    <w:rsid w:val="001E0BAF"/>
    <w:rsid w:val="001E1853"/>
    <w:rsid w:val="001E35C2"/>
    <w:rsid w:val="001E4291"/>
    <w:rsid w:val="001E4FD1"/>
    <w:rsid w:val="001E61F7"/>
    <w:rsid w:val="001E7445"/>
    <w:rsid w:val="001E75D2"/>
    <w:rsid w:val="001F001A"/>
    <w:rsid w:val="001F0AF2"/>
    <w:rsid w:val="001F14E6"/>
    <w:rsid w:val="001F16C4"/>
    <w:rsid w:val="001F1C55"/>
    <w:rsid w:val="001F1E5A"/>
    <w:rsid w:val="001F4B95"/>
    <w:rsid w:val="001F5F3C"/>
    <w:rsid w:val="002009D0"/>
    <w:rsid w:val="0020115C"/>
    <w:rsid w:val="00201905"/>
    <w:rsid w:val="0020292D"/>
    <w:rsid w:val="002045E9"/>
    <w:rsid w:val="00205B8E"/>
    <w:rsid w:val="002062B5"/>
    <w:rsid w:val="00207243"/>
    <w:rsid w:val="0020756C"/>
    <w:rsid w:val="0021088A"/>
    <w:rsid w:val="00210D16"/>
    <w:rsid w:val="00211096"/>
    <w:rsid w:val="00211EAA"/>
    <w:rsid w:val="0021207B"/>
    <w:rsid w:val="00212345"/>
    <w:rsid w:val="00213D25"/>
    <w:rsid w:val="00214ABC"/>
    <w:rsid w:val="002155FB"/>
    <w:rsid w:val="00216AB8"/>
    <w:rsid w:val="002176F1"/>
    <w:rsid w:val="00217CE3"/>
    <w:rsid w:val="00220323"/>
    <w:rsid w:val="00221905"/>
    <w:rsid w:val="0022279C"/>
    <w:rsid w:val="00222B46"/>
    <w:rsid w:val="00222C6D"/>
    <w:rsid w:val="00222CC3"/>
    <w:rsid w:val="0022329B"/>
    <w:rsid w:val="00223C02"/>
    <w:rsid w:val="00224CE8"/>
    <w:rsid w:val="002256AE"/>
    <w:rsid w:val="002269B5"/>
    <w:rsid w:val="00227A96"/>
    <w:rsid w:val="00227DD5"/>
    <w:rsid w:val="002306CC"/>
    <w:rsid w:val="00231280"/>
    <w:rsid w:val="00232763"/>
    <w:rsid w:val="00233603"/>
    <w:rsid w:val="00233B6A"/>
    <w:rsid w:val="00234510"/>
    <w:rsid w:val="00234735"/>
    <w:rsid w:val="00236565"/>
    <w:rsid w:val="00236DA6"/>
    <w:rsid w:val="0024079D"/>
    <w:rsid w:val="00240946"/>
    <w:rsid w:val="00242279"/>
    <w:rsid w:val="002422E7"/>
    <w:rsid w:val="002423DA"/>
    <w:rsid w:val="0024247D"/>
    <w:rsid w:val="00242BFE"/>
    <w:rsid w:val="00244990"/>
    <w:rsid w:val="00244C08"/>
    <w:rsid w:val="0024566B"/>
    <w:rsid w:val="00245FE0"/>
    <w:rsid w:val="00246FA1"/>
    <w:rsid w:val="00247E47"/>
    <w:rsid w:val="0025022D"/>
    <w:rsid w:val="00250EFE"/>
    <w:rsid w:val="002518A1"/>
    <w:rsid w:val="00251A73"/>
    <w:rsid w:val="00252EFA"/>
    <w:rsid w:val="002533B1"/>
    <w:rsid w:val="0025344D"/>
    <w:rsid w:val="00254A2E"/>
    <w:rsid w:val="002553FE"/>
    <w:rsid w:val="0025584A"/>
    <w:rsid w:val="0025792E"/>
    <w:rsid w:val="00257B7F"/>
    <w:rsid w:val="00257E5B"/>
    <w:rsid w:val="00260053"/>
    <w:rsid w:val="00260B02"/>
    <w:rsid w:val="00260D94"/>
    <w:rsid w:val="0026148C"/>
    <w:rsid w:val="00261F88"/>
    <w:rsid w:val="00264814"/>
    <w:rsid w:val="002670AB"/>
    <w:rsid w:val="002673AC"/>
    <w:rsid w:val="002700C2"/>
    <w:rsid w:val="00271ECD"/>
    <w:rsid w:val="00272D3B"/>
    <w:rsid w:val="00273256"/>
    <w:rsid w:val="0027478F"/>
    <w:rsid w:val="00274931"/>
    <w:rsid w:val="00277A7F"/>
    <w:rsid w:val="00280356"/>
    <w:rsid w:val="00280499"/>
    <w:rsid w:val="00280DC6"/>
    <w:rsid w:val="002810FE"/>
    <w:rsid w:val="00282C08"/>
    <w:rsid w:val="0028373C"/>
    <w:rsid w:val="00283887"/>
    <w:rsid w:val="0028392B"/>
    <w:rsid w:val="00284C56"/>
    <w:rsid w:val="00285579"/>
    <w:rsid w:val="00285778"/>
    <w:rsid w:val="002874B5"/>
    <w:rsid w:val="0028787F"/>
    <w:rsid w:val="00290441"/>
    <w:rsid w:val="0029123F"/>
    <w:rsid w:val="002916EE"/>
    <w:rsid w:val="0029225A"/>
    <w:rsid w:val="00292FA4"/>
    <w:rsid w:val="00295585"/>
    <w:rsid w:val="00295627"/>
    <w:rsid w:val="002966D4"/>
    <w:rsid w:val="00297762"/>
    <w:rsid w:val="002A0081"/>
    <w:rsid w:val="002A0A70"/>
    <w:rsid w:val="002A0C29"/>
    <w:rsid w:val="002A1F45"/>
    <w:rsid w:val="002A29AF"/>
    <w:rsid w:val="002A2C15"/>
    <w:rsid w:val="002A328C"/>
    <w:rsid w:val="002A62AB"/>
    <w:rsid w:val="002A635F"/>
    <w:rsid w:val="002A6D5B"/>
    <w:rsid w:val="002A7CD5"/>
    <w:rsid w:val="002B0817"/>
    <w:rsid w:val="002B0CDE"/>
    <w:rsid w:val="002B0E04"/>
    <w:rsid w:val="002B1A78"/>
    <w:rsid w:val="002B1FE6"/>
    <w:rsid w:val="002B28BF"/>
    <w:rsid w:val="002B29A9"/>
    <w:rsid w:val="002B3EAB"/>
    <w:rsid w:val="002B4C5B"/>
    <w:rsid w:val="002B5D87"/>
    <w:rsid w:val="002B649F"/>
    <w:rsid w:val="002B6DAF"/>
    <w:rsid w:val="002B7013"/>
    <w:rsid w:val="002B785E"/>
    <w:rsid w:val="002C0322"/>
    <w:rsid w:val="002C0629"/>
    <w:rsid w:val="002C0AB3"/>
    <w:rsid w:val="002C0AB6"/>
    <w:rsid w:val="002C10BF"/>
    <w:rsid w:val="002C129B"/>
    <w:rsid w:val="002C1537"/>
    <w:rsid w:val="002C3DF4"/>
    <w:rsid w:val="002C43C4"/>
    <w:rsid w:val="002C4E42"/>
    <w:rsid w:val="002C6816"/>
    <w:rsid w:val="002C6B53"/>
    <w:rsid w:val="002C6D03"/>
    <w:rsid w:val="002D0747"/>
    <w:rsid w:val="002D1865"/>
    <w:rsid w:val="002D311B"/>
    <w:rsid w:val="002D37CB"/>
    <w:rsid w:val="002D4727"/>
    <w:rsid w:val="002D78B4"/>
    <w:rsid w:val="002D7EF2"/>
    <w:rsid w:val="002E1933"/>
    <w:rsid w:val="002E1D12"/>
    <w:rsid w:val="002E35F4"/>
    <w:rsid w:val="002E403E"/>
    <w:rsid w:val="002E4270"/>
    <w:rsid w:val="002E45B6"/>
    <w:rsid w:val="002E53FA"/>
    <w:rsid w:val="002E59A6"/>
    <w:rsid w:val="002E6235"/>
    <w:rsid w:val="002E6547"/>
    <w:rsid w:val="002E6A9E"/>
    <w:rsid w:val="002F0571"/>
    <w:rsid w:val="002F168C"/>
    <w:rsid w:val="002F3DD2"/>
    <w:rsid w:val="002F4601"/>
    <w:rsid w:val="002F7C74"/>
    <w:rsid w:val="00300DFE"/>
    <w:rsid w:val="00300F98"/>
    <w:rsid w:val="0030116A"/>
    <w:rsid w:val="00301265"/>
    <w:rsid w:val="00301C15"/>
    <w:rsid w:val="003026DB"/>
    <w:rsid w:val="00302869"/>
    <w:rsid w:val="00302A97"/>
    <w:rsid w:val="003030BA"/>
    <w:rsid w:val="00303423"/>
    <w:rsid w:val="003035DE"/>
    <w:rsid w:val="00304EC6"/>
    <w:rsid w:val="00305E8F"/>
    <w:rsid w:val="003069E0"/>
    <w:rsid w:val="00306D1A"/>
    <w:rsid w:val="003070D9"/>
    <w:rsid w:val="00307C0A"/>
    <w:rsid w:val="0031312B"/>
    <w:rsid w:val="003138F4"/>
    <w:rsid w:val="00316442"/>
    <w:rsid w:val="00317EF6"/>
    <w:rsid w:val="003209C0"/>
    <w:rsid w:val="00321891"/>
    <w:rsid w:val="0032192F"/>
    <w:rsid w:val="0032301F"/>
    <w:rsid w:val="00323609"/>
    <w:rsid w:val="00323826"/>
    <w:rsid w:val="00324B22"/>
    <w:rsid w:val="00324CE6"/>
    <w:rsid w:val="003275CA"/>
    <w:rsid w:val="00327639"/>
    <w:rsid w:val="0032767D"/>
    <w:rsid w:val="00327789"/>
    <w:rsid w:val="00330378"/>
    <w:rsid w:val="003303F8"/>
    <w:rsid w:val="00330CE0"/>
    <w:rsid w:val="00331387"/>
    <w:rsid w:val="003326B3"/>
    <w:rsid w:val="00332DD8"/>
    <w:rsid w:val="003334B2"/>
    <w:rsid w:val="00333590"/>
    <w:rsid w:val="00334191"/>
    <w:rsid w:val="003359AB"/>
    <w:rsid w:val="00335D19"/>
    <w:rsid w:val="003404F7"/>
    <w:rsid w:val="00341C20"/>
    <w:rsid w:val="00341C44"/>
    <w:rsid w:val="00343C0B"/>
    <w:rsid w:val="00343D8B"/>
    <w:rsid w:val="0034465D"/>
    <w:rsid w:val="00344B3B"/>
    <w:rsid w:val="0034550A"/>
    <w:rsid w:val="0034768B"/>
    <w:rsid w:val="0035039D"/>
    <w:rsid w:val="00350887"/>
    <w:rsid w:val="00350A4B"/>
    <w:rsid w:val="003515A4"/>
    <w:rsid w:val="00351949"/>
    <w:rsid w:val="00351A0A"/>
    <w:rsid w:val="00351F79"/>
    <w:rsid w:val="00352676"/>
    <w:rsid w:val="00352F98"/>
    <w:rsid w:val="003534A0"/>
    <w:rsid w:val="00353F5F"/>
    <w:rsid w:val="0035568B"/>
    <w:rsid w:val="00355BA4"/>
    <w:rsid w:val="00357AB6"/>
    <w:rsid w:val="00360F1F"/>
    <w:rsid w:val="003621E3"/>
    <w:rsid w:val="00363433"/>
    <w:rsid w:val="00364494"/>
    <w:rsid w:val="003658CC"/>
    <w:rsid w:val="0036723D"/>
    <w:rsid w:val="00367FD5"/>
    <w:rsid w:val="0037046D"/>
    <w:rsid w:val="0037047F"/>
    <w:rsid w:val="003705CB"/>
    <w:rsid w:val="00370A03"/>
    <w:rsid w:val="00370BFE"/>
    <w:rsid w:val="0037226F"/>
    <w:rsid w:val="003731FE"/>
    <w:rsid w:val="00373E24"/>
    <w:rsid w:val="00374EA4"/>
    <w:rsid w:val="003768F7"/>
    <w:rsid w:val="00376DE3"/>
    <w:rsid w:val="003771B6"/>
    <w:rsid w:val="00380AB2"/>
    <w:rsid w:val="00381888"/>
    <w:rsid w:val="003828B9"/>
    <w:rsid w:val="00384063"/>
    <w:rsid w:val="0038520C"/>
    <w:rsid w:val="003867B5"/>
    <w:rsid w:val="00392AA1"/>
    <w:rsid w:val="003930BB"/>
    <w:rsid w:val="003932B5"/>
    <w:rsid w:val="00394443"/>
    <w:rsid w:val="003950B7"/>
    <w:rsid w:val="00397E06"/>
    <w:rsid w:val="003A0097"/>
    <w:rsid w:val="003A1751"/>
    <w:rsid w:val="003A2533"/>
    <w:rsid w:val="003A40AB"/>
    <w:rsid w:val="003A4487"/>
    <w:rsid w:val="003A4583"/>
    <w:rsid w:val="003A5976"/>
    <w:rsid w:val="003A62B4"/>
    <w:rsid w:val="003A6BD5"/>
    <w:rsid w:val="003A7677"/>
    <w:rsid w:val="003B086E"/>
    <w:rsid w:val="003B2B4A"/>
    <w:rsid w:val="003B2E44"/>
    <w:rsid w:val="003B2F03"/>
    <w:rsid w:val="003B49FB"/>
    <w:rsid w:val="003B544F"/>
    <w:rsid w:val="003B6677"/>
    <w:rsid w:val="003B6FA8"/>
    <w:rsid w:val="003B74A5"/>
    <w:rsid w:val="003B7C1B"/>
    <w:rsid w:val="003C108B"/>
    <w:rsid w:val="003C14D8"/>
    <w:rsid w:val="003C2139"/>
    <w:rsid w:val="003C21BC"/>
    <w:rsid w:val="003C3691"/>
    <w:rsid w:val="003C36AD"/>
    <w:rsid w:val="003C3DE0"/>
    <w:rsid w:val="003C6637"/>
    <w:rsid w:val="003D0AD3"/>
    <w:rsid w:val="003D133F"/>
    <w:rsid w:val="003D202C"/>
    <w:rsid w:val="003D2996"/>
    <w:rsid w:val="003D4CC6"/>
    <w:rsid w:val="003D6494"/>
    <w:rsid w:val="003E0806"/>
    <w:rsid w:val="003E0973"/>
    <w:rsid w:val="003E1308"/>
    <w:rsid w:val="003E1DD1"/>
    <w:rsid w:val="003E2303"/>
    <w:rsid w:val="003E37E6"/>
    <w:rsid w:val="003E3AE8"/>
    <w:rsid w:val="003E3B2B"/>
    <w:rsid w:val="003E4235"/>
    <w:rsid w:val="003E42E1"/>
    <w:rsid w:val="003E4C5E"/>
    <w:rsid w:val="003E4CDB"/>
    <w:rsid w:val="003E55B2"/>
    <w:rsid w:val="003E5CD5"/>
    <w:rsid w:val="003E657A"/>
    <w:rsid w:val="003E69AC"/>
    <w:rsid w:val="003F18B6"/>
    <w:rsid w:val="003F21FF"/>
    <w:rsid w:val="003F2B4A"/>
    <w:rsid w:val="003F3A23"/>
    <w:rsid w:val="003F3C87"/>
    <w:rsid w:val="003F68AA"/>
    <w:rsid w:val="00400CB7"/>
    <w:rsid w:val="00400FE7"/>
    <w:rsid w:val="004014DB"/>
    <w:rsid w:val="00401673"/>
    <w:rsid w:val="0040188D"/>
    <w:rsid w:val="0040261F"/>
    <w:rsid w:val="00402FAF"/>
    <w:rsid w:val="004045FA"/>
    <w:rsid w:val="00404EE9"/>
    <w:rsid w:val="004052E4"/>
    <w:rsid w:val="004054A8"/>
    <w:rsid w:val="0040571E"/>
    <w:rsid w:val="004074A3"/>
    <w:rsid w:val="00410886"/>
    <w:rsid w:val="00410E4D"/>
    <w:rsid w:val="00410FB5"/>
    <w:rsid w:val="0041121B"/>
    <w:rsid w:val="004113F8"/>
    <w:rsid w:val="00411796"/>
    <w:rsid w:val="004118A7"/>
    <w:rsid w:val="0041294E"/>
    <w:rsid w:val="0041358F"/>
    <w:rsid w:val="00415578"/>
    <w:rsid w:val="00416849"/>
    <w:rsid w:val="00416C34"/>
    <w:rsid w:val="004179FE"/>
    <w:rsid w:val="00417A1A"/>
    <w:rsid w:val="00420DDF"/>
    <w:rsid w:val="004212A6"/>
    <w:rsid w:val="00423638"/>
    <w:rsid w:val="00423825"/>
    <w:rsid w:val="00423B22"/>
    <w:rsid w:val="00424755"/>
    <w:rsid w:val="004263E7"/>
    <w:rsid w:val="00426B8C"/>
    <w:rsid w:val="00426C86"/>
    <w:rsid w:val="004300AD"/>
    <w:rsid w:val="0043045A"/>
    <w:rsid w:val="0043211F"/>
    <w:rsid w:val="00432127"/>
    <w:rsid w:val="00432B51"/>
    <w:rsid w:val="0043455D"/>
    <w:rsid w:val="00436945"/>
    <w:rsid w:val="00436E5F"/>
    <w:rsid w:val="00440580"/>
    <w:rsid w:val="00441342"/>
    <w:rsid w:val="00442613"/>
    <w:rsid w:val="00443622"/>
    <w:rsid w:val="00444631"/>
    <w:rsid w:val="00444A49"/>
    <w:rsid w:val="00445FBE"/>
    <w:rsid w:val="00446561"/>
    <w:rsid w:val="004467A3"/>
    <w:rsid w:val="0044772B"/>
    <w:rsid w:val="0045014E"/>
    <w:rsid w:val="004513A1"/>
    <w:rsid w:val="00451582"/>
    <w:rsid w:val="00452AE2"/>
    <w:rsid w:val="00454634"/>
    <w:rsid w:val="00454F3C"/>
    <w:rsid w:val="00455479"/>
    <w:rsid w:val="00455738"/>
    <w:rsid w:val="00456A6E"/>
    <w:rsid w:val="004575B6"/>
    <w:rsid w:val="00460167"/>
    <w:rsid w:val="00461D6E"/>
    <w:rsid w:val="0046423F"/>
    <w:rsid w:val="00464472"/>
    <w:rsid w:val="0046691B"/>
    <w:rsid w:val="0046726E"/>
    <w:rsid w:val="0046777B"/>
    <w:rsid w:val="0047026B"/>
    <w:rsid w:val="00470BF8"/>
    <w:rsid w:val="00471B2A"/>
    <w:rsid w:val="004726A8"/>
    <w:rsid w:val="004745AA"/>
    <w:rsid w:val="0047649A"/>
    <w:rsid w:val="004767A7"/>
    <w:rsid w:val="00476EA2"/>
    <w:rsid w:val="00477AA0"/>
    <w:rsid w:val="00480233"/>
    <w:rsid w:val="00480AC1"/>
    <w:rsid w:val="004814D5"/>
    <w:rsid w:val="00481568"/>
    <w:rsid w:val="00483F5F"/>
    <w:rsid w:val="00484100"/>
    <w:rsid w:val="00484FFF"/>
    <w:rsid w:val="0048505A"/>
    <w:rsid w:val="00485697"/>
    <w:rsid w:val="00485A36"/>
    <w:rsid w:val="004863CB"/>
    <w:rsid w:val="00486814"/>
    <w:rsid w:val="00486AAA"/>
    <w:rsid w:val="00486F27"/>
    <w:rsid w:val="0049114D"/>
    <w:rsid w:val="004911EB"/>
    <w:rsid w:val="0049128F"/>
    <w:rsid w:val="00491878"/>
    <w:rsid w:val="00491BBE"/>
    <w:rsid w:val="00491D8B"/>
    <w:rsid w:val="004921F6"/>
    <w:rsid w:val="0049245D"/>
    <w:rsid w:val="0049326F"/>
    <w:rsid w:val="00494C2F"/>
    <w:rsid w:val="004954C4"/>
    <w:rsid w:val="00495926"/>
    <w:rsid w:val="00496370"/>
    <w:rsid w:val="004966F5"/>
    <w:rsid w:val="004975BF"/>
    <w:rsid w:val="004A0B86"/>
    <w:rsid w:val="004A271F"/>
    <w:rsid w:val="004A2CB4"/>
    <w:rsid w:val="004A2E4F"/>
    <w:rsid w:val="004A338C"/>
    <w:rsid w:val="004A3F82"/>
    <w:rsid w:val="004A48A0"/>
    <w:rsid w:val="004A5B1C"/>
    <w:rsid w:val="004A5D4E"/>
    <w:rsid w:val="004A6419"/>
    <w:rsid w:val="004A6B87"/>
    <w:rsid w:val="004A71B9"/>
    <w:rsid w:val="004B16CA"/>
    <w:rsid w:val="004B194A"/>
    <w:rsid w:val="004B28CF"/>
    <w:rsid w:val="004B31D5"/>
    <w:rsid w:val="004B3F10"/>
    <w:rsid w:val="004B466B"/>
    <w:rsid w:val="004B6547"/>
    <w:rsid w:val="004B7D4B"/>
    <w:rsid w:val="004C138E"/>
    <w:rsid w:val="004C2567"/>
    <w:rsid w:val="004C2D8E"/>
    <w:rsid w:val="004C3329"/>
    <w:rsid w:val="004C38F7"/>
    <w:rsid w:val="004C5F11"/>
    <w:rsid w:val="004C7750"/>
    <w:rsid w:val="004D1119"/>
    <w:rsid w:val="004D1613"/>
    <w:rsid w:val="004D1B5C"/>
    <w:rsid w:val="004D3307"/>
    <w:rsid w:val="004D36C7"/>
    <w:rsid w:val="004D3BA7"/>
    <w:rsid w:val="004D3F2D"/>
    <w:rsid w:val="004D4324"/>
    <w:rsid w:val="004D528E"/>
    <w:rsid w:val="004D5557"/>
    <w:rsid w:val="004D5561"/>
    <w:rsid w:val="004D601F"/>
    <w:rsid w:val="004D6524"/>
    <w:rsid w:val="004D7959"/>
    <w:rsid w:val="004E0DDB"/>
    <w:rsid w:val="004E1434"/>
    <w:rsid w:val="004E1BC4"/>
    <w:rsid w:val="004E2043"/>
    <w:rsid w:val="004E2BB0"/>
    <w:rsid w:val="004E3111"/>
    <w:rsid w:val="004E3EDC"/>
    <w:rsid w:val="004E5CE9"/>
    <w:rsid w:val="004F1DA5"/>
    <w:rsid w:val="004F39CA"/>
    <w:rsid w:val="004F3B66"/>
    <w:rsid w:val="004F5863"/>
    <w:rsid w:val="004F6E8B"/>
    <w:rsid w:val="004F6EAF"/>
    <w:rsid w:val="004F7823"/>
    <w:rsid w:val="0050045F"/>
    <w:rsid w:val="00502B95"/>
    <w:rsid w:val="005036B7"/>
    <w:rsid w:val="00503C05"/>
    <w:rsid w:val="005042D7"/>
    <w:rsid w:val="005049A8"/>
    <w:rsid w:val="00504B94"/>
    <w:rsid w:val="0050605A"/>
    <w:rsid w:val="005104B6"/>
    <w:rsid w:val="005111FE"/>
    <w:rsid w:val="00512C21"/>
    <w:rsid w:val="00514F1B"/>
    <w:rsid w:val="00516233"/>
    <w:rsid w:val="00516644"/>
    <w:rsid w:val="00520108"/>
    <w:rsid w:val="00520935"/>
    <w:rsid w:val="0052094F"/>
    <w:rsid w:val="0052429E"/>
    <w:rsid w:val="00524B61"/>
    <w:rsid w:val="0052559C"/>
    <w:rsid w:val="005255D3"/>
    <w:rsid w:val="00525A04"/>
    <w:rsid w:val="00526320"/>
    <w:rsid w:val="005270CE"/>
    <w:rsid w:val="00530535"/>
    <w:rsid w:val="00531941"/>
    <w:rsid w:val="005319A3"/>
    <w:rsid w:val="005324A7"/>
    <w:rsid w:val="00533520"/>
    <w:rsid w:val="005336DD"/>
    <w:rsid w:val="00534A7C"/>
    <w:rsid w:val="005362A8"/>
    <w:rsid w:val="00536920"/>
    <w:rsid w:val="00536CF3"/>
    <w:rsid w:val="0053721B"/>
    <w:rsid w:val="005415AB"/>
    <w:rsid w:val="00541B66"/>
    <w:rsid w:val="00541CA3"/>
    <w:rsid w:val="0054296A"/>
    <w:rsid w:val="005433FA"/>
    <w:rsid w:val="00544B0F"/>
    <w:rsid w:val="00545A16"/>
    <w:rsid w:val="0054629D"/>
    <w:rsid w:val="00546658"/>
    <w:rsid w:val="005477BB"/>
    <w:rsid w:val="00550D76"/>
    <w:rsid w:val="0055218E"/>
    <w:rsid w:val="00553C75"/>
    <w:rsid w:val="005570F6"/>
    <w:rsid w:val="00557100"/>
    <w:rsid w:val="00562098"/>
    <w:rsid w:val="00562C5D"/>
    <w:rsid w:val="00563089"/>
    <w:rsid w:val="00563DB6"/>
    <w:rsid w:val="00565056"/>
    <w:rsid w:val="0056509F"/>
    <w:rsid w:val="00570B75"/>
    <w:rsid w:val="00570E42"/>
    <w:rsid w:val="00571BA0"/>
    <w:rsid w:val="0057285C"/>
    <w:rsid w:val="005728DE"/>
    <w:rsid w:val="00573838"/>
    <w:rsid w:val="00574F3F"/>
    <w:rsid w:val="00575599"/>
    <w:rsid w:val="005802A4"/>
    <w:rsid w:val="0058103B"/>
    <w:rsid w:val="00582875"/>
    <w:rsid w:val="005843A5"/>
    <w:rsid w:val="005851A1"/>
    <w:rsid w:val="005863F7"/>
    <w:rsid w:val="00586715"/>
    <w:rsid w:val="00586D54"/>
    <w:rsid w:val="005871ED"/>
    <w:rsid w:val="005875B6"/>
    <w:rsid w:val="00587A77"/>
    <w:rsid w:val="00591342"/>
    <w:rsid w:val="0059143B"/>
    <w:rsid w:val="005919D9"/>
    <w:rsid w:val="00593B77"/>
    <w:rsid w:val="00595C49"/>
    <w:rsid w:val="005962A1"/>
    <w:rsid w:val="005A03F0"/>
    <w:rsid w:val="005A0F37"/>
    <w:rsid w:val="005A3090"/>
    <w:rsid w:val="005A3287"/>
    <w:rsid w:val="005A360E"/>
    <w:rsid w:val="005A4B2D"/>
    <w:rsid w:val="005A523D"/>
    <w:rsid w:val="005A60F9"/>
    <w:rsid w:val="005A68C7"/>
    <w:rsid w:val="005A6F85"/>
    <w:rsid w:val="005A7821"/>
    <w:rsid w:val="005B020C"/>
    <w:rsid w:val="005B10AA"/>
    <w:rsid w:val="005B1A0C"/>
    <w:rsid w:val="005B1B6A"/>
    <w:rsid w:val="005B22BA"/>
    <w:rsid w:val="005B23E2"/>
    <w:rsid w:val="005B3178"/>
    <w:rsid w:val="005B33B4"/>
    <w:rsid w:val="005B3F03"/>
    <w:rsid w:val="005B5C48"/>
    <w:rsid w:val="005B5F78"/>
    <w:rsid w:val="005B67BB"/>
    <w:rsid w:val="005B6D24"/>
    <w:rsid w:val="005B6FE6"/>
    <w:rsid w:val="005B7D97"/>
    <w:rsid w:val="005C06C7"/>
    <w:rsid w:val="005C0C59"/>
    <w:rsid w:val="005C0FBD"/>
    <w:rsid w:val="005C12EE"/>
    <w:rsid w:val="005C4535"/>
    <w:rsid w:val="005C6011"/>
    <w:rsid w:val="005D4064"/>
    <w:rsid w:val="005D623B"/>
    <w:rsid w:val="005D63F9"/>
    <w:rsid w:val="005D686B"/>
    <w:rsid w:val="005D697E"/>
    <w:rsid w:val="005D7A07"/>
    <w:rsid w:val="005D7CA0"/>
    <w:rsid w:val="005E134D"/>
    <w:rsid w:val="005E1D97"/>
    <w:rsid w:val="005E268A"/>
    <w:rsid w:val="005E426B"/>
    <w:rsid w:val="005E62E1"/>
    <w:rsid w:val="005E7A37"/>
    <w:rsid w:val="005F0FD9"/>
    <w:rsid w:val="005F1BD1"/>
    <w:rsid w:val="005F2576"/>
    <w:rsid w:val="005F3049"/>
    <w:rsid w:val="005F3FC2"/>
    <w:rsid w:val="005F49EB"/>
    <w:rsid w:val="005F4A57"/>
    <w:rsid w:val="005F5A55"/>
    <w:rsid w:val="005F6E5D"/>
    <w:rsid w:val="006004AF"/>
    <w:rsid w:val="00602AED"/>
    <w:rsid w:val="00604B78"/>
    <w:rsid w:val="0060507D"/>
    <w:rsid w:val="00606787"/>
    <w:rsid w:val="00606B43"/>
    <w:rsid w:val="0060733C"/>
    <w:rsid w:val="006074F0"/>
    <w:rsid w:val="00607518"/>
    <w:rsid w:val="006076FD"/>
    <w:rsid w:val="00607DF3"/>
    <w:rsid w:val="00610222"/>
    <w:rsid w:val="00612372"/>
    <w:rsid w:val="00613540"/>
    <w:rsid w:val="00613A1F"/>
    <w:rsid w:val="00614D20"/>
    <w:rsid w:val="006150CD"/>
    <w:rsid w:val="006209D0"/>
    <w:rsid w:val="00620CA5"/>
    <w:rsid w:val="006216FA"/>
    <w:rsid w:val="00621B08"/>
    <w:rsid w:val="00622A8B"/>
    <w:rsid w:val="00622F4A"/>
    <w:rsid w:val="006232A6"/>
    <w:rsid w:val="006235A1"/>
    <w:rsid w:val="006236BE"/>
    <w:rsid w:val="006239C7"/>
    <w:rsid w:val="006239E6"/>
    <w:rsid w:val="00623A7E"/>
    <w:rsid w:val="00623E22"/>
    <w:rsid w:val="00624112"/>
    <w:rsid w:val="006244D2"/>
    <w:rsid w:val="00625C5C"/>
    <w:rsid w:val="00625C92"/>
    <w:rsid w:val="00626117"/>
    <w:rsid w:val="00626744"/>
    <w:rsid w:val="00627AEE"/>
    <w:rsid w:val="00627ED5"/>
    <w:rsid w:val="00630C45"/>
    <w:rsid w:val="0063233D"/>
    <w:rsid w:val="0063273E"/>
    <w:rsid w:val="00632D96"/>
    <w:rsid w:val="006333FE"/>
    <w:rsid w:val="0063388B"/>
    <w:rsid w:val="00635004"/>
    <w:rsid w:val="00635950"/>
    <w:rsid w:val="006361A1"/>
    <w:rsid w:val="00636384"/>
    <w:rsid w:val="00636EEB"/>
    <w:rsid w:val="00640315"/>
    <w:rsid w:val="0064281A"/>
    <w:rsid w:val="00642DDD"/>
    <w:rsid w:val="00643A2B"/>
    <w:rsid w:val="0064437E"/>
    <w:rsid w:val="0064549C"/>
    <w:rsid w:val="006466C8"/>
    <w:rsid w:val="006469CE"/>
    <w:rsid w:val="0064797D"/>
    <w:rsid w:val="006503AD"/>
    <w:rsid w:val="006509E4"/>
    <w:rsid w:val="00651004"/>
    <w:rsid w:val="0065196F"/>
    <w:rsid w:val="0065287D"/>
    <w:rsid w:val="00653022"/>
    <w:rsid w:val="00655229"/>
    <w:rsid w:val="006564E3"/>
    <w:rsid w:val="00656512"/>
    <w:rsid w:val="006569DF"/>
    <w:rsid w:val="00656E2D"/>
    <w:rsid w:val="006604D5"/>
    <w:rsid w:val="00661849"/>
    <w:rsid w:val="00661B8D"/>
    <w:rsid w:val="00661CB5"/>
    <w:rsid w:val="00663AEE"/>
    <w:rsid w:val="0066474A"/>
    <w:rsid w:val="00664A46"/>
    <w:rsid w:val="00665906"/>
    <w:rsid w:val="00670DF8"/>
    <w:rsid w:val="00673499"/>
    <w:rsid w:val="00673587"/>
    <w:rsid w:val="00673628"/>
    <w:rsid w:val="00674CE3"/>
    <w:rsid w:val="0067641D"/>
    <w:rsid w:val="00676B8F"/>
    <w:rsid w:val="00677251"/>
    <w:rsid w:val="0067758B"/>
    <w:rsid w:val="00682548"/>
    <w:rsid w:val="00682786"/>
    <w:rsid w:val="00690337"/>
    <w:rsid w:val="006912EA"/>
    <w:rsid w:val="00692021"/>
    <w:rsid w:val="0069229D"/>
    <w:rsid w:val="00694157"/>
    <w:rsid w:val="00694498"/>
    <w:rsid w:val="00694AD4"/>
    <w:rsid w:val="00696215"/>
    <w:rsid w:val="0069636B"/>
    <w:rsid w:val="006963CC"/>
    <w:rsid w:val="00696A38"/>
    <w:rsid w:val="00697AA4"/>
    <w:rsid w:val="00697FA8"/>
    <w:rsid w:val="006A07C5"/>
    <w:rsid w:val="006A12B7"/>
    <w:rsid w:val="006A1325"/>
    <w:rsid w:val="006A1B34"/>
    <w:rsid w:val="006A3C1F"/>
    <w:rsid w:val="006A4857"/>
    <w:rsid w:val="006A6741"/>
    <w:rsid w:val="006A7C54"/>
    <w:rsid w:val="006B0C8F"/>
    <w:rsid w:val="006B12BC"/>
    <w:rsid w:val="006B1A7D"/>
    <w:rsid w:val="006B2939"/>
    <w:rsid w:val="006B5F8B"/>
    <w:rsid w:val="006B6269"/>
    <w:rsid w:val="006C146C"/>
    <w:rsid w:val="006C1677"/>
    <w:rsid w:val="006C27B3"/>
    <w:rsid w:val="006C2AB5"/>
    <w:rsid w:val="006C338F"/>
    <w:rsid w:val="006C34D3"/>
    <w:rsid w:val="006C3543"/>
    <w:rsid w:val="006D1022"/>
    <w:rsid w:val="006D168D"/>
    <w:rsid w:val="006D1A35"/>
    <w:rsid w:val="006D270E"/>
    <w:rsid w:val="006D2EEE"/>
    <w:rsid w:val="006D353E"/>
    <w:rsid w:val="006D474B"/>
    <w:rsid w:val="006D6135"/>
    <w:rsid w:val="006D6CCE"/>
    <w:rsid w:val="006E1491"/>
    <w:rsid w:val="006E4AD2"/>
    <w:rsid w:val="006E4C64"/>
    <w:rsid w:val="006E5E49"/>
    <w:rsid w:val="006E6B92"/>
    <w:rsid w:val="006E6C7D"/>
    <w:rsid w:val="006E6E81"/>
    <w:rsid w:val="006E74AF"/>
    <w:rsid w:val="006E771A"/>
    <w:rsid w:val="006E7AEC"/>
    <w:rsid w:val="006E7E45"/>
    <w:rsid w:val="006F0A2E"/>
    <w:rsid w:val="006F2334"/>
    <w:rsid w:val="006F2452"/>
    <w:rsid w:val="006F36FF"/>
    <w:rsid w:val="006F415E"/>
    <w:rsid w:val="006F5303"/>
    <w:rsid w:val="006F6957"/>
    <w:rsid w:val="006F6EBC"/>
    <w:rsid w:val="006F700B"/>
    <w:rsid w:val="006F7701"/>
    <w:rsid w:val="006F7E25"/>
    <w:rsid w:val="00700D02"/>
    <w:rsid w:val="00701D2F"/>
    <w:rsid w:val="00701D7F"/>
    <w:rsid w:val="007030DA"/>
    <w:rsid w:val="0070657C"/>
    <w:rsid w:val="00706A42"/>
    <w:rsid w:val="00706B66"/>
    <w:rsid w:val="00706CB3"/>
    <w:rsid w:val="007108EB"/>
    <w:rsid w:val="007115CA"/>
    <w:rsid w:val="00712055"/>
    <w:rsid w:val="00712B41"/>
    <w:rsid w:val="00713E4D"/>
    <w:rsid w:val="00714083"/>
    <w:rsid w:val="0071473E"/>
    <w:rsid w:val="00714F34"/>
    <w:rsid w:val="00716861"/>
    <w:rsid w:val="00720096"/>
    <w:rsid w:val="007200D1"/>
    <w:rsid w:val="0072095B"/>
    <w:rsid w:val="00721538"/>
    <w:rsid w:val="007219C7"/>
    <w:rsid w:val="00724043"/>
    <w:rsid w:val="00724153"/>
    <w:rsid w:val="00724823"/>
    <w:rsid w:val="00731C7D"/>
    <w:rsid w:val="00731DBC"/>
    <w:rsid w:val="0073217D"/>
    <w:rsid w:val="00735B8A"/>
    <w:rsid w:val="00735D9B"/>
    <w:rsid w:val="00736067"/>
    <w:rsid w:val="007363FD"/>
    <w:rsid w:val="00737C00"/>
    <w:rsid w:val="00737F3C"/>
    <w:rsid w:val="007409A8"/>
    <w:rsid w:val="00740A81"/>
    <w:rsid w:val="00741ECC"/>
    <w:rsid w:val="0074328F"/>
    <w:rsid w:val="007433AB"/>
    <w:rsid w:val="00743CDA"/>
    <w:rsid w:val="00743DDA"/>
    <w:rsid w:val="00744040"/>
    <w:rsid w:val="0074456B"/>
    <w:rsid w:val="00745A51"/>
    <w:rsid w:val="00745B9B"/>
    <w:rsid w:val="00750074"/>
    <w:rsid w:val="007509E9"/>
    <w:rsid w:val="00751AE7"/>
    <w:rsid w:val="00752932"/>
    <w:rsid w:val="00753A08"/>
    <w:rsid w:val="00754EA6"/>
    <w:rsid w:val="0075626B"/>
    <w:rsid w:val="00756373"/>
    <w:rsid w:val="00756421"/>
    <w:rsid w:val="0075678D"/>
    <w:rsid w:val="0075747F"/>
    <w:rsid w:val="00760B39"/>
    <w:rsid w:val="00760DC8"/>
    <w:rsid w:val="00761741"/>
    <w:rsid w:val="0076205E"/>
    <w:rsid w:val="007625E1"/>
    <w:rsid w:val="00762FB0"/>
    <w:rsid w:val="0076354D"/>
    <w:rsid w:val="00763E4C"/>
    <w:rsid w:val="00764918"/>
    <w:rsid w:val="00765325"/>
    <w:rsid w:val="00765CFE"/>
    <w:rsid w:val="00773EA2"/>
    <w:rsid w:val="007753B3"/>
    <w:rsid w:val="0077654E"/>
    <w:rsid w:val="00776F4D"/>
    <w:rsid w:val="00777252"/>
    <w:rsid w:val="0078023D"/>
    <w:rsid w:val="007815D0"/>
    <w:rsid w:val="00781B02"/>
    <w:rsid w:val="007830C3"/>
    <w:rsid w:val="00783ECF"/>
    <w:rsid w:val="007846B7"/>
    <w:rsid w:val="00785003"/>
    <w:rsid w:val="00785109"/>
    <w:rsid w:val="0078592A"/>
    <w:rsid w:val="00791C05"/>
    <w:rsid w:val="00795440"/>
    <w:rsid w:val="007962C1"/>
    <w:rsid w:val="007968F1"/>
    <w:rsid w:val="007A0D40"/>
    <w:rsid w:val="007A107B"/>
    <w:rsid w:val="007A1433"/>
    <w:rsid w:val="007A394C"/>
    <w:rsid w:val="007A4D8A"/>
    <w:rsid w:val="007A52A5"/>
    <w:rsid w:val="007A5EDC"/>
    <w:rsid w:val="007A7033"/>
    <w:rsid w:val="007A7F16"/>
    <w:rsid w:val="007A7F5C"/>
    <w:rsid w:val="007A7F77"/>
    <w:rsid w:val="007A7FED"/>
    <w:rsid w:val="007B0ECF"/>
    <w:rsid w:val="007B1AC9"/>
    <w:rsid w:val="007B2E69"/>
    <w:rsid w:val="007B336D"/>
    <w:rsid w:val="007B47D0"/>
    <w:rsid w:val="007B4A16"/>
    <w:rsid w:val="007B5691"/>
    <w:rsid w:val="007B69B9"/>
    <w:rsid w:val="007B6A39"/>
    <w:rsid w:val="007C04B5"/>
    <w:rsid w:val="007C1726"/>
    <w:rsid w:val="007C1903"/>
    <w:rsid w:val="007C1EAE"/>
    <w:rsid w:val="007C1F51"/>
    <w:rsid w:val="007C286D"/>
    <w:rsid w:val="007C3800"/>
    <w:rsid w:val="007C4F6F"/>
    <w:rsid w:val="007C5FA4"/>
    <w:rsid w:val="007C65A6"/>
    <w:rsid w:val="007C7659"/>
    <w:rsid w:val="007C79E2"/>
    <w:rsid w:val="007C7BAB"/>
    <w:rsid w:val="007D02C1"/>
    <w:rsid w:val="007D0FDF"/>
    <w:rsid w:val="007D1141"/>
    <w:rsid w:val="007D20BF"/>
    <w:rsid w:val="007D2B95"/>
    <w:rsid w:val="007D2D36"/>
    <w:rsid w:val="007D41B3"/>
    <w:rsid w:val="007D4908"/>
    <w:rsid w:val="007D4B4E"/>
    <w:rsid w:val="007D4D18"/>
    <w:rsid w:val="007D4E78"/>
    <w:rsid w:val="007D52FC"/>
    <w:rsid w:val="007D607B"/>
    <w:rsid w:val="007D638C"/>
    <w:rsid w:val="007D7490"/>
    <w:rsid w:val="007D7713"/>
    <w:rsid w:val="007E0D03"/>
    <w:rsid w:val="007E115F"/>
    <w:rsid w:val="007E1515"/>
    <w:rsid w:val="007E22D9"/>
    <w:rsid w:val="007E3880"/>
    <w:rsid w:val="007E3A5E"/>
    <w:rsid w:val="007E7086"/>
    <w:rsid w:val="007E7B05"/>
    <w:rsid w:val="007E7B22"/>
    <w:rsid w:val="007F012A"/>
    <w:rsid w:val="007F0E43"/>
    <w:rsid w:val="007F23D7"/>
    <w:rsid w:val="007F270B"/>
    <w:rsid w:val="007F47EB"/>
    <w:rsid w:val="007F489A"/>
    <w:rsid w:val="007F5615"/>
    <w:rsid w:val="007F60F8"/>
    <w:rsid w:val="007F61F9"/>
    <w:rsid w:val="007F63B5"/>
    <w:rsid w:val="007F7B4E"/>
    <w:rsid w:val="007F7C20"/>
    <w:rsid w:val="00800549"/>
    <w:rsid w:val="00800717"/>
    <w:rsid w:val="00800977"/>
    <w:rsid w:val="0080137B"/>
    <w:rsid w:val="00801D4C"/>
    <w:rsid w:val="00803589"/>
    <w:rsid w:val="00805408"/>
    <w:rsid w:val="00807015"/>
    <w:rsid w:val="0081041F"/>
    <w:rsid w:val="00811B6C"/>
    <w:rsid w:val="00811E90"/>
    <w:rsid w:val="00812FA7"/>
    <w:rsid w:val="0081330B"/>
    <w:rsid w:val="00813FAD"/>
    <w:rsid w:val="0081461E"/>
    <w:rsid w:val="00815160"/>
    <w:rsid w:val="00815CD7"/>
    <w:rsid w:val="00816DB6"/>
    <w:rsid w:val="008227A8"/>
    <w:rsid w:val="00823B66"/>
    <w:rsid w:val="00825EF4"/>
    <w:rsid w:val="00826018"/>
    <w:rsid w:val="00826761"/>
    <w:rsid w:val="00827A75"/>
    <w:rsid w:val="00827E55"/>
    <w:rsid w:val="00827F39"/>
    <w:rsid w:val="00831497"/>
    <w:rsid w:val="0083215A"/>
    <w:rsid w:val="0083245E"/>
    <w:rsid w:val="00834479"/>
    <w:rsid w:val="00834575"/>
    <w:rsid w:val="0083556B"/>
    <w:rsid w:val="008361B8"/>
    <w:rsid w:val="00836310"/>
    <w:rsid w:val="008417F2"/>
    <w:rsid w:val="0084332B"/>
    <w:rsid w:val="008440B4"/>
    <w:rsid w:val="00844EE0"/>
    <w:rsid w:val="00845766"/>
    <w:rsid w:val="00846355"/>
    <w:rsid w:val="00850743"/>
    <w:rsid w:val="008510CF"/>
    <w:rsid w:val="00853C0A"/>
    <w:rsid w:val="008543FF"/>
    <w:rsid w:val="00854968"/>
    <w:rsid w:val="0085503D"/>
    <w:rsid w:val="00855517"/>
    <w:rsid w:val="00856569"/>
    <w:rsid w:val="00856CA7"/>
    <w:rsid w:val="00856EBC"/>
    <w:rsid w:val="00856FB2"/>
    <w:rsid w:val="00857247"/>
    <w:rsid w:val="00857B7E"/>
    <w:rsid w:val="00860214"/>
    <w:rsid w:val="00860E3E"/>
    <w:rsid w:val="0086212A"/>
    <w:rsid w:val="008625B0"/>
    <w:rsid w:val="00862B5C"/>
    <w:rsid w:val="008633FD"/>
    <w:rsid w:val="00866A12"/>
    <w:rsid w:val="00867D72"/>
    <w:rsid w:val="00870D2A"/>
    <w:rsid w:val="008711BC"/>
    <w:rsid w:val="00871353"/>
    <w:rsid w:val="008752B1"/>
    <w:rsid w:val="00876297"/>
    <w:rsid w:val="00876CF3"/>
    <w:rsid w:val="00881499"/>
    <w:rsid w:val="008816F4"/>
    <w:rsid w:val="00881F6B"/>
    <w:rsid w:val="00883E58"/>
    <w:rsid w:val="00884B7C"/>
    <w:rsid w:val="008858B8"/>
    <w:rsid w:val="008858F9"/>
    <w:rsid w:val="00885B25"/>
    <w:rsid w:val="00886E83"/>
    <w:rsid w:val="00887966"/>
    <w:rsid w:val="008914FA"/>
    <w:rsid w:val="0089245D"/>
    <w:rsid w:val="00892548"/>
    <w:rsid w:val="00892870"/>
    <w:rsid w:val="00895D68"/>
    <w:rsid w:val="008969FC"/>
    <w:rsid w:val="00896B74"/>
    <w:rsid w:val="00896E75"/>
    <w:rsid w:val="00897B05"/>
    <w:rsid w:val="008A02E3"/>
    <w:rsid w:val="008A2863"/>
    <w:rsid w:val="008A2C40"/>
    <w:rsid w:val="008A445C"/>
    <w:rsid w:val="008A4CC3"/>
    <w:rsid w:val="008A5462"/>
    <w:rsid w:val="008A7CA1"/>
    <w:rsid w:val="008B0578"/>
    <w:rsid w:val="008B0E87"/>
    <w:rsid w:val="008B122E"/>
    <w:rsid w:val="008B228E"/>
    <w:rsid w:val="008B393B"/>
    <w:rsid w:val="008B39F0"/>
    <w:rsid w:val="008B4904"/>
    <w:rsid w:val="008B4CB5"/>
    <w:rsid w:val="008B56EB"/>
    <w:rsid w:val="008B5B22"/>
    <w:rsid w:val="008B6945"/>
    <w:rsid w:val="008B730B"/>
    <w:rsid w:val="008B7A7F"/>
    <w:rsid w:val="008C0374"/>
    <w:rsid w:val="008C0838"/>
    <w:rsid w:val="008C21B0"/>
    <w:rsid w:val="008C38C6"/>
    <w:rsid w:val="008C393A"/>
    <w:rsid w:val="008C3B18"/>
    <w:rsid w:val="008C5667"/>
    <w:rsid w:val="008C5B9F"/>
    <w:rsid w:val="008C6E5D"/>
    <w:rsid w:val="008D1E73"/>
    <w:rsid w:val="008D3F44"/>
    <w:rsid w:val="008D44B8"/>
    <w:rsid w:val="008D5AFF"/>
    <w:rsid w:val="008E088A"/>
    <w:rsid w:val="008E0ADF"/>
    <w:rsid w:val="008E1EC4"/>
    <w:rsid w:val="008E2CD3"/>
    <w:rsid w:val="008E2CDB"/>
    <w:rsid w:val="008E2DCE"/>
    <w:rsid w:val="008E3BD1"/>
    <w:rsid w:val="008E4088"/>
    <w:rsid w:val="008E5A52"/>
    <w:rsid w:val="008E6056"/>
    <w:rsid w:val="008E6673"/>
    <w:rsid w:val="008E7356"/>
    <w:rsid w:val="008F189C"/>
    <w:rsid w:val="008F1A43"/>
    <w:rsid w:val="008F2ACC"/>
    <w:rsid w:val="008F321C"/>
    <w:rsid w:val="008F32E5"/>
    <w:rsid w:val="008F3D45"/>
    <w:rsid w:val="008F412E"/>
    <w:rsid w:val="008F4A39"/>
    <w:rsid w:val="008F59BF"/>
    <w:rsid w:val="008F60D3"/>
    <w:rsid w:val="008F6CFD"/>
    <w:rsid w:val="008F7070"/>
    <w:rsid w:val="008F70E9"/>
    <w:rsid w:val="008F7CB7"/>
    <w:rsid w:val="009005AD"/>
    <w:rsid w:val="00900881"/>
    <w:rsid w:val="00900C4E"/>
    <w:rsid w:val="0090192D"/>
    <w:rsid w:val="00901E59"/>
    <w:rsid w:val="00902B48"/>
    <w:rsid w:val="00903BCB"/>
    <w:rsid w:val="00904732"/>
    <w:rsid w:val="0090661A"/>
    <w:rsid w:val="00911F1E"/>
    <w:rsid w:val="009128F4"/>
    <w:rsid w:val="00913AAB"/>
    <w:rsid w:val="00913F3E"/>
    <w:rsid w:val="00914DE4"/>
    <w:rsid w:val="00915147"/>
    <w:rsid w:val="009156BC"/>
    <w:rsid w:val="0091573C"/>
    <w:rsid w:val="009161A5"/>
    <w:rsid w:val="00917467"/>
    <w:rsid w:val="00917A0C"/>
    <w:rsid w:val="00920103"/>
    <w:rsid w:val="00920737"/>
    <w:rsid w:val="00921214"/>
    <w:rsid w:val="0092241D"/>
    <w:rsid w:val="009239A6"/>
    <w:rsid w:val="0092628C"/>
    <w:rsid w:val="00927DB4"/>
    <w:rsid w:val="00930113"/>
    <w:rsid w:val="009313B3"/>
    <w:rsid w:val="00931CC1"/>
    <w:rsid w:val="009334A9"/>
    <w:rsid w:val="009338E3"/>
    <w:rsid w:val="009344BA"/>
    <w:rsid w:val="00935F72"/>
    <w:rsid w:val="00936443"/>
    <w:rsid w:val="00936B50"/>
    <w:rsid w:val="00937456"/>
    <w:rsid w:val="0093782D"/>
    <w:rsid w:val="00941C8F"/>
    <w:rsid w:val="009423AF"/>
    <w:rsid w:val="00942D8A"/>
    <w:rsid w:val="0094491D"/>
    <w:rsid w:val="00945138"/>
    <w:rsid w:val="00945192"/>
    <w:rsid w:val="00945487"/>
    <w:rsid w:val="009454BA"/>
    <w:rsid w:val="009456C2"/>
    <w:rsid w:val="009460D9"/>
    <w:rsid w:val="0094643E"/>
    <w:rsid w:val="00950828"/>
    <w:rsid w:val="00953694"/>
    <w:rsid w:val="00953DA2"/>
    <w:rsid w:val="00955E7B"/>
    <w:rsid w:val="00956A2B"/>
    <w:rsid w:val="00956BBB"/>
    <w:rsid w:val="00956CB5"/>
    <w:rsid w:val="00957003"/>
    <w:rsid w:val="0096118D"/>
    <w:rsid w:val="00961384"/>
    <w:rsid w:val="00963095"/>
    <w:rsid w:val="009633E2"/>
    <w:rsid w:val="00963B05"/>
    <w:rsid w:val="00964A7F"/>
    <w:rsid w:val="00964CB9"/>
    <w:rsid w:val="00964E63"/>
    <w:rsid w:val="009704FC"/>
    <w:rsid w:val="00970629"/>
    <w:rsid w:val="00973AC5"/>
    <w:rsid w:val="009757F2"/>
    <w:rsid w:val="00975F7B"/>
    <w:rsid w:val="009807BD"/>
    <w:rsid w:val="0098225C"/>
    <w:rsid w:val="00982E15"/>
    <w:rsid w:val="00982F79"/>
    <w:rsid w:val="00983A6D"/>
    <w:rsid w:val="00984570"/>
    <w:rsid w:val="009845C9"/>
    <w:rsid w:val="00984832"/>
    <w:rsid w:val="00984A56"/>
    <w:rsid w:val="00986458"/>
    <w:rsid w:val="009900F3"/>
    <w:rsid w:val="00991195"/>
    <w:rsid w:val="00992394"/>
    <w:rsid w:val="0099312F"/>
    <w:rsid w:val="00993800"/>
    <w:rsid w:val="00993FA6"/>
    <w:rsid w:val="0099546D"/>
    <w:rsid w:val="00995B60"/>
    <w:rsid w:val="00995F0D"/>
    <w:rsid w:val="00997288"/>
    <w:rsid w:val="00997AD5"/>
    <w:rsid w:val="00997D9F"/>
    <w:rsid w:val="009A0A1E"/>
    <w:rsid w:val="009A1461"/>
    <w:rsid w:val="009A23D0"/>
    <w:rsid w:val="009A24D4"/>
    <w:rsid w:val="009A3CC7"/>
    <w:rsid w:val="009A4C76"/>
    <w:rsid w:val="009A5E2D"/>
    <w:rsid w:val="009A5ECC"/>
    <w:rsid w:val="009A7233"/>
    <w:rsid w:val="009B080B"/>
    <w:rsid w:val="009B0DD2"/>
    <w:rsid w:val="009B249F"/>
    <w:rsid w:val="009B2B9A"/>
    <w:rsid w:val="009B3B87"/>
    <w:rsid w:val="009B4369"/>
    <w:rsid w:val="009B50DE"/>
    <w:rsid w:val="009B57DB"/>
    <w:rsid w:val="009B5837"/>
    <w:rsid w:val="009B5DC3"/>
    <w:rsid w:val="009B64B8"/>
    <w:rsid w:val="009C2891"/>
    <w:rsid w:val="009C4282"/>
    <w:rsid w:val="009C435B"/>
    <w:rsid w:val="009C5A2F"/>
    <w:rsid w:val="009C615B"/>
    <w:rsid w:val="009C6B6C"/>
    <w:rsid w:val="009C734B"/>
    <w:rsid w:val="009C7559"/>
    <w:rsid w:val="009D0865"/>
    <w:rsid w:val="009D23A8"/>
    <w:rsid w:val="009D2C2A"/>
    <w:rsid w:val="009D2DB2"/>
    <w:rsid w:val="009D3357"/>
    <w:rsid w:val="009D36C1"/>
    <w:rsid w:val="009D3717"/>
    <w:rsid w:val="009D383B"/>
    <w:rsid w:val="009D3E50"/>
    <w:rsid w:val="009D51FE"/>
    <w:rsid w:val="009D6092"/>
    <w:rsid w:val="009D6DE6"/>
    <w:rsid w:val="009E10D1"/>
    <w:rsid w:val="009E14A5"/>
    <w:rsid w:val="009E1C14"/>
    <w:rsid w:val="009E2523"/>
    <w:rsid w:val="009E2943"/>
    <w:rsid w:val="009E2D5D"/>
    <w:rsid w:val="009E37CE"/>
    <w:rsid w:val="009E3B74"/>
    <w:rsid w:val="009E3D73"/>
    <w:rsid w:val="009E5104"/>
    <w:rsid w:val="009E525A"/>
    <w:rsid w:val="009E6CCB"/>
    <w:rsid w:val="009E70F3"/>
    <w:rsid w:val="009E72B0"/>
    <w:rsid w:val="009F0B5F"/>
    <w:rsid w:val="009F0E13"/>
    <w:rsid w:val="009F118E"/>
    <w:rsid w:val="009F28C2"/>
    <w:rsid w:val="009F4722"/>
    <w:rsid w:val="009F58D5"/>
    <w:rsid w:val="009F5E8B"/>
    <w:rsid w:val="009F62DE"/>
    <w:rsid w:val="009F6B0E"/>
    <w:rsid w:val="009F7BE7"/>
    <w:rsid w:val="00A00011"/>
    <w:rsid w:val="00A003ED"/>
    <w:rsid w:val="00A00BD4"/>
    <w:rsid w:val="00A02A49"/>
    <w:rsid w:val="00A0747F"/>
    <w:rsid w:val="00A0799A"/>
    <w:rsid w:val="00A119A2"/>
    <w:rsid w:val="00A12E6D"/>
    <w:rsid w:val="00A13CE6"/>
    <w:rsid w:val="00A146B5"/>
    <w:rsid w:val="00A15E7D"/>
    <w:rsid w:val="00A160CF"/>
    <w:rsid w:val="00A16290"/>
    <w:rsid w:val="00A164A3"/>
    <w:rsid w:val="00A16EA2"/>
    <w:rsid w:val="00A17218"/>
    <w:rsid w:val="00A20D98"/>
    <w:rsid w:val="00A22574"/>
    <w:rsid w:val="00A226D2"/>
    <w:rsid w:val="00A2274A"/>
    <w:rsid w:val="00A23933"/>
    <w:rsid w:val="00A23F63"/>
    <w:rsid w:val="00A2432E"/>
    <w:rsid w:val="00A24344"/>
    <w:rsid w:val="00A24902"/>
    <w:rsid w:val="00A255F8"/>
    <w:rsid w:val="00A258D0"/>
    <w:rsid w:val="00A26657"/>
    <w:rsid w:val="00A26AF9"/>
    <w:rsid w:val="00A27541"/>
    <w:rsid w:val="00A2782C"/>
    <w:rsid w:val="00A27A8E"/>
    <w:rsid w:val="00A3028A"/>
    <w:rsid w:val="00A317C0"/>
    <w:rsid w:val="00A31EC7"/>
    <w:rsid w:val="00A3218E"/>
    <w:rsid w:val="00A33169"/>
    <w:rsid w:val="00A33678"/>
    <w:rsid w:val="00A33EE4"/>
    <w:rsid w:val="00A35ABF"/>
    <w:rsid w:val="00A35CF3"/>
    <w:rsid w:val="00A363A2"/>
    <w:rsid w:val="00A36A35"/>
    <w:rsid w:val="00A37624"/>
    <w:rsid w:val="00A40848"/>
    <w:rsid w:val="00A40A8A"/>
    <w:rsid w:val="00A41508"/>
    <w:rsid w:val="00A42A5B"/>
    <w:rsid w:val="00A42F7C"/>
    <w:rsid w:val="00A453A2"/>
    <w:rsid w:val="00A456C7"/>
    <w:rsid w:val="00A463CF"/>
    <w:rsid w:val="00A47CE5"/>
    <w:rsid w:val="00A50163"/>
    <w:rsid w:val="00A502E3"/>
    <w:rsid w:val="00A528E9"/>
    <w:rsid w:val="00A550EF"/>
    <w:rsid w:val="00A55709"/>
    <w:rsid w:val="00A5681B"/>
    <w:rsid w:val="00A56F60"/>
    <w:rsid w:val="00A57718"/>
    <w:rsid w:val="00A57BED"/>
    <w:rsid w:val="00A61E41"/>
    <w:rsid w:val="00A639D9"/>
    <w:rsid w:val="00A63D3E"/>
    <w:rsid w:val="00A64DA3"/>
    <w:rsid w:val="00A654F1"/>
    <w:rsid w:val="00A70242"/>
    <w:rsid w:val="00A70BB7"/>
    <w:rsid w:val="00A70F39"/>
    <w:rsid w:val="00A71B7F"/>
    <w:rsid w:val="00A72F2D"/>
    <w:rsid w:val="00A72FEE"/>
    <w:rsid w:val="00A749D0"/>
    <w:rsid w:val="00A763A9"/>
    <w:rsid w:val="00A76B63"/>
    <w:rsid w:val="00A7727D"/>
    <w:rsid w:val="00A80668"/>
    <w:rsid w:val="00A81633"/>
    <w:rsid w:val="00A82EF4"/>
    <w:rsid w:val="00A839D6"/>
    <w:rsid w:val="00A84383"/>
    <w:rsid w:val="00A84FA8"/>
    <w:rsid w:val="00A85657"/>
    <w:rsid w:val="00A85C78"/>
    <w:rsid w:val="00A862B2"/>
    <w:rsid w:val="00A868E3"/>
    <w:rsid w:val="00A87F2D"/>
    <w:rsid w:val="00A9065E"/>
    <w:rsid w:val="00A92965"/>
    <w:rsid w:val="00A94CBF"/>
    <w:rsid w:val="00A958C6"/>
    <w:rsid w:val="00A964AE"/>
    <w:rsid w:val="00A97B02"/>
    <w:rsid w:val="00AA0659"/>
    <w:rsid w:val="00AA0807"/>
    <w:rsid w:val="00AA4F09"/>
    <w:rsid w:val="00AA5E13"/>
    <w:rsid w:val="00AA5F9D"/>
    <w:rsid w:val="00AA6B28"/>
    <w:rsid w:val="00AA6F82"/>
    <w:rsid w:val="00AB10FD"/>
    <w:rsid w:val="00AB160A"/>
    <w:rsid w:val="00AB46F8"/>
    <w:rsid w:val="00AB7478"/>
    <w:rsid w:val="00AC0160"/>
    <w:rsid w:val="00AC0358"/>
    <w:rsid w:val="00AC17AD"/>
    <w:rsid w:val="00AC24A0"/>
    <w:rsid w:val="00AC2E26"/>
    <w:rsid w:val="00AC36AE"/>
    <w:rsid w:val="00AC3C65"/>
    <w:rsid w:val="00AC4893"/>
    <w:rsid w:val="00AC768D"/>
    <w:rsid w:val="00AD16BB"/>
    <w:rsid w:val="00AD19C7"/>
    <w:rsid w:val="00AD1A4F"/>
    <w:rsid w:val="00AD2E0B"/>
    <w:rsid w:val="00AD35E8"/>
    <w:rsid w:val="00AD38D2"/>
    <w:rsid w:val="00AD46AE"/>
    <w:rsid w:val="00AD4743"/>
    <w:rsid w:val="00AD50E1"/>
    <w:rsid w:val="00AD6DF3"/>
    <w:rsid w:val="00AD72DF"/>
    <w:rsid w:val="00AE39D3"/>
    <w:rsid w:val="00AE490B"/>
    <w:rsid w:val="00AE4CE4"/>
    <w:rsid w:val="00AE5660"/>
    <w:rsid w:val="00AE5C58"/>
    <w:rsid w:val="00AE5D43"/>
    <w:rsid w:val="00AE5EB2"/>
    <w:rsid w:val="00AE7075"/>
    <w:rsid w:val="00AE7077"/>
    <w:rsid w:val="00AE77C0"/>
    <w:rsid w:val="00AE7C9F"/>
    <w:rsid w:val="00AF0562"/>
    <w:rsid w:val="00AF0DD1"/>
    <w:rsid w:val="00AF209C"/>
    <w:rsid w:val="00AF2A9E"/>
    <w:rsid w:val="00AF2C37"/>
    <w:rsid w:val="00AF32E3"/>
    <w:rsid w:val="00AF5D1E"/>
    <w:rsid w:val="00AF609A"/>
    <w:rsid w:val="00AF61D5"/>
    <w:rsid w:val="00AF7638"/>
    <w:rsid w:val="00AF7F8C"/>
    <w:rsid w:val="00B00024"/>
    <w:rsid w:val="00B00E93"/>
    <w:rsid w:val="00B00F9B"/>
    <w:rsid w:val="00B03B15"/>
    <w:rsid w:val="00B04955"/>
    <w:rsid w:val="00B059E4"/>
    <w:rsid w:val="00B05CE4"/>
    <w:rsid w:val="00B060EA"/>
    <w:rsid w:val="00B079B7"/>
    <w:rsid w:val="00B12301"/>
    <w:rsid w:val="00B142E8"/>
    <w:rsid w:val="00B145BA"/>
    <w:rsid w:val="00B14793"/>
    <w:rsid w:val="00B14A64"/>
    <w:rsid w:val="00B155E4"/>
    <w:rsid w:val="00B158FA"/>
    <w:rsid w:val="00B15924"/>
    <w:rsid w:val="00B15D15"/>
    <w:rsid w:val="00B1600A"/>
    <w:rsid w:val="00B166E9"/>
    <w:rsid w:val="00B2184B"/>
    <w:rsid w:val="00B21B40"/>
    <w:rsid w:val="00B226F6"/>
    <w:rsid w:val="00B23FCC"/>
    <w:rsid w:val="00B244F6"/>
    <w:rsid w:val="00B255B2"/>
    <w:rsid w:val="00B25769"/>
    <w:rsid w:val="00B25FD4"/>
    <w:rsid w:val="00B26760"/>
    <w:rsid w:val="00B267DA"/>
    <w:rsid w:val="00B30AC7"/>
    <w:rsid w:val="00B30F29"/>
    <w:rsid w:val="00B313BE"/>
    <w:rsid w:val="00B31B31"/>
    <w:rsid w:val="00B31CE0"/>
    <w:rsid w:val="00B31FDF"/>
    <w:rsid w:val="00B327E2"/>
    <w:rsid w:val="00B34A9A"/>
    <w:rsid w:val="00B3578F"/>
    <w:rsid w:val="00B3692C"/>
    <w:rsid w:val="00B36A07"/>
    <w:rsid w:val="00B37878"/>
    <w:rsid w:val="00B40A4E"/>
    <w:rsid w:val="00B40EC1"/>
    <w:rsid w:val="00B428CC"/>
    <w:rsid w:val="00B42FB3"/>
    <w:rsid w:val="00B44742"/>
    <w:rsid w:val="00B44A66"/>
    <w:rsid w:val="00B456F6"/>
    <w:rsid w:val="00B45B00"/>
    <w:rsid w:val="00B46D42"/>
    <w:rsid w:val="00B472ED"/>
    <w:rsid w:val="00B4740B"/>
    <w:rsid w:val="00B5059B"/>
    <w:rsid w:val="00B516F3"/>
    <w:rsid w:val="00B5307A"/>
    <w:rsid w:val="00B53D67"/>
    <w:rsid w:val="00B54705"/>
    <w:rsid w:val="00B54CBE"/>
    <w:rsid w:val="00B551AD"/>
    <w:rsid w:val="00B556FE"/>
    <w:rsid w:val="00B55C1C"/>
    <w:rsid w:val="00B561A5"/>
    <w:rsid w:val="00B568F1"/>
    <w:rsid w:val="00B572C1"/>
    <w:rsid w:val="00B577F2"/>
    <w:rsid w:val="00B57862"/>
    <w:rsid w:val="00B61C17"/>
    <w:rsid w:val="00B61EA4"/>
    <w:rsid w:val="00B62D9D"/>
    <w:rsid w:val="00B637AE"/>
    <w:rsid w:val="00B64DC9"/>
    <w:rsid w:val="00B65A8B"/>
    <w:rsid w:val="00B662D6"/>
    <w:rsid w:val="00B66623"/>
    <w:rsid w:val="00B678DF"/>
    <w:rsid w:val="00B7018F"/>
    <w:rsid w:val="00B7027A"/>
    <w:rsid w:val="00B724F5"/>
    <w:rsid w:val="00B7265D"/>
    <w:rsid w:val="00B7279C"/>
    <w:rsid w:val="00B72B2F"/>
    <w:rsid w:val="00B74673"/>
    <w:rsid w:val="00B74BDD"/>
    <w:rsid w:val="00B77AEA"/>
    <w:rsid w:val="00B8097C"/>
    <w:rsid w:val="00B814F4"/>
    <w:rsid w:val="00B816FA"/>
    <w:rsid w:val="00B8239A"/>
    <w:rsid w:val="00B82553"/>
    <w:rsid w:val="00B8278C"/>
    <w:rsid w:val="00B83CF6"/>
    <w:rsid w:val="00B853FE"/>
    <w:rsid w:val="00B8603E"/>
    <w:rsid w:val="00B87FBB"/>
    <w:rsid w:val="00B9002B"/>
    <w:rsid w:val="00B9119A"/>
    <w:rsid w:val="00B91D63"/>
    <w:rsid w:val="00B92153"/>
    <w:rsid w:val="00B933F6"/>
    <w:rsid w:val="00B93929"/>
    <w:rsid w:val="00B94A42"/>
    <w:rsid w:val="00B95EE1"/>
    <w:rsid w:val="00B96C01"/>
    <w:rsid w:val="00B9749D"/>
    <w:rsid w:val="00BA0581"/>
    <w:rsid w:val="00BA0AD6"/>
    <w:rsid w:val="00BA2A37"/>
    <w:rsid w:val="00BA2A79"/>
    <w:rsid w:val="00BA37CF"/>
    <w:rsid w:val="00BA470E"/>
    <w:rsid w:val="00BA477F"/>
    <w:rsid w:val="00BA61ED"/>
    <w:rsid w:val="00BA7083"/>
    <w:rsid w:val="00BB16E6"/>
    <w:rsid w:val="00BB279E"/>
    <w:rsid w:val="00BB2F75"/>
    <w:rsid w:val="00BB3005"/>
    <w:rsid w:val="00BB4C68"/>
    <w:rsid w:val="00BB536A"/>
    <w:rsid w:val="00BB5D68"/>
    <w:rsid w:val="00BB5DC6"/>
    <w:rsid w:val="00BB62C0"/>
    <w:rsid w:val="00BB6A31"/>
    <w:rsid w:val="00BB6F95"/>
    <w:rsid w:val="00BC1218"/>
    <w:rsid w:val="00BC1758"/>
    <w:rsid w:val="00BC1C8E"/>
    <w:rsid w:val="00BC28FC"/>
    <w:rsid w:val="00BC2CCF"/>
    <w:rsid w:val="00BC41F7"/>
    <w:rsid w:val="00BC42D2"/>
    <w:rsid w:val="00BC4C0B"/>
    <w:rsid w:val="00BC57DE"/>
    <w:rsid w:val="00BC715E"/>
    <w:rsid w:val="00BC7AA3"/>
    <w:rsid w:val="00BD2EA8"/>
    <w:rsid w:val="00BD302D"/>
    <w:rsid w:val="00BD3E0B"/>
    <w:rsid w:val="00BD48D9"/>
    <w:rsid w:val="00BD4D8E"/>
    <w:rsid w:val="00BD5707"/>
    <w:rsid w:val="00BD67BA"/>
    <w:rsid w:val="00BE04A7"/>
    <w:rsid w:val="00BE217E"/>
    <w:rsid w:val="00BE26B7"/>
    <w:rsid w:val="00BE4EE4"/>
    <w:rsid w:val="00BE5E7B"/>
    <w:rsid w:val="00BF1319"/>
    <w:rsid w:val="00BF28A6"/>
    <w:rsid w:val="00BF2A40"/>
    <w:rsid w:val="00BF2FDE"/>
    <w:rsid w:val="00BF423C"/>
    <w:rsid w:val="00BF683D"/>
    <w:rsid w:val="00BF7CDD"/>
    <w:rsid w:val="00C001AD"/>
    <w:rsid w:val="00C01BF3"/>
    <w:rsid w:val="00C026EC"/>
    <w:rsid w:val="00C028F0"/>
    <w:rsid w:val="00C02B46"/>
    <w:rsid w:val="00C05636"/>
    <w:rsid w:val="00C05F47"/>
    <w:rsid w:val="00C07852"/>
    <w:rsid w:val="00C07EAE"/>
    <w:rsid w:val="00C1017F"/>
    <w:rsid w:val="00C1235A"/>
    <w:rsid w:val="00C128F9"/>
    <w:rsid w:val="00C12A66"/>
    <w:rsid w:val="00C14FC7"/>
    <w:rsid w:val="00C1504B"/>
    <w:rsid w:val="00C154BA"/>
    <w:rsid w:val="00C1699F"/>
    <w:rsid w:val="00C17369"/>
    <w:rsid w:val="00C179E8"/>
    <w:rsid w:val="00C200A8"/>
    <w:rsid w:val="00C20C14"/>
    <w:rsid w:val="00C213F5"/>
    <w:rsid w:val="00C227A6"/>
    <w:rsid w:val="00C23D51"/>
    <w:rsid w:val="00C2404F"/>
    <w:rsid w:val="00C25008"/>
    <w:rsid w:val="00C25694"/>
    <w:rsid w:val="00C25AEC"/>
    <w:rsid w:val="00C2600A"/>
    <w:rsid w:val="00C30A1F"/>
    <w:rsid w:val="00C311D6"/>
    <w:rsid w:val="00C321B9"/>
    <w:rsid w:val="00C326FB"/>
    <w:rsid w:val="00C33076"/>
    <w:rsid w:val="00C34075"/>
    <w:rsid w:val="00C352A7"/>
    <w:rsid w:val="00C37D95"/>
    <w:rsid w:val="00C40E23"/>
    <w:rsid w:val="00C4104D"/>
    <w:rsid w:val="00C4240D"/>
    <w:rsid w:val="00C440E6"/>
    <w:rsid w:val="00C45FBB"/>
    <w:rsid w:val="00C4647A"/>
    <w:rsid w:val="00C47085"/>
    <w:rsid w:val="00C47762"/>
    <w:rsid w:val="00C478D9"/>
    <w:rsid w:val="00C50877"/>
    <w:rsid w:val="00C50CC4"/>
    <w:rsid w:val="00C51744"/>
    <w:rsid w:val="00C52B6C"/>
    <w:rsid w:val="00C541F7"/>
    <w:rsid w:val="00C55CEE"/>
    <w:rsid w:val="00C55DAC"/>
    <w:rsid w:val="00C55ECD"/>
    <w:rsid w:val="00C56100"/>
    <w:rsid w:val="00C561A1"/>
    <w:rsid w:val="00C568B6"/>
    <w:rsid w:val="00C56D89"/>
    <w:rsid w:val="00C56DDC"/>
    <w:rsid w:val="00C57001"/>
    <w:rsid w:val="00C571BF"/>
    <w:rsid w:val="00C575D3"/>
    <w:rsid w:val="00C60B8C"/>
    <w:rsid w:val="00C60D8F"/>
    <w:rsid w:val="00C61449"/>
    <w:rsid w:val="00C6154B"/>
    <w:rsid w:val="00C61E03"/>
    <w:rsid w:val="00C6568D"/>
    <w:rsid w:val="00C66B15"/>
    <w:rsid w:val="00C709AC"/>
    <w:rsid w:val="00C71B0F"/>
    <w:rsid w:val="00C72CFE"/>
    <w:rsid w:val="00C733F8"/>
    <w:rsid w:val="00C73EAD"/>
    <w:rsid w:val="00C73FA9"/>
    <w:rsid w:val="00C745C4"/>
    <w:rsid w:val="00C745F2"/>
    <w:rsid w:val="00C76A25"/>
    <w:rsid w:val="00C7721A"/>
    <w:rsid w:val="00C81E1B"/>
    <w:rsid w:val="00C822FB"/>
    <w:rsid w:val="00C847CC"/>
    <w:rsid w:val="00C84CBB"/>
    <w:rsid w:val="00C84F21"/>
    <w:rsid w:val="00C852D7"/>
    <w:rsid w:val="00C870AB"/>
    <w:rsid w:val="00C87F79"/>
    <w:rsid w:val="00C90282"/>
    <w:rsid w:val="00C9053C"/>
    <w:rsid w:val="00C9062B"/>
    <w:rsid w:val="00C9090A"/>
    <w:rsid w:val="00C90DD7"/>
    <w:rsid w:val="00C91082"/>
    <w:rsid w:val="00C91D90"/>
    <w:rsid w:val="00C9263B"/>
    <w:rsid w:val="00C92708"/>
    <w:rsid w:val="00C9462E"/>
    <w:rsid w:val="00C95152"/>
    <w:rsid w:val="00C95828"/>
    <w:rsid w:val="00C97C29"/>
    <w:rsid w:val="00CA07E5"/>
    <w:rsid w:val="00CA2298"/>
    <w:rsid w:val="00CA2376"/>
    <w:rsid w:val="00CA338E"/>
    <w:rsid w:val="00CA613E"/>
    <w:rsid w:val="00CA65E5"/>
    <w:rsid w:val="00CA6D10"/>
    <w:rsid w:val="00CB029D"/>
    <w:rsid w:val="00CB246A"/>
    <w:rsid w:val="00CB24C6"/>
    <w:rsid w:val="00CB60E4"/>
    <w:rsid w:val="00CB615F"/>
    <w:rsid w:val="00CB6323"/>
    <w:rsid w:val="00CB7022"/>
    <w:rsid w:val="00CC3AD7"/>
    <w:rsid w:val="00CC42DB"/>
    <w:rsid w:val="00CC43ED"/>
    <w:rsid w:val="00CC5118"/>
    <w:rsid w:val="00CC526A"/>
    <w:rsid w:val="00CC5709"/>
    <w:rsid w:val="00CC615C"/>
    <w:rsid w:val="00CC7316"/>
    <w:rsid w:val="00CD1060"/>
    <w:rsid w:val="00CD3B51"/>
    <w:rsid w:val="00CE06AE"/>
    <w:rsid w:val="00CE0F65"/>
    <w:rsid w:val="00CE33B0"/>
    <w:rsid w:val="00CE5C41"/>
    <w:rsid w:val="00CE5D86"/>
    <w:rsid w:val="00CE720A"/>
    <w:rsid w:val="00CE74F6"/>
    <w:rsid w:val="00CE79A0"/>
    <w:rsid w:val="00CF026D"/>
    <w:rsid w:val="00CF0E73"/>
    <w:rsid w:val="00CF16AA"/>
    <w:rsid w:val="00CF1C69"/>
    <w:rsid w:val="00CF2952"/>
    <w:rsid w:val="00CF2B5E"/>
    <w:rsid w:val="00CF3611"/>
    <w:rsid w:val="00CF459A"/>
    <w:rsid w:val="00CF45E7"/>
    <w:rsid w:val="00CF6355"/>
    <w:rsid w:val="00CF6A80"/>
    <w:rsid w:val="00CF6E98"/>
    <w:rsid w:val="00CF739D"/>
    <w:rsid w:val="00D0246A"/>
    <w:rsid w:val="00D027A8"/>
    <w:rsid w:val="00D0422C"/>
    <w:rsid w:val="00D04AE8"/>
    <w:rsid w:val="00D04EAB"/>
    <w:rsid w:val="00D062C1"/>
    <w:rsid w:val="00D06948"/>
    <w:rsid w:val="00D069D7"/>
    <w:rsid w:val="00D07672"/>
    <w:rsid w:val="00D1073B"/>
    <w:rsid w:val="00D11174"/>
    <w:rsid w:val="00D118E1"/>
    <w:rsid w:val="00D13076"/>
    <w:rsid w:val="00D1361E"/>
    <w:rsid w:val="00D13D55"/>
    <w:rsid w:val="00D1400D"/>
    <w:rsid w:val="00D14AB6"/>
    <w:rsid w:val="00D14F1F"/>
    <w:rsid w:val="00D153C0"/>
    <w:rsid w:val="00D15B87"/>
    <w:rsid w:val="00D16CCE"/>
    <w:rsid w:val="00D16D41"/>
    <w:rsid w:val="00D212B9"/>
    <w:rsid w:val="00D22F71"/>
    <w:rsid w:val="00D23648"/>
    <w:rsid w:val="00D241F9"/>
    <w:rsid w:val="00D24B5D"/>
    <w:rsid w:val="00D251FC"/>
    <w:rsid w:val="00D2543E"/>
    <w:rsid w:val="00D25A38"/>
    <w:rsid w:val="00D25AAF"/>
    <w:rsid w:val="00D261A4"/>
    <w:rsid w:val="00D31101"/>
    <w:rsid w:val="00D328A1"/>
    <w:rsid w:val="00D32CD6"/>
    <w:rsid w:val="00D336CD"/>
    <w:rsid w:val="00D3498B"/>
    <w:rsid w:val="00D351AA"/>
    <w:rsid w:val="00D353E5"/>
    <w:rsid w:val="00D36912"/>
    <w:rsid w:val="00D36B22"/>
    <w:rsid w:val="00D36EA3"/>
    <w:rsid w:val="00D37275"/>
    <w:rsid w:val="00D3783C"/>
    <w:rsid w:val="00D37F07"/>
    <w:rsid w:val="00D40D46"/>
    <w:rsid w:val="00D42857"/>
    <w:rsid w:val="00D439DD"/>
    <w:rsid w:val="00D447BF"/>
    <w:rsid w:val="00D44A2E"/>
    <w:rsid w:val="00D44D5D"/>
    <w:rsid w:val="00D46425"/>
    <w:rsid w:val="00D47165"/>
    <w:rsid w:val="00D47464"/>
    <w:rsid w:val="00D510D9"/>
    <w:rsid w:val="00D61B5F"/>
    <w:rsid w:val="00D6238B"/>
    <w:rsid w:val="00D62463"/>
    <w:rsid w:val="00D64186"/>
    <w:rsid w:val="00D66081"/>
    <w:rsid w:val="00D66E87"/>
    <w:rsid w:val="00D706DA"/>
    <w:rsid w:val="00D72223"/>
    <w:rsid w:val="00D7234C"/>
    <w:rsid w:val="00D72A3E"/>
    <w:rsid w:val="00D73EBA"/>
    <w:rsid w:val="00D76312"/>
    <w:rsid w:val="00D76685"/>
    <w:rsid w:val="00D767CB"/>
    <w:rsid w:val="00D77A13"/>
    <w:rsid w:val="00D80993"/>
    <w:rsid w:val="00D80A9E"/>
    <w:rsid w:val="00D811F9"/>
    <w:rsid w:val="00D82B41"/>
    <w:rsid w:val="00D83AC0"/>
    <w:rsid w:val="00D83BF1"/>
    <w:rsid w:val="00D84420"/>
    <w:rsid w:val="00D851EA"/>
    <w:rsid w:val="00D85ADC"/>
    <w:rsid w:val="00D86455"/>
    <w:rsid w:val="00D866B6"/>
    <w:rsid w:val="00D90373"/>
    <w:rsid w:val="00D90A24"/>
    <w:rsid w:val="00D90A6A"/>
    <w:rsid w:val="00D90B87"/>
    <w:rsid w:val="00D9127B"/>
    <w:rsid w:val="00D91BC9"/>
    <w:rsid w:val="00D92ADA"/>
    <w:rsid w:val="00D950BE"/>
    <w:rsid w:val="00D95DFE"/>
    <w:rsid w:val="00DA103D"/>
    <w:rsid w:val="00DA1396"/>
    <w:rsid w:val="00DA1E22"/>
    <w:rsid w:val="00DA3197"/>
    <w:rsid w:val="00DA32F7"/>
    <w:rsid w:val="00DA39F8"/>
    <w:rsid w:val="00DA3D2B"/>
    <w:rsid w:val="00DA40E1"/>
    <w:rsid w:val="00DA44B4"/>
    <w:rsid w:val="00DA4501"/>
    <w:rsid w:val="00DA6ABB"/>
    <w:rsid w:val="00DB08A8"/>
    <w:rsid w:val="00DB09BF"/>
    <w:rsid w:val="00DB13D2"/>
    <w:rsid w:val="00DB4C32"/>
    <w:rsid w:val="00DB4FB7"/>
    <w:rsid w:val="00DB6099"/>
    <w:rsid w:val="00DB6497"/>
    <w:rsid w:val="00DB6D58"/>
    <w:rsid w:val="00DB7790"/>
    <w:rsid w:val="00DC0734"/>
    <w:rsid w:val="00DC0A61"/>
    <w:rsid w:val="00DC1F55"/>
    <w:rsid w:val="00DC2575"/>
    <w:rsid w:val="00DC3DF1"/>
    <w:rsid w:val="00DC4156"/>
    <w:rsid w:val="00DC4524"/>
    <w:rsid w:val="00DC46A4"/>
    <w:rsid w:val="00DC470B"/>
    <w:rsid w:val="00DC4B84"/>
    <w:rsid w:val="00DC5949"/>
    <w:rsid w:val="00DC6111"/>
    <w:rsid w:val="00DC68F7"/>
    <w:rsid w:val="00DD13B6"/>
    <w:rsid w:val="00DD18EC"/>
    <w:rsid w:val="00DD30AD"/>
    <w:rsid w:val="00DD386B"/>
    <w:rsid w:val="00DD411E"/>
    <w:rsid w:val="00DD418D"/>
    <w:rsid w:val="00DD62F8"/>
    <w:rsid w:val="00DD6B20"/>
    <w:rsid w:val="00DE0553"/>
    <w:rsid w:val="00DE064E"/>
    <w:rsid w:val="00DE06B4"/>
    <w:rsid w:val="00DE0CE2"/>
    <w:rsid w:val="00DE188A"/>
    <w:rsid w:val="00DE3F7F"/>
    <w:rsid w:val="00DE423E"/>
    <w:rsid w:val="00DE5063"/>
    <w:rsid w:val="00DE52FD"/>
    <w:rsid w:val="00DE58B8"/>
    <w:rsid w:val="00DE62EC"/>
    <w:rsid w:val="00DE6A5F"/>
    <w:rsid w:val="00DE734C"/>
    <w:rsid w:val="00DF091F"/>
    <w:rsid w:val="00DF187F"/>
    <w:rsid w:val="00DF1BE3"/>
    <w:rsid w:val="00DF2983"/>
    <w:rsid w:val="00DF31D4"/>
    <w:rsid w:val="00DF52D5"/>
    <w:rsid w:val="00DF5EC2"/>
    <w:rsid w:val="00DF712F"/>
    <w:rsid w:val="00DF714A"/>
    <w:rsid w:val="00DF7F0F"/>
    <w:rsid w:val="00E004A2"/>
    <w:rsid w:val="00E01B9E"/>
    <w:rsid w:val="00E02B02"/>
    <w:rsid w:val="00E02DA3"/>
    <w:rsid w:val="00E02ECE"/>
    <w:rsid w:val="00E04420"/>
    <w:rsid w:val="00E0529A"/>
    <w:rsid w:val="00E05437"/>
    <w:rsid w:val="00E07BA8"/>
    <w:rsid w:val="00E102F4"/>
    <w:rsid w:val="00E115B8"/>
    <w:rsid w:val="00E122A0"/>
    <w:rsid w:val="00E13265"/>
    <w:rsid w:val="00E13498"/>
    <w:rsid w:val="00E14016"/>
    <w:rsid w:val="00E14365"/>
    <w:rsid w:val="00E167EE"/>
    <w:rsid w:val="00E173FA"/>
    <w:rsid w:val="00E17560"/>
    <w:rsid w:val="00E17B2B"/>
    <w:rsid w:val="00E205CB"/>
    <w:rsid w:val="00E206EA"/>
    <w:rsid w:val="00E20954"/>
    <w:rsid w:val="00E20C63"/>
    <w:rsid w:val="00E21531"/>
    <w:rsid w:val="00E21E22"/>
    <w:rsid w:val="00E229FA"/>
    <w:rsid w:val="00E22A5F"/>
    <w:rsid w:val="00E232C1"/>
    <w:rsid w:val="00E23B22"/>
    <w:rsid w:val="00E24F45"/>
    <w:rsid w:val="00E25F9A"/>
    <w:rsid w:val="00E262E1"/>
    <w:rsid w:val="00E26F65"/>
    <w:rsid w:val="00E30DA5"/>
    <w:rsid w:val="00E311E9"/>
    <w:rsid w:val="00E3240A"/>
    <w:rsid w:val="00E3342E"/>
    <w:rsid w:val="00E3380C"/>
    <w:rsid w:val="00E346D9"/>
    <w:rsid w:val="00E34742"/>
    <w:rsid w:val="00E349F9"/>
    <w:rsid w:val="00E355BE"/>
    <w:rsid w:val="00E361D0"/>
    <w:rsid w:val="00E36CE7"/>
    <w:rsid w:val="00E406DB"/>
    <w:rsid w:val="00E42AA4"/>
    <w:rsid w:val="00E43F53"/>
    <w:rsid w:val="00E449A4"/>
    <w:rsid w:val="00E45587"/>
    <w:rsid w:val="00E45942"/>
    <w:rsid w:val="00E45977"/>
    <w:rsid w:val="00E46308"/>
    <w:rsid w:val="00E46A7F"/>
    <w:rsid w:val="00E46B3F"/>
    <w:rsid w:val="00E47452"/>
    <w:rsid w:val="00E50395"/>
    <w:rsid w:val="00E5042C"/>
    <w:rsid w:val="00E50EE5"/>
    <w:rsid w:val="00E50F8E"/>
    <w:rsid w:val="00E53B55"/>
    <w:rsid w:val="00E56BBF"/>
    <w:rsid w:val="00E578E6"/>
    <w:rsid w:val="00E57AF7"/>
    <w:rsid w:val="00E57B3E"/>
    <w:rsid w:val="00E603D4"/>
    <w:rsid w:val="00E61421"/>
    <w:rsid w:val="00E61E41"/>
    <w:rsid w:val="00E62BEB"/>
    <w:rsid w:val="00E62D23"/>
    <w:rsid w:val="00E62D8A"/>
    <w:rsid w:val="00E63087"/>
    <w:rsid w:val="00E63A23"/>
    <w:rsid w:val="00E63CB5"/>
    <w:rsid w:val="00E653ED"/>
    <w:rsid w:val="00E65615"/>
    <w:rsid w:val="00E65CCC"/>
    <w:rsid w:val="00E67691"/>
    <w:rsid w:val="00E70123"/>
    <w:rsid w:val="00E7062E"/>
    <w:rsid w:val="00E70731"/>
    <w:rsid w:val="00E70A5E"/>
    <w:rsid w:val="00E70DC1"/>
    <w:rsid w:val="00E71886"/>
    <w:rsid w:val="00E735D4"/>
    <w:rsid w:val="00E741F4"/>
    <w:rsid w:val="00E7473C"/>
    <w:rsid w:val="00E7660E"/>
    <w:rsid w:val="00E769DF"/>
    <w:rsid w:val="00E76A0F"/>
    <w:rsid w:val="00E775B7"/>
    <w:rsid w:val="00E77D32"/>
    <w:rsid w:val="00E802F8"/>
    <w:rsid w:val="00E806E4"/>
    <w:rsid w:val="00E80948"/>
    <w:rsid w:val="00E8094C"/>
    <w:rsid w:val="00E811B9"/>
    <w:rsid w:val="00E8349E"/>
    <w:rsid w:val="00E84333"/>
    <w:rsid w:val="00E8495F"/>
    <w:rsid w:val="00E851DF"/>
    <w:rsid w:val="00E8548B"/>
    <w:rsid w:val="00E86B1A"/>
    <w:rsid w:val="00E86D01"/>
    <w:rsid w:val="00E900A5"/>
    <w:rsid w:val="00E90DBB"/>
    <w:rsid w:val="00E90E61"/>
    <w:rsid w:val="00E91BF8"/>
    <w:rsid w:val="00E91E17"/>
    <w:rsid w:val="00E92494"/>
    <w:rsid w:val="00E93BB8"/>
    <w:rsid w:val="00E93CB6"/>
    <w:rsid w:val="00E941C9"/>
    <w:rsid w:val="00E954F5"/>
    <w:rsid w:val="00E95B9B"/>
    <w:rsid w:val="00E9637E"/>
    <w:rsid w:val="00EA01C9"/>
    <w:rsid w:val="00EA01E6"/>
    <w:rsid w:val="00EA0201"/>
    <w:rsid w:val="00EA1291"/>
    <w:rsid w:val="00EA1390"/>
    <w:rsid w:val="00EA2966"/>
    <w:rsid w:val="00EA36F2"/>
    <w:rsid w:val="00EA3D32"/>
    <w:rsid w:val="00EA3FFF"/>
    <w:rsid w:val="00EA55D8"/>
    <w:rsid w:val="00EA5A29"/>
    <w:rsid w:val="00EA5A8E"/>
    <w:rsid w:val="00EA5D3E"/>
    <w:rsid w:val="00EA6A66"/>
    <w:rsid w:val="00EA77F4"/>
    <w:rsid w:val="00EA79BC"/>
    <w:rsid w:val="00EB0866"/>
    <w:rsid w:val="00EB0AFE"/>
    <w:rsid w:val="00EB2514"/>
    <w:rsid w:val="00EB2B6D"/>
    <w:rsid w:val="00EB307B"/>
    <w:rsid w:val="00EB3F15"/>
    <w:rsid w:val="00EB4267"/>
    <w:rsid w:val="00EB71E7"/>
    <w:rsid w:val="00EC132E"/>
    <w:rsid w:val="00EC2F18"/>
    <w:rsid w:val="00EC41AC"/>
    <w:rsid w:val="00EC5134"/>
    <w:rsid w:val="00EC554C"/>
    <w:rsid w:val="00EC5C54"/>
    <w:rsid w:val="00EC674A"/>
    <w:rsid w:val="00EC7DEA"/>
    <w:rsid w:val="00ED1673"/>
    <w:rsid w:val="00ED1760"/>
    <w:rsid w:val="00ED1C2C"/>
    <w:rsid w:val="00ED350E"/>
    <w:rsid w:val="00ED3BB2"/>
    <w:rsid w:val="00ED52BB"/>
    <w:rsid w:val="00ED584F"/>
    <w:rsid w:val="00ED64CD"/>
    <w:rsid w:val="00ED7AC6"/>
    <w:rsid w:val="00ED7C68"/>
    <w:rsid w:val="00ED7EF7"/>
    <w:rsid w:val="00EE09E2"/>
    <w:rsid w:val="00EE16E7"/>
    <w:rsid w:val="00EE1DD6"/>
    <w:rsid w:val="00EE2AD0"/>
    <w:rsid w:val="00EE4B31"/>
    <w:rsid w:val="00EE51AC"/>
    <w:rsid w:val="00EE6183"/>
    <w:rsid w:val="00EE62A9"/>
    <w:rsid w:val="00EE69D0"/>
    <w:rsid w:val="00EE6BDD"/>
    <w:rsid w:val="00EE6E08"/>
    <w:rsid w:val="00EE7865"/>
    <w:rsid w:val="00EE799A"/>
    <w:rsid w:val="00EF0067"/>
    <w:rsid w:val="00EF0528"/>
    <w:rsid w:val="00EF0C03"/>
    <w:rsid w:val="00EF1A77"/>
    <w:rsid w:val="00EF2663"/>
    <w:rsid w:val="00EF2C56"/>
    <w:rsid w:val="00EF48B6"/>
    <w:rsid w:val="00EF5805"/>
    <w:rsid w:val="00EF620A"/>
    <w:rsid w:val="00EF68AC"/>
    <w:rsid w:val="00EF7137"/>
    <w:rsid w:val="00EF7C6A"/>
    <w:rsid w:val="00EF7ED1"/>
    <w:rsid w:val="00F00777"/>
    <w:rsid w:val="00F00DE7"/>
    <w:rsid w:val="00F0130B"/>
    <w:rsid w:val="00F035A7"/>
    <w:rsid w:val="00F03A41"/>
    <w:rsid w:val="00F04AD4"/>
    <w:rsid w:val="00F04CF5"/>
    <w:rsid w:val="00F06828"/>
    <w:rsid w:val="00F06DD7"/>
    <w:rsid w:val="00F0718C"/>
    <w:rsid w:val="00F076F4"/>
    <w:rsid w:val="00F07AE7"/>
    <w:rsid w:val="00F113A7"/>
    <w:rsid w:val="00F12141"/>
    <w:rsid w:val="00F12460"/>
    <w:rsid w:val="00F1448D"/>
    <w:rsid w:val="00F14D2B"/>
    <w:rsid w:val="00F14D94"/>
    <w:rsid w:val="00F1553A"/>
    <w:rsid w:val="00F17284"/>
    <w:rsid w:val="00F175F4"/>
    <w:rsid w:val="00F20581"/>
    <w:rsid w:val="00F20A1E"/>
    <w:rsid w:val="00F210BF"/>
    <w:rsid w:val="00F229AB"/>
    <w:rsid w:val="00F24281"/>
    <w:rsid w:val="00F24885"/>
    <w:rsid w:val="00F24E79"/>
    <w:rsid w:val="00F269C6"/>
    <w:rsid w:val="00F26E8F"/>
    <w:rsid w:val="00F27382"/>
    <w:rsid w:val="00F30D8C"/>
    <w:rsid w:val="00F31B23"/>
    <w:rsid w:val="00F31CBB"/>
    <w:rsid w:val="00F31FD3"/>
    <w:rsid w:val="00F32C1E"/>
    <w:rsid w:val="00F33C3A"/>
    <w:rsid w:val="00F34512"/>
    <w:rsid w:val="00F34ED5"/>
    <w:rsid w:val="00F356BC"/>
    <w:rsid w:val="00F3666F"/>
    <w:rsid w:val="00F37571"/>
    <w:rsid w:val="00F37896"/>
    <w:rsid w:val="00F4064F"/>
    <w:rsid w:val="00F40F09"/>
    <w:rsid w:val="00F4111F"/>
    <w:rsid w:val="00F41A6B"/>
    <w:rsid w:val="00F41CD8"/>
    <w:rsid w:val="00F4229B"/>
    <w:rsid w:val="00F42894"/>
    <w:rsid w:val="00F42C3F"/>
    <w:rsid w:val="00F42F89"/>
    <w:rsid w:val="00F42FA4"/>
    <w:rsid w:val="00F43283"/>
    <w:rsid w:val="00F43695"/>
    <w:rsid w:val="00F44694"/>
    <w:rsid w:val="00F4537C"/>
    <w:rsid w:val="00F466B9"/>
    <w:rsid w:val="00F47161"/>
    <w:rsid w:val="00F47E41"/>
    <w:rsid w:val="00F5120C"/>
    <w:rsid w:val="00F53397"/>
    <w:rsid w:val="00F54CDF"/>
    <w:rsid w:val="00F551AB"/>
    <w:rsid w:val="00F5567F"/>
    <w:rsid w:val="00F55F11"/>
    <w:rsid w:val="00F55F94"/>
    <w:rsid w:val="00F560BA"/>
    <w:rsid w:val="00F566D5"/>
    <w:rsid w:val="00F57D9F"/>
    <w:rsid w:val="00F606A0"/>
    <w:rsid w:val="00F608F5"/>
    <w:rsid w:val="00F6093B"/>
    <w:rsid w:val="00F61B2F"/>
    <w:rsid w:val="00F628E7"/>
    <w:rsid w:val="00F63678"/>
    <w:rsid w:val="00F636C6"/>
    <w:rsid w:val="00F63BB8"/>
    <w:rsid w:val="00F647EA"/>
    <w:rsid w:val="00F653BF"/>
    <w:rsid w:val="00F65743"/>
    <w:rsid w:val="00F6617B"/>
    <w:rsid w:val="00F664EF"/>
    <w:rsid w:val="00F677B1"/>
    <w:rsid w:val="00F67C78"/>
    <w:rsid w:val="00F701AA"/>
    <w:rsid w:val="00F70D79"/>
    <w:rsid w:val="00F71118"/>
    <w:rsid w:val="00F718FF"/>
    <w:rsid w:val="00F71CD7"/>
    <w:rsid w:val="00F727FE"/>
    <w:rsid w:val="00F72BCC"/>
    <w:rsid w:val="00F741D8"/>
    <w:rsid w:val="00F743E0"/>
    <w:rsid w:val="00F74A5A"/>
    <w:rsid w:val="00F7503A"/>
    <w:rsid w:val="00F75DBE"/>
    <w:rsid w:val="00F76EB3"/>
    <w:rsid w:val="00F7748D"/>
    <w:rsid w:val="00F777DD"/>
    <w:rsid w:val="00F778BD"/>
    <w:rsid w:val="00F80801"/>
    <w:rsid w:val="00F80900"/>
    <w:rsid w:val="00F8136A"/>
    <w:rsid w:val="00F81570"/>
    <w:rsid w:val="00F815C1"/>
    <w:rsid w:val="00F81EF2"/>
    <w:rsid w:val="00F8280E"/>
    <w:rsid w:val="00F831B0"/>
    <w:rsid w:val="00F83FFF"/>
    <w:rsid w:val="00F85F4A"/>
    <w:rsid w:val="00F85FF4"/>
    <w:rsid w:val="00F86151"/>
    <w:rsid w:val="00F864F1"/>
    <w:rsid w:val="00F86EF5"/>
    <w:rsid w:val="00F90306"/>
    <w:rsid w:val="00F90E0D"/>
    <w:rsid w:val="00F91999"/>
    <w:rsid w:val="00F922B6"/>
    <w:rsid w:val="00F93873"/>
    <w:rsid w:val="00F95EF0"/>
    <w:rsid w:val="00F960B0"/>
    <w:rsid w:val="00F96177"/>
    <w:rsid w:val="00FA0C71"/>
    <w:rsid w:val="00FA194A"/>
    <w:rsid w:val="00FA2298"/>
    <w:rsid w:val="00FA2401"/>
    <w:rsid w:val="00FA2A3C"/>
    <w:rsid w:val="00FA3A7D"/>
    <w:rsid w:val="00FA47F1"/>
    <w:rsid w:val="00FA5BE9"/>
    <w:rsid w:val="00FA6483"/>
    <w:rsid w:val="00FA64CC"/>
    <w:rsid w:val="00FA72F9"/>
    <w:rsid w:val="00FB033C"/>
    <w:rsid w:val="00FB18B8"/>
    <w:rsid w:val="00FB1BDF"/>
    <w:rsid w:val="00FB1C41"/>
    <w:rsid w:val="00FB1D5D"/>
    <w:rsid w:val="00FB3B0B"/>
    <w:rsid w:val="00FB439C"/>
    <w:rsid w:val="00FB58F0"/>
    <w:rsid w:val="00FB6822"/>
    <w:rsid w:val="00FB6D6C"/>
    <w:rsid w:val="00FC0AE9"/>
    <w:rsid w:val="00FC151C"/>
    <w:rsid w:val="00FC181A"/>
    <w:rsid w:val="00FC189C"/>
    <w:rsid w:val="00FC2528"/>
    <w:rsid w:val="00FC35E7"/>
    <w:rsid w:val="00FC4567"/>
    <w:rsid w:val="00FC4F9B"/>
    <w:rsid w:val="00FC5A72"/>
    <w:rsid w:val="00FC7DE2"/>
    <w:rsid w:val="00FD0061"/>
    <w:rsid w:val="00FD0A7E"/>
    <w:rsid w:val="00FD0AA9"/>
    <w:rsid w:val="00FD0E62"/>
    <w:rsid w:val="00FD1117"/>
    <w:rsid w:val="00FD4952"/>
    <w:rsid w:val="00FD4E70"/>
    <w:rsid w:val="00FD5EDA"/>
    <w:rsid w:val="00FD5F62"/>
    <w:rsid w:val="00FD778F"/>
    <w:rsid w:val="00FD7936"/>
    <w:rsid w:val="00FD7C82"/>
    <w:rsid w:val="00FE0F9D"/>
    <w:rsid w:val="00FE19BC"/>
    <w:rsid w:val="00FE280B"/>
    <w:rsid w:val="00FE2FF5"/>
    <w:rsid w:val="00FE3E58"/>
    <w:rsid w:val="00FE4393"/>
    <w:rsid w:val="00FE4C18"/>
    <w:rsid w:val="00FE501D"/>
    <w:rsid w:val="00FE53BF"/>
    <w:rsid w:val="00FE5CAB"/>
    <w:rsid w:val="00FE5DEE"/>
    <w:rsid w:val="00FE662A"/>
    <w:rsid w:val="00FE6A43"/>
    <w:rsid w:val="00FE6EB8"/>
    <w:rsid w:val="00FE7D7D"/>
    <w:rsid w:val="00FF0A38"/>
    <w:rsid w:val="00FF0B90"/>
    <w:rsid w:val="00FF141F"/>
    <w:rsid w:val="00FF20B2"/>
    <w:rsid w:val="00FF3C7B"/>
    <w:rsid w:val="00FF430F"/>
    <w:rsid w:val="00FF4AC2"/>
    <w:rsid w:val="00FF5C9D"/>
    <w:rsid w:val="00FF622F"/>
    <w:rsid w:val="00FF6949"/>
    <w:rsid w:val="00FF7566"/>
    <w:rsid w:val="00FF7F44"/>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70C193"/>
  <w15:docId w15:val="{2663EADF-D7D7-1D44-83E5-E28B4E62A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43"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5B7"/>
    <w:pPr>
      <w:spacing w:line="360" w:lineRule="auto"/>
      <w:ind w:firstLine="720"/>
      <w:jc w:val="both"/>
    </w:pPr>
    <w:rPr>
      <w:rFonts w:ascii="Times New Roman" w:hAnsi="Times New Roman"/>
    </w:rPr>
  </w:style>
  <w:style w:type="paragraph" w:styleId="Heading1">
    <w:name w:val="heading 1"/>
    <w:basedOn w:val="Normal"/>
    <w:next w:val="Normal"/>
    <w:link w:val="Heading1Char"/>
    <w:uiPriority w:val="9"/>
    <w:qFormat/>
    <w:rsid w:val="0025022D"/>
    <w:pPr>
      <w:keepNext/>
      <w:keepLines/>
      <w:spacing w:before="600" w:after="600"/>
      <w:outlineLvl w:val="0"/>
    </w:pPr>
    <w:rPr>
      <w:rFonts w:eastAsiaTheme="majorEastAsia" w:cstheme="majorBidi"/>
      <w:b/>
      <w:bCs/>
      <w:color w:val="000000" w:themeColor="text1"/>
      <w:sz w:val="32"/>
      <w:szCs w:val="32"/>
    </w:rPr>
  </w:style>
  <w:style w:type="paragraph" w:styleId="Heading2">
    <w:name w:val="heading 2"/>
    <w:basedOn w:val="Normal"/>
    <w:next w:val="Normal"/>
    <w:link w:val="Heading2Char"/>
    <w:uiPriority w:val="9"/>
    <w:unhideWhenUsed/>
    <w:qFormat/>
    <w:rsid w:val="00175B02"/>
    <w:pPr>
      <w:keepNext/>
      <w:keepLines/>
      <w:spacing w:before="600" w:after="360"/>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uiPriority w:val="9"/>
    <w:unhideWhenUsed/>
    <w:qFormat/>
    <w:rsid w:val="0047026B"/>
    <w:pPr>
      <w:keepNext/>
      <w:keepLines/>
      <w:spacing w:before="480" w:after="360"/>
      <w:jc w:val="left"/>
      <w:outlineLvl w:val="2"/>
    </w:pPr>
    <w:rPr>
      <w:rFonts w:eastAsiaTheme="majorEastAsia" w:cstheme="majorBidi"/>
      <w:b/>
      <w:i/>
      <w:color w:val="000000" w:themeColor="text1"/>
    </w:rPr>
  </w:style>
  <w:style w:type="paragraph" w:styleId="Heading4">
    <w:name w:val="heading 4"/>
    <w:basedOn w:val="Normal"/>
    <w:next w:val="Normal"/>
    <w:link w:val="Heading4Char"/>
    <w:uiPriority w:val="9"/>
    <w:unhideWhenUsed/>
    <w:qFormat/>
    <w:rsid w:val="00F743E0"/>
    <w:pPr>
      <w:keepNext/>
      <w:keepLines/>
      <w:spacing w:before="240" w:after="40" w:line="480" w:lineRule="auto"/>
      <w:outlineLvl w:val="3"/>
    </w:pPr>
    <w:rPr>
      <w:rFonts w:eastAsiaTheme="majorEastAsia" w:cstheme="majorBidi"/>
      <w:b/>
      <w:iCs/>
      <w:color w:val="000000" w:themeColor="text1"/>
      <w:szCs w:val="22"/>
    </w:rPr>
  </w:style>
  <w:style w:type="paragraph" w:styleId="Heading5">
    <w:name w:val="heading 5"/>
    <w:aliases w:val="TableNames"/>
    <w:basedOn w:val="Normal"/>
    <w:next w:val="Normal"/>
    <w:link w:val="Heading5Char"/>
    <w:uiPriority w:val="9"/>
    <w:unhideWhenUsed/>
    <w:qFormat/>
    <w:rsid w:val="00876CF3"/>
    <w:pPr>
      <w:keepNext/>
      <w:keepLines/>
      <w:spacing w:before="120"/>
      <w:jc w:val="center"/>
      <w:outlineLvl w:val="4"/>
    </w:pPr>
    <w:rPr>
      <w:rFonts w:eastAsiaTheme="majorEastAsia" w:cstheme="majorBidi"/>
      <w:color w:val="7F7F7F" w:themeColor="text1" w:themeTint="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022D"/>
    <w:rPr>
      <w:rFonts w:ascii="Times New Roman" w:eastAsiaTheme="majorEastAsia" w:hAnsi="Times New Roman" w:cstheme="majorBidi"/>
      <w:b/>
      <w:bCs/>
      <w:color w:val="000000" w:themeColor="text1"/>
      <w:sz w:val="32"/>
      <w:szCs w:val="32"/>
    </w:rPr>
  </w:style>
  <w:style w:type="character" w:customStyle="1" w:styleId="Heading2Char">
    <w:name w:val="Heading 2 Char"/>
    <w:basedOn w:val="DefaultParagraphFont"/>
    <w:link w:val="Heading2"/>
    <w:uiPriority w:val="9"/>
    <w:rsid w:val="00175B02"/>
    <w:rPr>
      <w:rFonts w:ascii="Times New Roman" w:eastAsiaTheme="majorEastAsia" w:hAnsi="Times New Roman" w:cstheme="majorBidi"/>
      <w:b/>
      <w:bCs/>
      <w:color w:val="000000" w:themeColor="text1"/>
      <w:sz w:val="26"/>
      <w:szCs w:val="26"/>
    </w:rPr>
  </w:style>
  <w:style w:type="character" w:customStyle="1" w:styleId="Heading3Char">
    <w:name w:val="Heading 3 Char"/>
    <w:basedOn w:val="DefaultParagraphFont"/>
    <w:link w:val="Heading3"/>
    <w:uiPriority w:val="9"/>
    <w:rsid w:val="00FF7566"/>
    <w:rPr>
      <w:rFonts w:ascii="Times New Roman" w:eastAsiaTheme="majorEastAsia" w:hAnsi="Times New Roman" w:cstheme="majorBidi"/>
      <w:b/>
      <w:i/>
      <w:color w:val="000000" w:themeColor="text1"/>
    </w:rPr>
  </w:style>
  <w:style w:type="paragraph" w:styleId="ListParagraph">
    <w:name w:val="List Paragraph"/>
    <w:basedOn w:val="Normal"/>
    <w:uiPriority w:val="34"/>
    <w:qFormat/>
    <w:rsid w:val="003B2E44"/>
    <w:pPr>
      <w:ind w:left="720"/>
      <w:contextualSpacing/>
    </w:pPr>
  </w:style>
  <w:style w:type="paragraph" w:styleId="Bibliography">
    <w:name w:val="Bibliography"/>
    <w:basedOn w:val="Normal"/>
    <w:next w:val="Normal"/>
    <w:uiPriority w:val="37"/>
    <w:unhideWhenUsed/>
    <w:rsid w:val="003B2E44"/>
    <w:pPr>
      <w:spacing w:line="240" w:lineRule="auto"/>
      <w:ind w:left="720" w:hanging="720"/>
    </w:pPr>
  </w:style>
  <w:style w:type="paragraph" w:styleId="Title">
    <w:name w:val="Title"/>
    <w:basedOn w:val="Heading1"/>
    <w:next w:val="Normal"/>
    <w:link w:val="TitleChar"/>
    <w:uiPriority w:val="10"/>
    <w:qFormat/>
    <w:rsid w:val="00BC4C0B"/>
    <w:pPr>
      <w:spacing w:before="2760"/>
      <w:ind w:left="1588" w:right="1588" w:firstLine="0"/>
      <w:jc w:val="center"/>
    </w:pPr>
  </w:style>
  <w:style w:type="character" w:customStyle="1" w:styleId="TitleChar">
    <w:name w:val="Title Char"/>
    <w:basedOn w:val="DefaultParagraphFont"/>
    <w:link w:val="Title"/>
    <w:uiPriority w:val="10"/>
    <w:rsid w:val="00BC4C0B"/>
    <w:rPr>
      <w:rFonts w:ascii="Times New Roman" w:eastAsiaTheme="majorEastAsia" w:hAnsi="Times New Roman" w:cstheme="majorBidi"/>
      <w:b/>
      <w:bCs/>
      <w:color w:val="000000" w:themeColor="text1"/>
      <w:sz w:val="32"/>
      <w:szCs w:val="32"/>
    </w:rPr>
  </w:style>
  <w:style w:type="paragraph" w:styleId="Subtitle">
    <w:name w:val="Subtitle"/>
    <w:basedOn w:val="Normal"/>
    <w:next w:val="Normal"/>
    <w:link w:val="SubtitleChar"/>
    <w:uiPriority w:val="11"/>
    <w:qFormat/>
    <w:rsid w:val="003B2E44"/>
    <w:pPr>
      <w:numPr>
        <w:ilvl w:val="1"/>
      </w:numPr>
      <w:spacing w:after="160"/>
      <w:ind w:firstLine="720"/>
    </w:pPr>
    <w:rPr>
      <w:rFonts w:eastAsiaTheme="minorEastAsia"/>
      <w:i/>
      <w:color w:val="595959" w:themeColor="text1" w:themeTint="A6"/>
      <w:sz w:val="22"/>
      <w:szCs w:val="22"/>
    </w:rPr>
  </w:style>
  <w:style w:type="character" w:customStyle="1" w:styleId="SubtitleChar">
    <w:name w:val="Subtitle Char"/>
    <w:basedOn w:val="DefaultParagraphFont"/>
    <w:link w:val="Subtitle"/>
    <w:uiPriority w:val="11"/>
    <w:rsid w:val="003B2E44"/>
    <w:rPr>
      <w:rFonts w:ascii="Times New Roman" w:eastAsiaTheme="minorEastAsia" w:hAnsi="Times New Roman"/>
      <w:i/>
      <w:color w:val="595959" w:themeColor="text1" w:themeTint="A6"/>
      <w:sz w:val="22"/>
      <w:szCs w:val="22"/>
    </w:rPr>
  </w:style>
  <w:style w:type="character" w:styleId="Hyperlink">
    <w:name w:val="Hyperlink"/>
    <w:basedOn w:val="DefaultParagraphFont"/>
    <w:uiPriority w:val="99"/>
    <w:unhideWhenUsed/>
    <w:rsid w:val="003B2E44"/>
    <w:rPr>
      <w:color w:val="0000FF"/>
      <w:u w:val="single"/>
    </w:rPr>
  </w:style>
  <w:style w:type="paragraph" w:styleId="Index1">
    <w:name w:val="index 1"/>
    <w:basedOn w:val="Normal"/>
    <w:next w:val="Normal"/>
    <w:autoRedefine/>
    <w:uiPriority w:val="99"/>
    <w:unhideWhenUsed/>
    <w:rsid w:val="003B2E44"/>
    <w:pPr>
      <w:ind w:left="240" w:hanging="240"/>
      <w:jc w:val="left"/>
    </w:pPr>
    <w:rPr>
      <w:rFonts w:asciiTheme="minorHAnsi" w:hAnsiTheme="minorHAnsi"/>
      <w:sz w:val="20"/>
      <w:szCs w:val="20"/>
    </w:rPr>
  </w:style>
  <w:style w:type="paragraph" w:styleId="Index2">
    <w:name w:val="index 2"/>
    <w:basedOn w:val="Normal"/>
    <w:next w:val="Normal"/>
    <w:autoRedefine/>
    <w:uiPriority w:val="99"/>
    <w:unhideWhenUsed/>
    <w:rsid w:val="003B2E44"/>
    <w:pPr>
      <w:ind w:left="480" w:hanging="240"/>
      <w:jc w:val="left"/>
    </w:pPr>
    <w:rPr>
      <w:rFonts w:asciiTheme="minorHAnsi" w:hAnsiTheme="minorHAnsi"/>
      <w:sz w:val="20"/>
      <w:szCs w:val="20"/>
    </w:rPr>
  </w:style>
  <w:style w:type="paragraph" w:styleId="Index3">
    <w:name w:val="index 3"/>
    <w:basedOn w:val="Normal"/>
    <w:next w:val="Normal"/>
    <w:autoRedefine/>
    <w:uiPriority w:val="99"/>
    <w:unhideWhenUsed/>
    <w:rsid w:val="003B2E44"/>
    <w:pPr>
      <w:ind w:left="720" w:hanging="240"/>
      <w:jc w:val="left"/>
    </w:pPr>
    <w:rPr>
      <w:rFonts w:asciiTheme="minorHAnsi" w:hAnsiTheme="minorHAnsi"/>
      <w:sz w:val="20"/>
      <w:szCs w:val="20"/>
    </w:rPr>
  </w:style>
  <w:style w:type="paragraph" w:styleId="Index4">
    <w:name w:val="index 4"/>
    <w:basedOn w:val="Normal"/>
    <w:next w:val="Normal"/>
    <w:autoRedefine/>
    <w:uiPriority w:val="99"/>
    <w:unhideWhenUsed/>
    <w:rsid w:val="003B2E44"/>
    <w:pPr>
      <w:ind w:left="960" w:hanging="240"/>
      <w:jc w:val="left"/>
    </w:pPr>
    <w:rPr>
      <w:rFonts w:asciiTheme="minorHAnsi" w:hAnsiTheme="minorHAnsi"/>
      <w:sz w:val="20"/>
      <w:szCs w:val="20"/>
    </w:rPr>
  </w:style>
  <w:style w:type="paragraph" w:styleId="Index5">
    <w:name w:val="index 5"/>
    <w:basedOn w:val="Normal"/>
    <w:next w:val="Normal"/>
    <w:autoRedefine/>
    <w:uiPriority w:val="99"/>
    <w:unhideWhenUsed/>
    <w:rsid w:val="003B2E44"/>
    <w:pPr>
      <w:ind w:left="1200" w:hanging="240"/>
      <w:jc w:val="left"/>
    </w:pPr>
    <w:rPr>
      <w:rFonts w:asciiTheme="minorHAnsi" w:hAnsiTheme="minorHAnsi"/>
      <w:sz w:val="20"/>
      <w:szCs w:val="20"/>
    </w:rPr>
  </w:style>
  <w:style w:type="paragraph" w:styleId="Index6">
    <w:name w:val="index 6"/>
    <w:basedOn w:val="Normal"/>
    <w:next w:val="Normal"/>
    <w:autoRedefine/>
    <w:uiPriority w:val="99"/>
    <w:unhideWhenUsed/>
    <w:rsid w:val="003B2E44"/>
    <w:pPr>
      <w:ind w:left="1440" w:hanging="240"/>
      <w:jc w:val="left"/>
    </w:pPr>
    <w:rPr>
      <w:rFonts w:asciiTheme="minorHAnsi" w:hAnsiTheme="minorHAnsi"/>
      <w:sz w:val="20"/>
      <w:szCs w:val="20"/>
    </w:rPr>
  </w:style>
  <w:style w:type="paragraph" w:styleId="Index7">
    <w:name w:val="index 7"/>
    <w:basedOn w:val="Normal"/>
    <w:next w:val="Normal"/>
    <w:autoRedefine/>
    <w:uiPriority w:val="99"/>
    <w:unhideWhenUsed/>
    <w:rsid w:val="003B2E44"/>
    <w:pPr>
      <w:ind w:left="1680" w:hanging="240"/>
      <w:jc w:val="left"/>
    </w:pPr>
    <w:rPr>
      <w:rFonts w:asciiTheme="minorHAnsi" w:hAnsiTheme="minorHAnsi"/>
      <w:sz w:val="20"/>
      <w:szCs w:val="20"/>
    </w:rPr>
  </w:style>
  <w:style w:type="paragraph" w:styleId="Index8">
    <w:name w:val="index 8"/>
    <w:basedOn w:val="Normal"/>
    <w:next w:val="Normal"/>
    <w:autoRedefine/>
    <w:uiPriority w:val="99"/>
    <w:unhideWhenUsed/>
    <w:rsid w:val="003B2E44"/>
    <w:pPr>
      <w:ind w:left="1920" w:hanging="240"/>
      <w:jc w:val="left"/>
    </w:pPr>
    <w:rPr>
      <w:rFonts w:asciiTheme="minorHAnsi" w:hAnsiTheme="minorHAnsi"/>
      <w:sz w:val="20"/>
      <w:szCs w:val="20"/>
    </w:rPr>
  </w:style>
  <w:style w:type="paragraph" w:styleId="Index9">
    <w:name w:val="index 9"/>
    <w:basedOn w:val="Normal"/>
    <w:next w:val="Normal"/>
    <w:autoRedefine/>
    <w:uiPriority w:val="99"/>
    <w:unhideWhenUsed/>
    <w:rsid w:val="003B2E44"/>
    <w:pPr>
      <w:ind w:left="2160" w:hanging="240"/>
      <w:jc w:val="left"/>
    </w:pPr>
    <w:rPr>
      <w:rFonts w:asciiTheme="minorHAnsi" w:hAnsiTheme="minorHAnsi"/>
      <w:sz w:val="20"/>
      <w:szCs w:val="20"/>
    </w:rPr>
  </w:style>
  <w:style w:type="paragraph" w:styleId="IndexHeading">
    <w:name w:val="index heading"/>
    <w:basedOn w:val="Normal"/>
    <w:next w:val="Index1"/>
    <w:uiPriority w:val="99"/>
    <w:unhideWhenUsed/>
    <w:rsid w:val="003B2E44"/>
    <w:pPr>
      <w:jc w:val="left"/>
    </w:pPr>
    <w:rPr>
      <w:rFonts w:asciiTheme="minorHAnsi" w:hAnsiTheme="minorHAnsi"/>
      <w:sz w:val="20"/>
      <w:szCs w:val="20"/>
    </w:rPr>
  </w:style>
  <w:style w:type="paragraph" w:styleId="TOC1">
    <w:name w:val="toc 1"/>
    <w:basedOn w:val="Normal"/>
    <w:next w:val="Normal"/>
    <w:autoRedefine/>
    <w:uiPriority w:val="39"/>
    <w:unhideWhenUsed/>
    <w:rsid w:val="002C6B53"/>
    <w:pPr>
      <w:tabs>
        <w:tab w:val="right" w:pos="9622"/>
      </w:tabs>
      <w:spacing w:before="360"/>
      <w:ind w:firstLine="0"/>
      <w:jc w:val="left"/>
    </w:pPr>
    <w:rPr>
      <w:b/>
      <w:caps/>
    </w:rPr>
  </w:style>
  <w:style w:type="paragraph" w:styleId="TOC2">
    <w:name w:val="toc 2"/>
    <w:basedOn w:val="Normal"/>
    <w:next w:val="Normal"/>
    <w:autoRedefine/>
    <w:uiPriority w:val="39"/>
    <w:unhideWhenUsed/>
    <w:rsid w:val="00191CA3"/>
    <w:pPr>
      <w:spacing w:before="120"/>
      <w:ind w:firstLine="284"/>
      <w:jc w:val="left"/>
    </w:pPr>
    <w:rPr>
      <w:b/>
      <w:szCs w:val="20"/>
    </w:rPr>
  </w:style>
  <w:style w:type="paragraph" w:styleId="TOC3">
    <w:name w:val="toc 3"/>
    <w:basedOn w:val="Normal"/>
    <w:next w:val="Normal"/>
    <w:autoRedefine/>
    <w:uiPriority w:val="39"/>
    <w:unhideWhenUsed/>
    <w:rsid w:val="005A360E"/>
    <w:pPr>
      <w:ind w:left="238" w:firstLine="510"/>
      <w:jc w:val="left"/>
    </w:pPr>
    <w:rPr>
      <w:szCs w:val="20"/>
    </w:rPr>
  </w:style>
  <w:style w:type="paragraph" w:styleId="TOC4">
    <w:name w:val="toc 4"/>
    <w:basedOn w:val="Normal"/>
    <w:next w:val="Normal"/>
    <w:autoRedefine/>
    <w:uiPriority w:val="39"/>
    <w:unhideWhenUsed/>
    <w:rsid w:val="005A360E"/>
    <w:pPr>
      <w:ind w:left="480"/>
      <w:jc w:val="left"/>
    </w:pPr>
    <w:rPr>
      <w:szCs w:val="20"/>
    </w:rPr>
  </w:style>
  <w:style w:type="paragraph" w:styleId="TOC5">
    <w:name w:val="toc 5"/>
    <w:basedOn w:val="Normal"/>
    <w:next w:val="Normal"/>
    <w:autoRedefine/>
    <w:uiPriority w:val="39"/>
    <w:unhideWhenUsed/>
    <w:rsid w:val="004E2BB0"/>
    <w:pPr>
      <w:ind w:left="720"/>
      <w:jc w:val="left"/>
    </w:pPr>
    <w:rPr>
      <w:sz w:val="20"/>
      <w:szCs w:val="20"/>
    </w:rPr>
  </w:style>
  <w:style w:type="paragraph" w:styleId="TOC6">
    <w:name w:val="toc 6"/>
    <w:basedOn w:val="Normal"/>
    <w:next w:val="Normal"/>
    <w:autoRedefine/>
    <w:uiPriority w:val="39"/>
    <w:unhideWhenUsed/>
    <w:rsid w:val="004E2BB0"/>
    <w:pPr>
      <w:ind w:left="960"/>
      <w:jc w:val="left"/>
    </w:pPr>
    <w:rPr>
      <w:sz w:val="20"/>
      <w:szCs w:val="20"/>
    </w:rPr>
  </w:style>
  <w:style w:type="paragraph" w:styleId="TOC7">
    <w:name w:val="toc 7"/>
    <w:basedOn w:val="Normal"/>
    <w:next w:val="Normal"/>
    <w:autoRedefine/>
    <w:uiPriority w:val="39"/>
    <w:unhideWhenUsed/>
    <w:rsid w:val="003B2E44"/>
    <w:pPr>
      <w:ind w:left="1200"/>
      <w:jc w:val="left"/>
    </w:pPr>
    <w:rPr>
      <w:rFonts w:asciiTheme="minorHAnsi" w:hAnsiTheme="minorHAnsi"/>
      <w:sz w:val="20"/>
      <w:szCs w:val="20"/>
    </w:rPr>
  </w:style>
  <w:style w:type="paragraph" w:styleId="TOC8">
    <w:name w:val="toc 8"/>
    <w:basedOn w:val="Normal"/>
    <w:next w:val="Normal"/>
    <w:autoRedefine/>
    <w:uiPriority w:val="39"/>
    <w:unhideWhenUsed/>
    <w:rsid w:val="003B2E44"/>
    <w:pPr>
      <w:ind w:left="1440"/>
      <w:jc w:val="left"/>
    </w:pPr>
    <w:rPr>
      <w:rFonts w:asciiTheme="minorHAnsi" w:hAnsiTheme="minorHAnsi"/>
      <w:sz w:val="20"/>
      <w:szCs w:val="20"/>
    </w:rPr>
  </w:style>
  <w:style w:type="paragraph" w:styleId="TOC9">
    <w:name w:val="toc 9"/>
    <w:basedOn w:val="Normal"/>
    <w:next w:val="Normal"/>
    <w:autoRedefine/>
    <w:uiPriority w:val="39"/>
    <w:unhideWhenUsed/>
    <w:rsid w:val="003B2E44"/>
    <w:pPr>
      <w:ind w:left="1680"/>
      <w:jc w:val="left"/>
    </w:pPr>
    <w:rPr>
      <w:rFonts w:asciiTheme="minorHAnsi" w:hAnsiTheme="minorHAnsi"/>
      <w:sz w:val="20"/>
      <w:szCs w:val="20"/>
    </w:rPr>
  </w:style>
  <w:style w:type="character" w:styleId="PlaceholderText">
    <w:name w:val="Placeholder Text"/>
    <w:basedOn w:val="DefaultParagraphFont"/>
    <w:uiPriority w:val="99"/>
    <w:semiHidden/>
    <w:rsid w:val="003B2E44"/>
    <w:rPr>
      <w:color w:val="808080"/>
    </w:rPr>
  </w:style>
  <w:style w:type="paragraph" w:styleId="Caption">
    <w:name w:val="caption"/>
    <w:basedOn w:val="Normal"/>
    <w:next w:val="Normal"/>
    <w:uiPriority w:val="35"/>
    <w:unhideWhenUsed/>
    <w:qFormat/>
    <w:rsid w:val="00001E29"/>
    <w:pPr>
      <w:spacing w:after="240" w:line="240" w:lineRule="auto"/>
      <w:ind w:left="1134" w:right="1134" w:firstLine="0"/>
    </w:pPr>
    <w:rPr>
      <w:iCs/>
      <w:color w:val="767171" w:themeColor="background2" w:themeShade="80"/>
      <w:sz w:val="20"/>
      <w:szCs w:val="18"/>
    </w:rPr>
  </w:style>
  <w:style w:type="character" w:styleId="CommentReference">
    <w:name w:val="annotation reference"/>
    <w:basedOn w:val="DefaultParagraphFont"/>
    <w:uiPriority w:val="99"/>
    <w:semiHidden/>
    <w:unhideWhenUsed/>
    <w:rsid w:val="003B2E44"/>
    <w:rPr>
      <w:sz w:val="18"/>
      <w:szCs w:val="18"/>
    </w:rPr>
  </w:style>
  <w:style w:type="paragraph" w:styleId="CommentText">
    <w:name w:val="annotation text"/>
    <w:basedOn w:val="Normal"/>
    <w:link w:val="CommentTextChar"/>
    <w:uiPriority w:val="99"/>
    <w:unhideWhenUsed/>
    <w:rsid w:val="003B2E44"/>
    <w:pPr>
      <w:spacing w:line="240" w:lineRule="auto"/>
    </w:pPr>
  </w:style>
  <w:style w:type="character" w:customStyle="1" w:styleId="CommentTextChar">
    <w:name w:val="Comment Text Char"/>
    <w:basedOn w:val="DefaultParagraphFont"/>
    <w:link w:val="CommentText"/>
    <w:uiPriority w:val="99"/>
    <w:rsid w:val="003B2E44"/>
    <w:rPr>
      <w:rFonts w:ascii="Times New Roman" w:hAnsi="Times New Roman"/>
    </w:rPr>
  </w:style>
  <w:style w:type="paragraph" w:styleId="CommentSubject">
    <w:name w:val="annotation subject"/>
    <w:basedOn w:val="CommentText"/>
    <w:next w:val="CommentText"/>
    <w:link w:val="CommentSubjectChar"/>
    <w:uiPriority w:val="99"/>
    <w:semiHidden/>
    <w:unhideWhenUsed/>
    <w:rsid w:val="003B2E44"/>
    <w:rPr>
      <w:b/>
      <w:bCs/>
      <w:sz w:val="20"/>
      <w:szCs w:val="20"/>
    </w:rPr>
  </w:style>
  <w:style w:type="character" w:customStyle="1" w:styleId="CommentSubjectChar">
    <w:name w:val="Comment Subject Char"/>
    <w:basedOn w:val="CommentTextChar"/>
    <w:link w:val="CommentSubject"/>
    <w:uiPriority w:val="99"/>
    <w:semiHidden/>
    <w:rsid w:val="003B2E44"/>
    <w:rPr>
      <w:rFonts w:ascii="Times New Roman" w:hAnsi="Times New Roman"/>
      <w:b/>
      <w:bCs/>
      <w:sz w:val="20"/>
      <w:szCs w:val="20"/>
    </w:rPr>
  </w:style>
  <w:style w:type="paragraph" w:styleId="BalloonText">
    <w:name w:val="Balloon Text"/>
    <w:basedOn w:val="Normal"/>
    <w:link w:val="BalloonTextChar"/>
    <w:uiPriority w:val="99"/>
    <w:semiHidden/>
    <w:unhideWhenUsed/>
    <w:rsid w:val="003B2E44"/>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B2E44"/>
    <w:rPr>
      <w:rFonts w:ascii="Times New Roman" w:hAnsi="Times New Roman" w:cs="Times New Roman"/>
      <w:sz w:val="18"/>
      <w:szCs w:val="18"/>
    </w:rPr>
  </w:style>
  <w:style w:type="character" w:customStyle="1" w:styleId="Heading4Char">
    <w:name w:val="Heading 4 Char"/>
    <w:basedOn w:val="DefaultParagraphFont"/>
    <w:link w:val="Heading4"/>
    <w:uiPriority w:val="9"/>
    <w:rsid w:val="00F743E0"/>
    <w:rPr>
      <w:rFonts w:ascii="Times New Roman" w:eastAsiaTheme="majorEastAsia" w:hAnsi="Times New Roman" w:cstheme="majorBidi"/>
      <w:b/>
      <w:iCs/>
      <w:color w:val="000000" w:themeColor="text1"/>
      <w:szCs w:val="22"/>
    </w:rPr>
  </w:style>
  <w:style w:type="paragraph" w:customStyle="1" w:styleId="Body">
    <w:name w:val="Body"/>
    <w:rsid w:val="003B2E44"/>
    <w:pPr>
      <w:ind w:firstLine="360"/>
      <w:jc w:val="both"/>
    </w:pPr>
    <w:rPr>
      <w:rFonts w:ascii="Times New Roman" w:eastAsia="Arial Unicode MS" w:hAnsi="Times New Roman" w:cs="Arial Unicode MS"/>
      <w:color w:val="000000"/>
      <w:sz w:val="22"/>
      <w:szCs w:val="22"/>
      <w:u w:color="000000"/>
    </w:rPr>
  </w:style>
  <w:style w:type="character" w:styleId="FollowedHyperlink">
    <w:name w:val="FollowedHyperlink"/>
    <w:basedOn w:val="DefaultParagraphFont"/>
    <w:uiPriority w:val="99"/>
    <w:semiHidden/>
    <w:unhideWhenUsed/>
    <w:rsid w:val="003B2E44"/>
    <w:rPr>
      <w:color w:val="954F72" w:themeColor="followedHyperlink"/>
      <w:u w:val="single"/>
    </w:rPr>
  </w:style>
  <w:style w:type="table" w:styleId="TableGrid">
    <w:name w:val="Table Grid"/>
    <w:basedOn w:val="TableNormal"/>
    <w:uiPriority w:val="39"/>
    <w:rsid w:val="003B2E4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B2E44"/>
    <w:rPr>
      <w:rFonts w:ascii="Times New Roman" w:hAnsi="Times New Roman" w:cs="Times New Roman"/>
    </w:rPr>
  </w:style>
  <w:style w:type="paragraph" w:styleId="Header">
    <w:name w:val="header"/>
    <w:basedOn w:val="Normal"/>
    <w:link w:val="HeaderChar"/>
    <w:uiPriority w:val="99"/>
    <w:unhideWhenUsed/>
    <w:rsid w:val="003B2E44"/>
    <w:pPr>
      <w:tabs>
        <w:tab w:val="center" w:pos="4819"/>
        <w:tab w:val="right" w:pos="9638"/>
      </w:tabs>
      <w:spacing w:before="120" w:after="120" w:line="240" w:lineRule="auto"/>
      <w:ind w:firstLine="454"/>
    </w:pPr>
    <w:rPr>
      <w:rFonts w:cs="Times New Roman"/>
    </w:rPr>
  </w:style>
  <w:style w:type="character" w:customStyle="1" w:styleId="HeaderChar">
    <w:name w:val="Header Char"/>
    <w:basedOn w:val="DefaultParagraphFont"/>
    <w:link w:val="Header"/>
    <w:uiPriority w:val="99"/>
    <w:rsid w:val="003B2E44"/>
    <w:rPr>
      <w:rFonts w:ascii="Times New Roman" w:hAnsi="Times New Roman" w:cs="Times New Roman"/>
    </w:rPr>
  </w:style>
  <w:style w:type="character" w:styleId="PageNumber">
    <w:name w:val="page number"/>
    <w:basedOn w:val="DefaultParagraphFont"/>
    <w:uiPriority w:val="99"/>
    <w:semiHidden/>
    <w:unhideWhenUsed/>
    <w:rsid w:val="003B2E44"/>
  </w:style>
  <w:style w:type="paragraph" w:styleId="Footer">
    <w:name w:val="footer"/>
    <w:basedOn w:val="Normal"/>
    <w:link w:val="FooterChar"/>
    <w:uiPriority w:val="99"/>
    <w:unhideWhenUsed/>
    <w:rsid w:val="003B2E44"/>
    <w:pPr>
      <w:tabs>
        <w:tab w:val="center" w:pos="4819"/>
        <w:tab w:val="right" w:pos="9638"/>
      </w:tabs>
      <w:spacing w:before="120" w:after="120" w:line="240" w:lineRule="auto"/>
      <w:ind w:firstLine="454"/>
    </w:pPr>
    <w:rPr>
      <w:rFonts w:cs="Times New Roman"/>
    </w:rPr>
  </w:style>
  <w:style w:type="character" w:customStyle="1" w:styleId="FooterChar">
    <w:name w:val="Footer Char"/>
    <w:basedOn w:val="DefaultParagraphFont"/>
    <w:link w:val="Footer"/>
    <w:uiPriority w:val="99"/>
    <w:rsid w:val="003B2E44"/>
    <w:rPr>
      <w:rFonts w:ascii="Times New Roman" w:hAnsi="Times New Roman" w:cs="Times New Roman"/>
    </w:rPr>
  </w:style>
  <w:style w:type="paragraph" w:styleId="DocumentMap">
    <w:name w:val="Document Map"/>
    <w:basedOn w:val="Normal"/>
    <w:link w:val="DocumentMapChar"/>
    <w:uiPriority w:val="99"/>
    <w:semiHidden/>
    <w:unhideWhenUsed/>
    <w:rsid w:val="003B2E44"/>
    <w:pPr>
      <w:spacing w:before="120" w:after="120" w:line="240" w:lineRule="auto"/>
      <w:ind w:firstLine="454"/>
    </w:pPr>
    <w:rPr>
      <w:rFonts w:cs="Times New Roman"/>
    </w:rPr>
  </w:style>
  <w:style w:type="character" w:customStyle="1" w:styleId="DocumentMapChar">
    <w:name w:val="Document Map Char"/>
    <w:basedOn w:val="DefaultParagraphFont"/>
    <w:link w:val="DocumentMap"/>
    <w:uiPriority w:val="99"/>
    <w:semiHidden/>
    <w:rsid w:val="003B2E44"/>
    <w:rPr>
      <w:rFonts w:ascii="Times New Roman" w:hAnsi="Times New Roman" w:cs="Times New Roman"/>
    </w:rPr>
  </w:style>
  <w:style w:type="character" w:styleId="LineNumber">
    <w:name w:val="line number"/>
    <w:basedOn w:val="DefaultParagraphFont"/>
    <w:uiPriority w:val="99"/>
    <w:semiHidden/>
    <w:unhideWhenUsed/>
    <w:rsid w:val="003B2E44"/>
  </w:style>
  <w:style w:type="character" w:styleId="SubtleEmphasis">
    <w:name w:val="Subtle Emphasis"/>
    <w:basedOn w:val="DefaultParagraphFont"/>
    <w:uiPriority w:val="19"/>
    <w:qFormat/>
    <w:rsid w:val="003B2E44"/>
    <w:rPr>
      <w:i/>
      <w:iCs/>
      <w:color w:val="404040" w:themeColor="text1" w:themeTint="BF"/>
    </w:rPr>
  </w:style>
  <w:style w:type="paragraph" w:styleId="NoSpacing">
    <w:name w:val="No Spacing"/>
    <w:uiPriority w:val="1"/>
    <w:qFormat/>
    <w:rsid w:val="003B2E44"/>
    <w:pPr>
      <w:ind w:firstLine="454"/>
      <w:jc w:val="both"/>
    </w:pPr>
    <w:rPr>
      <w:rFonts w:ascii="Times New Roman" w:hAnsi="Times New Roman" w:cs="Times New Roman"/>
    </w:rPr>
  </w:style>
  <w:style w:type="paragraph" w:customStyle="1" w:styleId="Table">
    <w:name w:val="Table"/>
    <w:basedOn w:val="Normal"/>
    <w:qFormat/>
    <w:rsid w:val="00E229FA"/>
    <w:pPr>
      <w:spacing w:line="240" w:lineRule="auto"/>
      <w:ind w:firstLine="0"/>
      <w:jc w:val="left"/>
    </w:pPr>
    <w:rPr>
      <w:rFonts w:cs="Times New Roman"/>
      <w:sz w:val="22"/>
      <w:szCs w:val="22"/>
    </w:rPr>
  </w:style>
  <w:style w:type="character" w:styleId="Emphasis">
    <w:name w:val="Emphasis"/>
    <w:basedOn w:val="DefaultParagraphFont"/>
    <w:uiPriority w:val="20"/>
    <w:qFormat/>
    <w:rsid w:val="003B2E44"/>
    <w:rPr>
      <w:i/>
      <w:iCs/>
    </w:rPr>
  </w:style>
  <w:style w:type="paragraph" w:customStyle="1" w:styleId="Style1">
    <w:name w:val="Style1"/>
    <w:basedOn w:val="Title"/>
    <w:qFormat/>
    <w:rsid w:val="00E50EE5"/>
    <w:pPr>
      <w:jc w:val="right"/>
    </w:pPr>
  </w:style>
  <w:style w:type="paragraph" w:customStyle="1" w:styleId="Titlewithnumbers">
    <w:name w:val="Title with numbers"/>
    <w:basedOn w:val="Title"/>
    <w:qFormat/>
    <w:rsid w:val="00776F4D"/>
    <w:pPr>
      <w:jc w:val="right"/>
    </w:pPr>
    <w:rPr>
      <w:color w:val="808080" w:themeColor="background1" w:themeShade="80"/>
    </w:rPr>
  </w:style>
  <w:style w:type="paragraph" w:customStyle="1" w:styleId="Abstract">
    <w:name w:val="Abstract"/>
    <w:basedOn w:val="Normal"/>
    <w:qFormat/>
    <w:rsid w:val="00B060EA"/>
    <w:pPr>
      <w:ind w:left="851" w:right="851" w:firstLine="0"/>
    </w:pPr>
  </w:style>
  <w:style w:type="paragraph" w:customStyle="1" w:styleId="NoteLevel41">
    <w:name w:val="Note Level 41"/>
    <w:basedOn w:val="Normal"/>
    <w:uiPriority w:val="99"/>
    <w:rsid w:val="00123B43"/>
    <w:pPr>
      <w:keepNext/>
      <w:numPr>
        <w:ilvl w:val="3"/>
        <w:numId w:val="19"/>
      </w:numPr>
      <w:contextualSpacing/>
      <w:outlineLvl w:val="3"/>
    </w:pPr>
    <w:rPr>
      <w:rFonts w:ascii="Verdana" w:hAnsi="Verdana"/>
    </w:rPr>
  </w:style>
  <w:style w:type="paragraph" w:customStyle="1" w:styleId="Titlenoindex">
    <w:name w:val="Title no index"/>
    <w:basedOn w:val="Title"/>
    <w:qFormat/>
    <w:rsid w:val="00A12E6D"/>
    <w:pPr>
      <w:spacing w:before="3000"/>
    </w:pPr>
  </w:style>
  <w:style w:type="table" w:customStyle="1" w:styleId="PlainTable51">
    <w:name w:val="Plain Table 51"/>
    <w:basedOn w:val="TableNormal"/>
    <w:uiPriority w:val="45"/>
    <w:rsid w:val="00AC2E2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rsid w:val="00AC2E2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9D2DB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7Colorful1">
    <w:name w:val="List Table 7 Colorful1"/>
    <w:basedOn w:val="TableNormal"/>
    <w:uiPriority w:val="52"/>
    <w:rsid w:val="00AA0807"/>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AA0807"/>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7Colorful-Accent31">
    <w:name w:val="Grid Table 7 Colorful - Accent 31"/>
    <w:basedOn w:val="TableNormal"/>
    <w:uiPriority w:val="52"/>
    <w:rsid w:val="00AA0807"/>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1">
    <w:name w:val="Grid Table 7 Colorful1"/>
    <w:basedOn w:val="TableNormal"/>
    <w:uiPriority w:val="52"/>
    <w:rsid w:val="00AA080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PlainTable11">
    <w:name w:val="Plain Table 11"/>
    <w:basedOn w:val="TableNormal"/>
    <w:uiPriority w:val="41"/>
    <w:rsid w:val="00A862B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2">
    <w:name w:val="Plain Table 32"/>
    <w:basedOn w:val="TableNormal"/>
    <w:uiPriority w:val="43"/>
    <w:rsid w:val="007240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7240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2">
    <w:name w:val="Plain Table 42"/>
    <w:basedOn w:val="TableNormal"/>
    <w:uiPriority w:val="44"/>
    <w:rsid w:val="007240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72404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724043"/>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PlainTable52">
    <w:name w:val="Plain Table 52"/>
    <w:basedOn w:val="TableNormal"/>
    <w:uiPriority w:val="45"/>
    <w:rsid w:val="007240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1">
    <w:name w:val="Grid Table 1 Light - Accent 31"/>
    <w:basedOn w:val="TableNormal"/>
    <w:uiPriority w:val="46"/>
    <w:rsid w:val="007D0FD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FigureTitles">
    <w:name w:val="FigureTitles"/>
    <w:basedOn w:val="Normal"/>
    <w:qFormat/>
    <w:rsid w:val="00B74673"/>
    <w:pPr>
      <w:spacing w:before="400" w:after="80"/>
      <w:ind w:firstLine="0"/>
      <w:jc w:val="center"/>
    </w:pPr>
  </w:style>
  <w:style w:type="paragraph" w:customStyle="1" w:styleId="Heading1NOcontents">
    <w:name w:val="Heading1NOcontents"/>
    <w:basedOn w:val="Heading1"/>
    <w:qFormat/>
    <w:rsid w:val="00191CA3"/>
  </w:style>
  <w:style w:type="paragraph" w:customStyle="1" w:styleId="Figures">
    <w:name w:val="Figures"/>
    <w:basedOn w:val="FigureTitles"/>
    <w:qFormat/>
    <w:rsid w:val="00B74673"/>
    <w:pPr>
      <w:spacing w:before="0" w:after="0"/>
    </w:pPr>
  </w:style>
  <w:style w:type="character" w:customStyle="1" w:styleId="UnresolvedMention1">
    <w:name w:val="Unresolved Mention1"/>
    <w:basedOn w:val="DefaultParagraphFont"/>
    <w:uiPriority w:val="99"/>
    <w:rsid w:val="00B14793"/>
    <w:rPr>
      <w:color w:val="605E5C"/>
      <w:shd w:val="clear" w:color="auto" w:fill="E1DFDD"/>
    </w:rPr>
  </w:style>
  <w:style w:type="character" w:customStyle="1" w:styleId="fontstyle01">
    <w:name w:val="fontstyle01"/>
    <w:basedOn w:val="DefaultParagraphFont"/>
    <w:rsid w:val="00B74BDD"/>
    <w:rPr>
      <w:rFonts w:ascii="TimesNewRomanPSMT" w:hAnsi="TimesNewRomanPSMT" w:hint="default"/>
      <w:b w:val="0"/>
      <w:bCs w:val="0"/>
      <w:i w:val="0"/>
      <w:iCs w:val="0"/>
      <w:color w:val="000000"/>
      <w:sz w:val="24"/>
      <w:szCs w:val="24"/>
    </w:rPr>
  </w:style>
  <w:style w:type="table" w:styleId="TableSimple3">
    <w:name w:val="Table Simple 3"/>
    <w:basedOn w:val="TableNormal"/>
    <w:uiPriority w:val="43"/>
    <w:rsid w:val="008B05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UnresolvedMention2">
    <w:name w:val="Unresolved Mention2"/>
    <w:basedOn w:val="DefaultParagraphFont"/>
    <w:uiPriority w:val="99"/>
    <w:rsid w:val="008B0578"/>
    <w:rPr>
      <w:color w:val="605E5C"/>
      <w:shd w:val="clear" w:color="auto" w:fill="E1DFDD"/>
    </w:rPr>
  </w:style>
  <w:style w:type="paragraph" w:styleId="NormalWeb">
    <w:name w:val="Normal (Web)"/>
    <w:basedOn w:val="Normal"/>
    <w:uiPriority w:val="99"/>
    <w:semiHidden/>
    <w:unhideWhenUsed/>
    <w:rsid w:val="00227DD5"/>
    <w:pPr>
      <w:spacing w:before="100" w:beforeAutospacing="1" w:after="100" w:afterAutospacing="1" w:line="240" w:lineRule="auto"/>
      <w:ind w:firstLine="0"/>
      <w:jc w:val="left"/>
    </w:pPr>
    <w:rPr>
      <w:rFonts w:eastAsia="Times New Roman" w:cs="Times New Roman"/>
      <w:lang w:val="it-IT"/>
    </w:rPr>
  </w:style>
  <w:style w:type="character" w:customStyle="1" w:styleId="st">
    <w:name w:val="st"/>
    <w:basedOn w:val="DefaultParagraphFont"/>
    <w:rsid w:val="003E55B2"/>
  </w:style>
  <w:style w:type="character" w:customStyle="1" w:styleId="fontstyle21">
    <w:name w:val="fontstyle21"/>
    <w:basedOn w:val="DefaultParagraphFont"/>
    <w:rsid w:val="001600E3"/>
    <w:rPr>
      <w:rFonts w:ascii="AdvOT596495f2+fb" w:hAnsi="AdvOT596495f2+fb" w:hint="default"/>
      <w:b w:val="0"/>
      <w:bCs w:val="0"/>
      <w:i w:val="0"/>
      <w:iCs w:val="0"/>
      <w:color w:val="000000"/>
      <w:sz w:val="16"/>
      <w:szCs w:val="16"/>
    </w:rPr>
  </w:style>
  <w:style w:type="paragraph" w:customStyle="1" w:styleId="Default">
    <w:name w:val="Default"/>
    <w:rsid w:val="00D212B9"/>
    <w:pPr>
      <w:autoSpaceDE w:val="0"/>
      <w:autoSpaceDN w:val="0"/>
      <w:adjustRightInd w:val="0"/>
    </w:pPr>
    <w:rPr>
      <w:rFonts w:ascii="Times New Roman" w:hAnsi="Times New Roman" w:cs="Times New Roman"/>
      <w:color w:val="000000"/>
      <w:lang w:val="en-GB"/>
    </w:rPr>
  </w:style>
  <w:style w:type="character" w:customStyle="1" w:styleId="e24kjd">
    <w:name w:val="e24kjd"/>
    <w:basedOn w:val="DefaultParagraphFont"/>
    <w:rsid w:val="007C7BAB"/>
  </w:style>
  <w:style w:type="character" w:customStyle="1" w:styleId="Heading5Char">
    <w:name w:val="Heading 5 Char"/>
    <w:aliases w:val="TableNames Char"/>
    <w:basedOn w:val="DefaultParagraphFont"/>
    <w:link w:val="Heading5"/>
    <w:uiPriority w:val="9"/>
    <w:rsid w:val="00876CF3"/>
    <w:rPr>
      <w:rFonts w:ascii="Times New Roman" w:eastAsiaTheme="majorEastAsia" w:hAnsi="Times New Roman" w:cstheme="majorBidi"/>
      <w:color w:val="7F7F7F" w:themeColor="text1" w:themeTint="80"/>
    </w:rPr>
  </w:style>
  <w:style w:type="table" w:customStyle="1" w:styleId="PlainTable320">
    <w:name w:val="Plain Table 32"/>
    <w:basedOn w:val="TableNormal"/>
    <w:uiPriority w:val="43"/>
    <w:rsid w:val="00D1307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0">
    <w:name w:val="Table Grid Light1"/>
    <w:basedOn w:val="TableNormal"/>
    <w:uiPriority w:val="40"/>
    <w:rsid w:val="00D1307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20">
    <w:name w:val="Plain Table 42"/>
    <w:basedOn w:val="TableNormal"/>
    <w:uiPriority w:val="44"/>
    <w:rsid w:val="00D1307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0">
    <w:name w:val="Grid Table 1 Light1"/>
    <w:basedOn w:val="TableNormal"/>
    <w:uiPriority w:val="46"/>
    <w:rsid w:val="00D1307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0">
    <w:name w:val="Grid Table 1 Light - Accent 11"/>
    <w:basedOn w:val="TableNormal"/>
    <w:uiPriority w:val="46"/>
    <w:rsid w:val="00D13076"/>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PlainTable520">
    <w:name w:val="Plain Table 52"/>
    <w:basedOn w:val="TableNormal"/>
    <w:uiPriority w:val="45"/>
    <w:rsid w:val="00D1307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10">
    <w:name w:val="Grid Table 1 Light - Accent 31"/>
    <w:basedOn w:val="TableNormal"/>
    <w:uiPriority w:val="46"/>
    <w:rsid w:val="00D13076"/>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6235A1"/>
    <w:rPr>
      <w:b/>
      <w:bCs/>
    </w:rPr>
  </w:style>
  <w:style w:type="character" w:customStyle="1" w:styleId="lrzxr">
    <w:name w:val="lrzxr"/>
    <w:basedOn w:val="DefaultParagraphFont"/>
    <w:rsid w:val="0049245D"/>
  </w:style>
  <w:style w:type="table" w:styleId="PlainTable3">
    <w:name w:val="Plain Table 3"/>
    <w:basedOn w:val="TableNormal"/>
    <w:uiPriority w:val="43"/>
    <w:rsid w:val="0047026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47026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47026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47026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47026B"/>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47026B"/>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3">
    <w:name w:val="Grid Table 1 Light Accent 3"/>
    <w:basedOn w:val="TableNormal"/>
    <w:uiPriority w:val="46"/>
    <w:rsid w:val="0047026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96619">
      <w:bodyDiv w:val="1"/>
      <w:marLeft w:val="0"/>
      <w:marRight w:val="0"/>
      <w:marTop w:val="0"/>
      <w:marBottom w:val="0"/>
      <w:divBdr>
        <w:top w:val="none" w:sz="0" w:space="0" w:color="auto"/>
        <w:left w:val="none" w:sz="0" w:space="0" w:color="auto"/>
        <w:bottom w:val="none" w:sz="0" w:space="0" w:color="auto"/>
        <w:right w:val="none" w:sz="0" w:space="0" w:color="auto"/>
      </w:divBdr>
    </w:div>
    <w:div w:id="7413215">
      <w:bodyDiv w:val="1"/>
      <w:marLeft w:val="0"/>
      <w:marRight w:val="0"/>
      <w:marTop w:val="0"/>
      <w:marBottom w:val="0"/>
      <w:divBdr>
        <w:top w:val="none" w:sz="0" w:space="0" w:color="auto"/>
        <w:left w:val="none" w:sz="0" w:space="0" w:color="auto"/>
        <w:bottom w:val="none" w:sz="0" w:space="0" w:color="auto"/>
        <w:right w:val="none" w:sz="0" w:space="0" w:color="auto"/>
      </w:divBdr>
    </w:div>
    <w:div w:id="22437044">
      <w:bodyDiv w:val="1"/>
      <w:marLeft w:val="0"/>
      <w:marRight w:val="0"/>
      <w:marTop w:val="0"/>
      <w:marBottom w:val="0"/>
      <w:divBdr>
        <w:top w:val="none" w:sz="0" w:space="0" w:color="auto"/>
        <w:left w:val="none" w:sz="0" w:space="0" w:color="auto"/>
        <w:bottom w:val="none" w:sz="0" w:space="0" w:color="auto"/>
        <w:right w:val="none" w:sz="0" w:space="0" w:color="auto"/>
      </w:divBdr>
    </w:div>
    <w:div w:id="27069659">
      <w:bodyDiv w:val="1"/>
      <w:marLeft w:val="0"/>
      <w:marRight w:val="0"/>
      <w:marTop w:val="0"/>
      <w:marBottom w:val="0"/>
      <w:divBdr>
        <w:top w:val="none" w:sz="0" w:space="0" w:color="auto"/>
        <w:left w:val="none" w:sz="0" w:space="0" w:color="auto"/>
        <w:bottom w:val="none" w:sz="0" w:space="0" w:color="auto"/>
        <w:right w:val="none" w:sz="0" w:space="0" w:color="auto"/>
      </w:divBdr>
    </w:div>
    <w:div w:id="29303450">
      <w:bodyDiv w:val="1"/>
      <w:marLeft w:val="0"/>
      <w:marRight w:val="0"/>
      <w:marTop w:val="0"/>
      <w:marBottom w:val="0"/>
      <w:divBdr>
        <w:top w:val="none" w:sz="0" w:space="0" w:color="auto"/>
        <w:left w:val="none" w:sz="0" w:space="0" w:color="auto"/>
        <w:bottom w:val="none" w:sz="0" w:space="0" w:color="auto"/>
        <w:right w:val="none" w:sz="0" w:space="0" w:color="auto"/>
      </w:divBdr>
    </w:div>
    <w:div w:id="29380617">
      <w:bodyDiv w:val="1"/>
      <w:marLeft w:val="0"/>
      <w:marRight w:val="0"/>
      <w:marTop w:val="0"/>
      <w:marBottom w:val="0"/>
      <w:divBdr>
        <w:top w:val="none" w:sz="0" w:space="0" w:color="auto"/>
        <w:left w:val="none" w:sz="0" w:space="0" w:color="auto"/>
        <w:bottom w:val="none" w:sz="0" w:space="0" w:color="auto"/>
        <w:right w:val="none" w:sz="0" w:space="0" w:color="auto"/>
      </w:divBdr>
    </w:div>
    <w:div w:id="34543584">
      <w:bodyDiv w:val="1"/>
      <w:marLeft w:val="0"/>
      <w:marRight w:val="0"/>
      <w:marTop w:val="0"/>
      <w:marBottom w:val="0"/>
      <w:divBdr>
        <w:top w:val="none" w:sz="0" w:space="0" w:color="auto"/>
        <w:left w:val="none" w:sz="0" w:space="0" w:color="auto"/>
        <w:bottom w:val="none" w:sz="0" w:space="0" w:color="auto"/>
        <w:right w:val="none" w:sz="0" w:space="0" w:color="auto"/>
      </w:divBdr>
    </w:div>
    <w:div w:id="48264072">
      <w:bodyDiv w:val="1"/>
      <w:marLeft w:val="0"/>
      <w:marRight w:val="0"/>
      <w:marTop w:val="0"/>
      <w:marBottom w:val="0"/>
      <w:divBdr>
        <w:top w:val="none" w:sz="0" w:space="0" w:color="auto"/>
        <w:left w:val="none" w:sz="0" w:space="0" w:color="auto"/>
        <w:bottom w:val="none" w:sz="0" w:space="0" w:color="auto"/>
        <w:right w:val="none" w:sz="0" w:space="0" w:color="auto"/>
      </w:divBdr>
    </w:div>
    <w:div w:id="81295902">
      <w:bodyDiv w:val="1"/>
      <w:marLeft w:val="0"/>
      <w:marRight w:val="0"/>
      <w:marTop w:val="0"/>
      <w:marBottom w:val="0"/>
      <w:divBdr>
        <w:top w:val="none" w:sz="0" w:space="0" w:color="auto"/>
        <w:left w:val="none" w:sz="0" w:space="0" w:color="auto"/>
        <w:bottom w:val="none" w:sz="0" w:space="0" w:color="auto"/>
        <w:right w:val="none" w:sz="0" w:space="0" w:color="auto"/>
      </w:divBdr>
    </w:div>
    <w:div w:id="98792167">
      <w:bodyDiv w:val="1"/>
      <w:marLeft w:val="0"/>
      <w:marRight w:val="0"/>
      <w:marTop w:val="0"/>
      <w:marBottom w:val="0"/>
      <w:divBdr>
        <w:top w:val="none" w:sz="0" w:space="0" w:color="auto"/>
        <w:left w:val="none" w:sz="0" w:space="0" w:color="auto"/>
        <w:bottom w:val="none" w:sz="0" w:space="0" w:color="auto"/>
        <w:right w:val="none" w:sz="0" w:space="0" w:color="auto"/>
      </w:divBdr>
    </w:div>
    <w:div w:id="100076950">
      <w:bodyDiv w:val="1"/>
      <w:marLeft w:val="0"/>
      <w:marRight w:val="0"/>
      <w:marTop w:val="0"/>
      <w:marBottom w:val="0"/>
      <w:divBdr>
        <w:top w:val="none" w:sz="0" w:space="0" w:color="auto"/>
        <w:left w:val="none" w:sz="0" w:space="0" w:color="auto"/>
        <w:bottom w:val="none" w:sz="0" w:space="0" w:color="auto"/>
        <w:right w:val="none" w:sz="0" w:space="0" w:color="auto"/>
      </w:divBdr>
    </w:div>
    <w:div w:id="112722415">
      <w:bodyDiv w:val="1"/>
      <w:marLeft w:val="0"/>
      <w:marRight w:val="0"/>
      <w:marTop w:val="0"/>
      <w:marBottom w:val="0"/>
      <w:divBdr>
        <w:top w:val="none" w:sz="0" w:space="0" w:color="auto"/>
        <w:left w:val="none" w:sz="0" w:space="0" w:color="auto"/>
        <w:bottom w:val="none" w:sz="0" w:space="0" w:color="auto"/>
        <w:right w:val="none" w:sz="0" w:space="0" w:color="auto"/>
      </w:divBdr>
    </w:div>
    <w:div w:id="125659003">
      <w:bodyDiv w:val="1"/>
      <w:marLeft w:val="0"/>
      <w:marRight w:val="0"/>
      <w:marTop w:val="0"/>
      <w:marBottom w:val="0"/>
      <w:divBdr>
        <w:top w:val="none" w:sz="0" w:space="0" w:color="auto"/>
        <w:left w:val="none" w:sz="0" w:space="0" w:color="auto"/>
        <w:bottom w:val="none" w:sz="0" w:space="0" w:color="auto"/>
        <w:right w:val="none" w:sz="0" w:space="0" w:color="auto"/>
      </w:divBdr>
    </w:div>
    <w:div w:id="127283067">
      <w:bodyDiv w:val="1"/>
      <w:marLeft w:val="0"/>
      <w:marRight w:val="0"/>
      <w:marTop w:val="0"/>
      <w:marBottom w:val="0"/>
      <w:divBdr>
        <w:top w:val="none" w:sz="0" w:space="0" w:color="auto"/>
        <w:left w:val="none" w:sz="0" w:space="0" w:color="auto"/>
        <w:bottom w:val="none" w:sz="0" w:space="0" w:color="auto"/>
        <w:right w:val="none" w:sz="0" w:space="0" w:color="auto"/>
      </w:divBdr>
    </w:div>
    <w:div w:id="150097299">
      <w:bodyDiv w:val="1"/>
      <w:marLeft w:val="0"/>
      <w:marRight w:val="0"/>
      <w:marTop w:val="0"/>
      <w:marBottom w:val="0"/>
      <w:divBdr>
        <w:top w:val="none" w:sz="0" w:space="0" w:color="auto"/>
        <w:left w:val="none" w:sz="0" w:space="0" w:color="auto"/>
        <w:bottom w:val="none" w:sz="0" w:space="0" w:color="auto"/>
        <w:right w:val="none" w:sz="0" w:space="0" w:color="auto"/>
      </w:divBdr>
    </w:div>
    <w:div w:id="162624151">
      <w:bodyDiv w:val="1"/>
      <w:marLeft w:val="0"/>
      <w:marRight w:val="0"/>
      <w:marTop w:val="0"/>
      <w:marBottom w:val="0"/>
      <w:divBdr>
        <w:top w:val="none" w:sz="0" w:space="0" w:color="auto"/>
        <w:left w:val="none" w:sz="0" w:space="0" w:color="auto"/>
        <w:bottom w:val="none" w:sz="0" w:space="0" w:color="auto"/>
        <w:right w:val="none" w:sz="0" w:space="0" w:color="auto"/>
      </w:divBdr>
      <w:divsChild>
        <w:div w:id="290328681">
          <w:marLeft w:val="0"/>
          <w:marRight w:val="0"/>
          <w:marTop w:val="0"/>
          <w:marBottom w:val="0"/>
          <w:divBdr>
            <w:top w:val="none" w:sz="0" w:space="0" w:color="auto"/>
            <w:left w:val="none" w:sz="0" w:space="0" w:color="auto"/>
            <w:bottom w:val="none" w:sz="0" w:space="0" w:color="auto"/>
            <w:right w:val="none" w:sz="0" w:space="0" w:color="auto"/>
          </w:divBdr>
          <w:divsChild>
            <w:div w:id="901603565">
              <w:marLeft w:val="0"/>
              <w:marRight w:val="0"/>
              <w:marTop w:val="0"/>
              <w:marBottom w:val="0"/>
              <w:divBdr>
                <w:top w:val="none" w:sz="0" w:space="0" w:color="auto"/>
                <w:left w:val="none" w:sz="0" w:space="0" w:color="auto"/>
                <w:bottom w:val="none" w:sz="0" w:space="0" w:color="auto"/>
                <w:right w:val="none" w:sz="0" w:space="0" w:color="auto"/>
              </w:divBdr>
              <w:divsChild>
                <w:div w:id="337149879">
                  <w:marLeft w:val="0"/>
                  <w:marRight w:val="0"/>
                  <w:marTop w:val="0"/>
                  <w:marBottom w:val="0"/>
                  <w:divBdr>
                    <w:top w:val="none" w:sz="0" w:space="0" w:color="auto"/>
                    <w:left w:val="none" w:sz="0" w:space="0" w:color="auto"/>
                    <w:bottom w:val="none" w:sz="0" w:space="0" w:color="auto"/>
                    <w:right w:val="none" w:sz="0" w:space="0" w:color="auto"/>
                  </w:divBdr>
                  <w:divsChild>
                    <w:div w:id="10350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22678">
      <w:bodyDiv w:val="1"/>
      <w:marLeft w:val="0"/>
      <w:marRight w:val="0"/>
      <w:marTop w:val="0"/>
      <w:marBottom w:val="0"/>
      <w:divBdr>
        <w:top w:val="none" w:sz="0" w:space="0" w:color="auto"/>
        <w:left w:val="none" w:sz="0" w:space="0" w:color="auto"/>
        <w:bottom w:val="none" w:sz="0" w:space="0" w:color="auto"/>
        <w:right w:val="none" w:sz="0" w:space="0" w:color="auto"/>
      </w:divBdr>
    </w:div>
    <w:div w:id="166869586">
      <w:bodyDiv w:val="1"/>
      <w:marLeft w:val="0"/>
      <w:marRight w:val="0"/>
      <w:marTop w:val="0"/>
      <w:marBottom w:val="0"/>
      <w:divBdr>
        <w:top w:val="none" w:sz="0" w:space="0" w:color="auto"/>
        <w:left w:val="none" w:sz="0" w:space="0" w:color="auto"/>
        <w:bottom w:val="none" w:sz="0" w:space="0" w:color="auto"/>
        <w:right w:val="none" w:sz="0" w:space="0" w:color="auto"/>
      </w:divBdr>
    </w:div>
    <w:div w:id="215438361">
      <w:bodyDiv w:val="1"/>
      <w:marLeft w:val="0"/>
      <w:marRight w:val="0"/>
      <w:marTop w:val="0"/>
      <w:marBottom w:val="0"/>
      <w:divBdr>
        <w:top w:val="none" w:sz="0" w:space="0" w:color="auto"/>
        <w:left w:val="none" w:sz="0" w:space="0" w:color="auto"/>
        <w:bottom w:val="none" w:sz="0" w:space="0" w:color="auto"/>
        <w:right w:val="none" w:sz="0" w:space="0" w:color="auto"/>
      </w:divBdr>
    </w:div>
    <w:div w:id="243296144">
      <w:bodyDiv w:val="1"/>
      <w:marLeft w:val="0"/>
      <w:marRight w:val="0"/>
      <w:marTop w:val="0"/>
      <w:marBottom w:val="0"/>
      <w:divBdr>
        <w:top w:val="none" w:sz="0" w:space="0" w:color="auto"/>
        <w:left w:val="none" w:sz="0" w:space="0" w:color="auto"/>
        <w:bottom w:val="none" w:sz="0" w:space="0" w:color="auto"/>
        <w:right w:val="none" w:sz="0" w:space="0" w:color="auto"/>
      </w:divBdr>
      <w:divsChild>
        <w:div w:id="554003317">
          <w:marLeft w:val="0"/>
          <w:marRight w:val="0"/>
          <w:marTop w:val="0"/>
          <w:marBottom w:val="0"/>
          <w:divBdr>
            <w:top w:val="none" w:sz="0" w:space="0" w:color="auto"/>
            <w:left w:val="none" w:sz="0" w:space="0" w:color="auto"/>
            <w:bottom w:val="none" w:sz="0" w:space="0" w:color="auto"/>
            <w:right w:val="none" w:sz="0" w:space="0" w:color="auto"/>
          </w:divBdr>
          <w:divsChild>
            <w:div w:id="1045175292">
              <w:marLeft w:val="0"/>
              <w:marRight w:val="0"/>
              <w:marTop w:val="0"/>
              <w:marBottom w:val="0"/>
              <w:divBdr>
                <w:top w:val="none" w:sz="0" w:space="0" w:color="auto"/>
                <w:left w:val="none" w:sz="0" w:space="0" w:color="auto"/>
                <w:bottom w:val="none" w:sz="0" w:space="0" w:color="auto"/>
                <w:right w:val="none" w:sz="0" w:space="0" w:color="auto"/>
              </w:divBdr>
              <w:divsChild>
                <w:div w:id="1774393764">
                  <w:marLeft w:val="0"/>
                  <w:marRight w:val="0"/>
                  <w:marTop w:val="0"/>
                  <w:marBottom w:val="0"/>
                  <w:divBdr>
                    <w:top w:val="none" w:sz="0" w:space="0" w:color="auto"/>
                    <w:left w:val="none" w:sz="0" w:space="0" w:color="auto"/>
                    <w:bottom w:val="none" w:sz="0" w:space="0" w:color="auto"/>
                    <w:right w:val="none" w:sz="0" w:space="0" w:color="auto"/>
                  </w:divBdr>
                  <w:divsChild>
                    <w:div w:id="182153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351147">
      <w:bodyDiv w:val="1"/>
      <w:marLeft w:val="0"/>
      <w:marRight w:val="0"/>
      <w:marTop w:val="0"/>
      <w:marBottom w:val="0"/>
      <w:divBdr>
        <w:top w:val="none" w:sz="0" w:space="0" w:color="auto"/>
        <w:left w:val="none" w:sz="0" w:space="0" w:color="auto"/>
        <w:bottom w:val="none" w:sz="0" w:space="0" w:color="auto"/>
        <w:right w:val="none" w:sz="0" w:space="0" w:color="auto"/>
      </w:divBdr>
    </w:div>
    <w:div w:id="247083704">
      <w:bodyDiv w:val="1"/>
      <w:marLeft w:val="0"/>
      <w:marRight w:val="0"/>
      <w:marTop w:val="0"/>
      <w:marBottom w:val="0"/>
      <w:divBdr>
        <w:top w:val="none" w:sz="0" w:space="0" w:color="auto"/>
        <w:left w:val="none" w:sz="0" w:space="0" w:color="auto"/>
        <w:bottom w:val="none" w:sz="0" w:space="0" w:color="auto"/>
        <w:right w:val="none" w:sz="0" w:space="0" w:color="auto"/>
      </w:divBdr>
    </w:div>
    <w:div w:id="265772871">
      <w:bodyDiv w:val="1"/>
      <w:marLeft w:val="0"/>
      <w:marRight w:val="0"/>
      <w:marTop w:val="0"/>
      <w:marBottom w:val="0"/>
      <w:divBdr>
        <w:top w:val="none" w:sz="0" w:space="0" w:color="auto"/>
        <w:left w:val="none" w:sz="0" w:space="0" w:color="auto"/>
        <w:bottom w:val="none" w:sz="0" w:space="0" w:color="auto"/>
        <w:right w:val="none" w:sz="0" w:space="0" w:color="auto"/>
      </w:divBdr>
      <w:divsChild>
        <w:div w:id="1171212202">
          <w:marLeft w:val="0"/>
          <w:marRight w:val="0"/>
          <w:marTop w:val="0"/>
          <w:marBottom w:val="0"/>
          <w:divBdr>
            <w:top w:val="none" w:sz="0" w:space="0" w:color="auto"/>
            <w:left w:val="none" w:sz="0" w:space="0" w:color="auto"/>
            <w:bottom w:val="none" w:sz="0" w:space="0" w:color="auto"/>
            <w:right w:val="none" w:sz="0" w:space="0" w:color="auto"/>
          </w:divBdr>
        </w:div>
        <w:div w:id="1792092110">
          <w:marLeft w:val="0"/>
          <w:marRight w:val="0"/>
          <w:marTop w:val="0"/>
          <w:marBottom w:val="0"/>
          <w:divBdr>
            <w:top w:val="none" w:sz="0" w:space="0" w:color="auto"/>
            <w:left w:val="none" w:sz="0" w:space="0" w:color="auto"/>
            <w:bottom w:val="none" w:sz="0" w:space="0" w:color="auto"/>
            <w:right w:val="none" w:sz="0" w:space="0" w:color="auto"/>
          </w:divBdr>
        </w:div>
      </w:divsChild>
    </w:div>
    <w:div w:id="276641224">
      <w:bodyDiv w:val="1"/>
      <w:marLeft w:val="0"/>
      <w:marRight w:val="0"/>
      <w:marTop w:val="0"/>
      <w:marBottom w:val="0"/>
      <w:divBdr>
        <w:top w:val="none" w:sz="0" w:space="0" w:color="auto"/>
        <w:left w:val="none" w:sz="0" w:space="0" w:color="auto"/>
        <w:bottom w:val="none" w:sz="0" w:space="0" w:color="auto"/>
        <w:right w:val="none" w:sz="0" w:space="0" w:color="auto"/>
      </w:divBdr>
    </w:div>
    <w:div w:id="310137016">
      <w:bodyDiv w:val="1"/>
      <w:marLeft w:val="0"/>
      <w:marRight w:val="0"/>
      <w:marTop w:val="0"/>
      <w:marBottom w:val="0"/>
      <w:divBdr>
        <w:top w:val="none" w:sz="0" w:space="0" w:color="auto"/>
        <w:left w:val="none" w:sz="0" w:space="0" w:color="auto"/>
        <w:bottom w:val="none" w:sz="0" w:space="0" w:color="auto"/>
        <w:right w:val="none" w:sz="0" w:space="0" w:color="auto"/>
      </w:divBdr>
    </w:div>
    <w:div w:id="312411005">
      <w:bodyDiv w:val="1"/>
      <w:marLeft w:val="0"/>
      <w:marRight w:val="0"/>
      <w:marTop w:val="0"/>
      <w:marBottom w:val="0"/>
      <w:divBdr>
        <w:top w:val="none" w:sz="0" w:space="0" w:color="auto"/>
        <w:left w:val="none" w:sz="0" w:space="0" w:color="auto"/>
        <w:bottom w:val="none" w:sz="0" w:space="0" w:color="auto"/>
        <w:right w:val="none" w:sz="0" w:space="0" w:color="auto"/>
      </w:divBdr>
    </w:div>
    <w:div w:id="313527012">
      <w:bodyDiv w:val="1"/>
      <w:marLeft w:val="0"/>
      <w:marRight w:val="0"/>
      <w:marTop w:val="0"/>
      <w:marBottom w:val="0"/>
      <w:divBdr>
        <w:top w:val="none" w:sz="0" w:space="0" w:color="auto"/>
        <w:left w:val="none" w:sz="0" w:space="0" w:color="auto"/>
        <w:bottom w:val="none" w:sz="0" w:space="0" w:color="auto"/>
        <w:right w:val="none" w:sz="0" w:space="0" w:color="auto"/>
      </w:divBdr>
    </w:div>
    <w:div w:id="329406106">
      <w:bodyDiv w:val="1"/>
      <w:marLeft w:val="0"/>
      <w:marRight w:val="0"/>
      <w:marTop w:val="0"/>
      <w:marBottom w:val="0"/>
      <w:divBdr>
        <w:top w:val="none" w:sz="0" w:space="0" w:color="auto"/>
        <w:left w:val="none" w:sz="0" w:space="0" w:color="auto"/>
        <w:bottom w:val="none" w:sz="0" w:space="0" w:color="auto"/>
        <w:right w:val="none" w:sz="0" w:space="0" w:color="auto"/>
      </w:divBdr>
    </w:div>
    <w:div w:id="333185831">
      <w:bodyDiv w:val="1"/>
      <w:marLeft w:val="0"/>
      <w:marRight w:val="0"/>
      <w:marTop w:val="0"/>
      <w:marBottom w:val="0"/>
      <w:divBdr>
        <w:top w:val="none" w:sz="0" w:space="0" w:color="auto"/>
        <w:left w:val="none" w:sz="0" w:space="0" w:color="auto"/>
        <w:bottom w:val="none" w:sz="0" w:space="0" w:color="auto"/>
        <w:right w:val="none" w:sz="0" w:space="0" w:color="auto"/>
      </w:divBdr>
    </w:div>
    <w:div w:id="345788903">
      <w:bodyDiv w:val="1"/>
      <w:marLeft w:val="0"/>
      <w:marRight w:val="0"/>
      <w:marTop w:val="0"/>
      <w:marBottom w:val="0"/>
      <w:divBdr>
        <w:top w:val="none" w:sz="0" w:space="0" w:color="auto"/>
        <w:left w:val="none" w:sz="0" w:space="0" w:color="auto"/>
        <w:bottom w:val="none" w:sz="0" w:space="0" w:color="auto"/>
        <w:right w:val="none" w:sz="0" w:space="0" w:color="auto"/>
      </w:divBdr>
      <w:divsChild>
        <w:div w:id="1061631494">
          <w:marLeft w:val="0"/>
          <w:marRight w:val="0"/>
          <w:marTop w:val="0"/>
          <w:marBottom w:val="0"/>
          <w:divBdr>
            <w:top w:val="none" w:sz="0" w:space="0" w:color="auto"/>
            <w:left w:val="none" w:sz="0" w:space="0" w:color="auto"/>
            <w:bottom w:val="none" w:sz="0" w:space="0" w:color="auto"/>
            <w:right w:val="none" w:sz="0" w:space="0" w:color="auto"/>
          </w:divBdr>
          <w:divsChild>
            <w:div w:id="1583105851">
              <w:marLeft w:val="0"/>
              <w:marRight w:val="0"/>
              <w:marTop w:val="0"/>
              <w:marBottom w:val="0"/>
              <w:divBdr>
                <w:top w:val="none" w:sz="0" w:space="0" w:color="auto"/>
                <w:left w:val="none" w:sz="0" w:space="0" w:color="auto"/>
                <w:bottom w:val="none" w:sz="0" w:space="0" w:color="auto"/>
                <w:right w:val="none" w:sz="0" w:space="0" w:color="auto"/>
              </w:divBdr>
              <w:divsChild>
                <w:div w:id="181937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24835">
      <w:bodyDiv w:val="1"/>
      <w:marLeft w:val="0"/>
      <w:marRight w:val="0"/>
      <w:marTop w:val="0"/>
      <w:marBottom w:val="0"/>
      <w:divBdr>
        <w:top w:val="none" w:sz="0" w:space="0" w:color="auto"/>
        <w:left w:val="none" w:sz="0" w:space="0" w:color="auto"/>
        <w:bottom w:val="none" w:sz="0" w:space="0" w:color="auto"/>
        <w:right w:val="none" w:sz="0" w:space="0" w:color="auto"/>
      </w:divBdr>
    </w:div>
    <w:div w:id="378625985">
      <w:bodyDiv w:val="1"/>
      <w:marLeft w:val="0"/>
      <w:marRight w:val="0"/>
      <w:marTop w:val="0"/>
      <w:marBottom w:val="0"/>
      <w:divBdr>
        <w:top w:val="none" w:sz="0" w:space="0" w:color="auto"/>
        <w:left w:val="none" w:sz="0" w:space="0" w:color="auto"/>
        <w:bottom w:val="none" w:sz="0" w:space="0" w:color="auto"/>
        <w:right w:val="none" w:sz="0" w:space="0" w:color="auto"/>
      </w:divBdr>
      <w:divsChild>
        <w:div w:id="1513258393">
          <w:marLeft w:val="0"/>
          <w:marRight w:val="0"/>
          <w:marTop w:val="0"/>
          <w:marBottom w:val="0"/>
          <w:divBdr>
            <w:top w:val="none" w:sz="0" w:space="0" w:color="auto"/>
            <w:left w:val="none" w:sz="0" w:space="0" w:color="auto"/>
            <w:bottom w:val="none" w:sz="0" w:space="0" w:color="auto"/>
            <w:right w:val="none" w:sz="0" w:space="0" w:color="auto"/>
          </w:divBdr>
          <w:divsChild>
            <w:div w:id="1360886251">
              <w:marLeft w:val="0"/>
              <w:marRight w:val="0"/>
              <w:marTop w:val="0"/>
              <w:marBottom w:val="0"/>
              <w:divBdr>
                <w:top w:val="none" w:sz="0" w:space="0" w:color="auto"/>
                <w:left w:val="none" w:sz="0" w:space="0" w:color="auto"/>
                <w:bottom w:val="none" w:sz="0" w:space="0" w:color="auto"/>
                <w:right w:val="none" w:sz="0" w:space="0" w:color="auto"/>
              </w:divBdr>
              <w:divsChild>
                <w:div w:id="1969043692">
                  <w:marLeft w:val="0"/>
                  <w:marRight w:val="0"/>
                  <w:marTop w:val="0"/>
                  <w:marBottom w:val="0"/>
                  <w:divBdr>
                    <w:top w:val="none" w:sz="0" w:space="0" w:color="auto"/>
                    <w:left w:val="none" w:sz="0" w:space="0" w:color="auto"/>
                    <w:bottom w:val="none" w:sz="0" w:space="0" w:color="auto"/>
                    <w:right w:val="none" w:sz="0" w:space="0" w:color="auto"/>
                  </w:divBdr>
                  <w:divsChild>
                    <w:div w:id="160414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069865">
      <w:bodyDiv w:val="1"/>
      <w:marLeft w:val="0"/>
      <w:marRight w:val="0"/>
      <w:marTop w:val="0"/>
      <w:marBottom w:val="0"/>
      <w:divBdr>
        <w:top w:val="none" w:sz="0" w:space="0" w:color="auto"/>
        <w:left w:val="none" w:sz="0" w:space="0" w:color="auto"/>
        <w:bottom w:val="none" w:sz="0" w:space="0" w:color="auto"/>
        <w:right w:val="none" w:sz="0" w:space="0" w:color="auto"/>
      </w:divBdr>
    </w:div>
    <w:div w:id="389352990">
      <w:bodyDiv w:val="1"/>
      <w:marLeft w:val="0"/>
      <w:marRight w:val="0"/>
      <w:marTop w:val="0"/>
      <w:marBottom w:val="0"/>
      <w:divBdr>
        <w:top w:val="none" w:sz="0" w:space="0" w:color="auto"/>
        <w:left w:val="none" w:sz="0" w:space="0" w:color="auto"/>
        <w:bottom w:val="none" w:sz="0" w:space="0" w:color="auto"/>
        <w:right w:val="none" w:sz="0" w:space="0" w:color="auto"/>
      </w:divBdr>
    </w:div>
    <w:div w:id="398091233">
      <w:bodyDiv w:val="1"/>
      <w:marLeft w:val="0"/>
      <w:marRight w:val="0"/>
      <w:marTop w:val="0"/>
      <w:marBottom w:val="0"/>
      <w:divBdr>
        <w:top w:val="none" w:sz="0" w:space="0" w:color="auto"/>
        <w:left w:val="none" w:sz="0" w:space="0" w:color="auto"/>
        <w:bottom w:val="none" w:sz="0" w:space="0" w:color="auto"/>
        <w:right w:val="none" w:sz="0" w:space="0" w:color="auto"/>
      </w:divBdr>
    </w:div>
    <w:div w:id="415133120">
      <w:bodyDiv w:val="1"/>
      <w:marLeft w:val="0"/>
      <w:marRight w:val="0"/>
      <w:marTop w:val="0"/>
      <w:marBottom w:val="0"/>
      <w:divBdr>
        <w:top w:val="none" w:sz="0" w:space="0" w:color="auto"/>
        <w:left w:val="none" w:sz="0" w:space="0" w:color="auto"/>
        <w:bottom w:val="none" w:sz="0" w:space="0" w:color="auto"/>
        <w:right w:val="none" w:sz="0" w:space="0" w:color="auto"/>
      </w:divBdr>
    </w:div>
    <w:div w:id="432940052">
      <w:bodyDiv w:val="1"/>
      <w:marLeft w:val="0"/>
      <w:marRight w:val="0"/>
      <w:marTop w:val="0"/>
      <w:marBottom w:val="0"/>
      <w:divBdr>
        <w:top w:val="none" w:sz="0" w:space="0" w:color="auto"/>
        <w:left w:val="none" w:sz="0" w:space="0" w:color="auto"/>
        <w:bottom w:val="none" w:sz="0" w:space="0" w:color="auto"/>
        <w:right w:val="none" w:sz="0" w:space="0" w:color="auto"/>
      </w:divBdr>
    </w:div>
    <w:div w:id="435441757">
      <w:bodyDiv w:val="1"/>
      <w:marLeft w:val="0"/>
      <w:marRight w:val="0"/>
      <w:marTop w:val="0"/>
      <w:marBottom w:val="0"/>
      <w:divBdr>
        <w:top w:val="none" w:sz="0" w:space="0" w:color="auto"/>
        <w:left w:val="none" w:sz="0" w:space="0" w:color="auto"/>
        <w:bottom w:val="none" w:sz="0" w:space="0" w:color="auto"/>
        <w:right w:val="none" w:sz="0" w:space="0" w:color="auto"/>
      </w:divBdr>
    </w:div>
    <w:div w:id="448403839">
      <w:bodyDiv w:val="1"/>
      <w:marLeft w:val="0"/>
      <w:marRight w:val="0"/>
      <w:marTop w:val="0"/>
      <w:marBottom w:val="0"/>
      <w:divBdr>
        <w:top w:val="none" w:sz="0" w:space="0" w:color="auto"/>
        <w:left w:val="none" w:sz="0" w:space="0" w:color="auto"/>
        <w:bottom w:val="none" w:sz="0" w:space="0" w:color="auto"/>
        <w:right w:val="none" w:sz="0" w:space="0" w:color="auto"/>
      </w:divBdr>
    </w:div>
    <w:div w:id="470946820">
      <w:bodyDiv w:val="1"/>
      <w:marLeft w:val="0"/>
      <w:marRight w:val="0"/>
      <w:marTop w:val="0"/>
      <w:marBottom w:val="0"/>
      <w:divBdr>
        <w:top w:val="none" w:sz="0" w:space="0" w:color="auto"/>
        <w:left w:val="none" w:sz="0" w:space="0" w:color="auto"/>
        <w:bottom w:val="none" w:sz="0" w:space="0" w:color="auto"/>
        <w:right w:val="none" w:sz="0" w:space="0" w:color="auto"/>
      </w:divBdr>
      <w:divsChild>
        <w:div w:id="362830716">
          <w:marLeft w:val="0"/>
          <w:marRight w:val="0"/>
          <w:marTop w:val="0"/>
          <w:marBottom w:val="0"/>
          <w:divBdr>
            <w:top w:val="none" w:sz="0" w:space="0" w:color="auto"/>
            <w:left w:val="none" w:sz="0" w:space="0" w:color="auto"/>
            <w:bottom w:val="none" w:sz="0" w:space="0" w:color="auto"/>
            <w:right w:val="none" w:sz="0" w:space="0" w:color="auto"/>
          </w:divBdr>
          <w:divsChild>
            <w:div w:id="5982251">
              <w:marLeft w:val="0"/>
              <w:marRight w:val="0"/>
              <w:marTop w:val="0"/>
              <w:marBottom w:val="0"/>
              <w:divBdr>
                <w:top w:val="none" w:sz="0" w:space="0" w:color="auto"/>
                <w:left w:val="none" w:sz="0" w:space="0" w:color="auto"/>
                <w:bottom w:val="none" w:sz="0" w:space="0" w:color="auto"/>
                <w:right w:val="none" w:sz="0" w:space="0" w:color="auto"/>
              </w:divBdr>
              <w:divsChild>
                <w:div w:id="294800890">
                  <w:marLeft w:val="0"/>
                  <w:marRight w:val="0"/>
                  <w:marTop w:val="0"/>
                  <w:marBottom w:val="0"/>
                  <w:divBdr>
                    <w:top w:val="none" w:sz="0" w:space="0" w:color="auto"/>
                    <w:left w:val="none" w:sz="0" w:space="0" w:color="auto"/>
                    <w:bottom w:val="none" w:sz="0" w:space="0" w:color="auto"/>
                    <w:right w:val="none" w:sz="0" w:space="0" w:color="auto"/>
                  </w:divBdr>
                </w:div>
                <w:div w:id="1565723022">
                  <w:marLeft w:val="0"/>
                  <w:marRight w:val="0"/>
                  <w:marTop w:val="0"/>
                  <w:marBottom w:val="0"/>
                  <w:divBdr>
                    <w:top w:val="none" w:sz="0" w:space="0" w:color="auto"/>
                    <w:left w:val="none" w:sz="0" w:space="0" w:color="auto"/>
                    <w:bottom w:val="none" w:sz="0" w:space="0" w:color="auto"/>
                    <w:right w:val="none" w:sz="0" w:space="0" w:color="auto"/>
                  </w:divBdr>
                </w:div>
              </w:divsChild>
            </w:div>
            <w:div w:id="104156116">
              <w:marLeft w:val="0"/>
              <w:marRight w:val="0"/>
              <w:marTop w:val="0"/>
              <w:marBottom w:val="0"/>
              <w:divBdr>
                <w:top w:val="none" w:sz="0" w:space="0" w:color="auto"/>
                <w:left w:val="none" w:sz="0" w:space="0" w:color="auto"/>
                <w:bottom w:val="none" w:sz="0" w:space="0" w:color="auto"/>
                <w:right w:val="none" w:sz="0" w:space="0" w:color="auto"/>
              </w:divBdr>
              <w:divsChild>
                <w:div w:id="828788901">
                  <w:marLeft w:val="0"/>
                  <w:marRight w:val="0"/>
                  <w:marTop w:val="0"/>
                  <w:marBottom w:val="0"/>
                  <w:divBdr>
                    <w:top w:val="none" w:sz="0" w:space="0" w:color="auto"/>
                    <w:left w:val="none" w:sz="0" w:space="0" w:color="auto"/>
                    <w:bottom w:val="none" w:sz="0" w:space="0" w:color="auto"/>
                    <w:right w:val="none" w:sz="0" w:space="0" w:color="auto"/>
                  </w:divBdr>
                </w:div>
                <w:div w:id="1539321059">
                  <w:marLeft w:val="0"/>
                  <w:marRight w:val="0"/>
                  <w:marTop w:val="0"/>
                  <w:marBottom w:val="0"/>
                  <w:divBdr>
                    <w:top w:val="none" w:sz="0" w:space="0" w:color="auto"/>
                    <w:left w:val="none" w:sz="0" w:space="0" w:color="auto"/>
                    <w:bottom w:val="none" w:sz="0" w:space="0" w:color="auto"/>
                    <w:right w:val="none" w:sz="0" w:space="0" w:color="auto"/>
                  </w:divBdr>
                </w:div>
              </w:divsChild>
            </w:div>
            <w:div w:id="1101024490">
              <w:marLeft w:val="0"/>
              <w:marRight w:val="0"/>
              <w:marTop w:val="0"/>
              <w:marBottom w:val="0"/>
              <w:divBdr>
                <w:top w:val="none" w:sz="0" w:space="0" w:color="auto"/>
                <w:left w:val="none" w:sz="0" w:space="0" w:color="auto"/>
                <w:bottom w:val="none" w:sz="0" w:space="0" w:color="auto"/>
                <w:right w:val="none" w:sz="0" w:space="0" w:color="auto"/>
              </w:divBdr>
              <w:divsChild>
                <w:div w:id="23873779">
                  <w:marLeft w:val="0"/>
                  <w:marRight w:val="0"/>
                  <w:marTop w:val="0"/>
                  <w:marBottom w:val="0"/>
                  <w:divBdr>
                    <w:top w:val="none" w:sz="0" w:space="0" w:color="auto"/>
                    <w:left w:val="none" w:sz="0" w:space="0" w:color="auto"/>
                    <w:bottom w:val="none" w:sz="0" w:space="0" w:color="auto"/>
                    <w:right w:val="none" w:sz="0" w:space="0" w:color="auto"/>
                  </w:divBdr>
                </w:div>
                <w:div w:id="1906792858">
                  <w:marLeft w:val="0"/>
                  <w:marRight w:val="0"/>
                  <w:marTop w:val="0"/>
                  <w:marBottom w:val="0"/>
                  <w:divBdr>
                    <w:top w:val="none" w:sz="0" w:space="0" w:color="auto"/>
                    <w:left w:val="none" w:sz="0" w:space="0" w:color="auto"/>
                    <w:bottom w:val="none" w:sz="0" w:space="0" w:color="auto"/>
                    <w:right w:val="none" w:sz="0" w:space="0" w:color="auto"/>
                  </w:divBdr>
                </w:div>
              </w:divsChild>
            </w:div>
            <w:div w:id="1377702559">
              <w:marLeft w:val="0"/>
              <w:marRight w:val="0"/>
              <w:marTop w:val="0"/>
              <w:marBottom w:val="0"/>
              <w:divBdr>
                <w:top w:val="none" w:sz="0" w:space="0" w:color="auto"/>
                <w:left w:val="none" w:sz="0" w:space="0" w:color="auto"/>
                <w:bottom w:val="none" w:sz="0" w:space="0" w:color="auto"/>
                <w:right w:val="none" w:sz="0" w:space="0" w:color="auto"/>
              </w:divBdr>
              <w:divsChild>
                <w:div w:id="191193225">
                  <w:marLeft w:val="0"/>
                  <w:marRight w:val="0"/>
                  <w:marTop w:val="0"/>
                  <w:marBottom w:val="0"/>
                  <w:divBdr>
                    <w:top w:val="none" w:sz="0" w:space="0" w:color="auto"/>
                    <w:left w:val="none" w:sz="0" w:space="0" w:color="auto"/>
                    <w:bottom w:val="none" w:sz="0" w:space="0" w:color="auto"/>
                    <w:right w:val="none" w:sz="0" w:space="0" w:color="auto"/>
                  </w:divBdr>
                </w:div>
                <w:div w:id="447898783">
                  <w:marLeft w:val="0"/>
                  <w:marRight w:val="0"/>
                  <w:marTop w:val="0"/>
                  <w:marBottom w:val="0"/>
                  <w:divBdr>
                    <w:top w:val="none" w:sz="0" w:space="0" w:color="auto"/>
                    <w:left w:val="none" w:sz="0" w:space="0" w:color="auto"/>
                    <w:bottom w:val="none" w:sz="0" w:space="0" w:color="auto"/>
                    <w:right w:val="none" w:sz="0" w:space="0" w:color="auto"/>
                  </w:divBdr>
                </w:div>
              </w:divsChild>
            </w:div>
            <w:div w:id="1384255533">
              <w:marLeft w:val="0"/>
              <w:marRight w:val="0"/>
              <w:marTop w:val="0"/>
              <w:marBottom w:val="0"/>
              <w:divBdr>
                <w:top w:val="none" w:sz="0" w:space="0" w:color="auto"/>
                <w:left w:val="none" w:sz="0" w:space="0" w:color="auto"/>
                <w:bottom w:val="none" w:sz="0" w:space="0" w:color="auto"/>
                <w:right w:val="none" w:sz="0" w:space="0" w:color="auto"/>
              </w:divBdr>
              <w:divsChild>
                <w:div w:id="1577012436">
                  <w:marLeft w:val="0"/>
                  <w:marRight w:val="0"/>
                  <w:marTop w:val="0"/>
                  <w:marBottom w:val="0"/>
                  <w:divBdr>
                    <w:top w:val="none" w:sz="0" w:space="0" w:color="auto"/>
                    <w:left w:val="none" w:sz="0" w:space="0" w:color="auto"/>
                    <w:bottom w:val="none" w:sz="0" w:space="0" w:color="auto"/>
                    <w:right w:val="none" w:sz="0" w:space="0" w:color="auto"/>
                  </w:divBdr>
                </w:div>
                <w:div w:id="2067024556">
                  <w:marLeft w:val="0"/>
                  <w:marRight w:val="0"/>
                  <w:marTop w:val="0"/>
                  <w:marBottom w:val="0"/>
                  <w:divBdr>
                    <w:top w:val="none" w:sz="0" w:space="0" w:color="auto"/>
                    <w:left w:val="none" w:sz="0" w:space="0" w:color="auto"/>
                    <w:bottom w:val="none" w:sz="0" w:space="0" w:color="auto"/>
                    <w:right w:val="none" w:sz="0" w:space="0" w:color="auto"/>
                  </w:divBdr>
                </w:div>
              </w:divsChild>
            </w:div>
            <w:div w:id="1777091648">
              <w:marLeft w:val="0"/>
              <w:marRight w:val="0"/>
              <w:marTop w:val="0"/>
              <w:marBottom w:val="0"/>
              <w:divBdr>
                <w:top w:val="none" w:sz="0" w:space="0" w:color="auto"/>
                <w:left w:val="none" w:sz="0" w:space="0" w:color="auto"/>
                <w:bottom w:val="none" w:sz="0" w:space="0" w:color="auto"/>
                <w:right w:val="none" w:sz="0" w:space="0" w:color="auto"/>
              </w:divBdr>
              <w:divsChild>
                <w:div w:id="791629675">
                  <w:marLeft w:val="0"/>
                  <w:marRight w:val="0"/>
                  <w:marTop w:val="0"/>
                  <w:marBottom w:val="0"/>
                  <w:divBdr>
                    <w:top w:val="none" w:sz="0" w:space="0" w:color="auto"/>
                    <w:left w:val="none" w:sz="0" w:space="0" w:color="auto"/>
                    <w:bottom w:val="none" w:sz="0" w:space="0" w:color="auto"/>
                    <w:right w:val="none" w:sz="0" w:space="0" w:color="auto"/>
                  </w:divBdr>
                </w:div>
                <w:div w:id="116578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694189">
          <w:marLeft w:val="0"/>
          <w:marRight w:val="0"/>
          <w:marTop w:val="0"/>
          <w:marBottom w:val="0"/>
          <w:divBdr>
            <w:top w:val="none" w:sz="0" w:space="0" w:color="auto"/>
            <w:left w:val="none" w:sz="0" w:space="0" w:color="auto"/>
            <w:bottom w:val="none" w:sz="0" w:space="0" w:color="auto"/>
            <w:right w:val="none" w:sz="0" w:space="0" w:color="auto"/>
          </w:divBdr>
        </w:div>
        <w:div w:id="868835798">
          <w:marLeft w:val="0"/>
          <w:marRight w:val="0"/>
          <w:marTop w:val="0"/>
          <w:marBottom w:val="0"/>
          <w:divBdr>
            <w:top w:val="none" w:sz="0" w:space="0" w:color="auto"/>
            <w:left w:val="none" w:sz="0" w:space="0" w:color="auto"/>
            <w:bottom w:val="none" w:sz="0" w:space="0" w:color="auto"/>
            <w:right w:val="none" w:sz="0" w:space="0" w:color="auto"/>
          </w:divBdr>
        </w:div>
        <w:div w:id="1084302414">
          <w:marLeft w:val="0"/>
          <w:marRight w:val="0"/>
          <w:marTop w:val="0"/>
          <w:marBottom w:val="0"/>
          <w:divBdr>
            <w:top w:val="none" w:sz="0" w:space="0" w:color="auto"/>
            <w:left w:val="none" w:sz="0" w:space="0" w:color="auto"/>
            <w:bottom w:val="none" w:sz="0" w:space="0" w:color="auto"/>
            <w:right w:val="none" w:sz="0" w:space="0" w:color="auto"/>
          </w:divBdr>
        </w:div>
        <w:div w:id="1158611198">
          <w:marLeft w:val="0"/>
          <w:marRight w:val="0"/>
          <w:marTop w:val="0"/>
          <w:marBottom w:val="0"/>
          <w:divBdr>
            <w:top w:val="none" w:sz="0" w:space="0" w:color="auto"/>
            <w:left w:val="none" w:sz="0" w:space="0" w:color="auto"/>
            <w:bottom w:val="none" w:sz="0" w:space="0" w:color="auto"/>
            <w:right w:val="none" w:sz="0" w:space="0" w:color="auto"/>
          </w:divBdr>
        </w:div>
        <w:div w:id="1352336765">
          <w:marLeft w:val="0"/>
          <w:marRight w:val="0"/>
          <w:marTop w:val="0"/>
          <w:marBottom w:val="0"/>
          <w:divBdr>
            <w:top w:val="none" w:sz="0" w:space="0" w:color="auto"/>
            <w:left w:val="none" w:sz="0" w:space="0" w:color="auto"/>
            <w:bottom w:val="none" w:sz="0" w:space="0" w:color="auto"/>
            <w:right w:val="none" w:sz="0" w:space="0" w:color="auto"/>
          </w:divBdr>
        </w:div>
        <w:div w:id="1908488775">
          <w:marLeft w:val="0"/>
          <w:marRight w:val="0"/>
          <w:marTop w:val="0"/>
          <w:marBottom w:val="0"/>
          <w:divBdr>
            <w:top w:val="none" w:sz="0" w:space="0" w:color="auto"/>
            <w:left w:val="none" w:sz="0" w:space="0" w:color="auto"/>
            <w:bottom w:val="none" w:sz="0" w:space="0" w:color="auto"/>
            <w:right w:val="none" w:sz="0" w:space="0" w:color="auto"/>
          </w:divBdr>
        </w:div>
        <w:div w:id="2020306437">
          <w:marLeft w:val="0"/>
          <w:marRight w:val="0"/>
          <w:marTop w:val="0"/>
          <w:marBottom w:val="0"/>
          <w:divBdr>
            <w:top w:val="none" w:sz="0" w:space="0" w:color="auto"/>
            <w:left w:val="none" w:sz="0" w:space="0" w:color="auto"/>
            <w:bottom w:val="none" w:sz="0" w:space="0" w:color="auto"/>
            <w:right w:val="none" w:sz="0" w:space="0" w:color="auto"/>
          </w:divBdr>
        </w:div>
      </w:divsChild>
    </w:div>
    <w:div w:id="473528089">
      <w:bodyDiv w:val="1"/>
      <w:marLeft w:val="0"/>
      <w:marRight w:val="0"/>
      <w:marTop w:val="0"/>
      <w:marBottom w:val="0"/>
      <w:divBdr>
        <w:top w:val="none" w:sz="0" w:space="0" w:color="auto"/>
        <w:left w:val="none" w:sz="0" w:space="0" w:color="auto"/>
        <w:bottom w:val="none" w:sz="0" w:space="0" w:color="auto"/>
        <w:right w:val="none" w:sz="0" w:space="0" w:color="auto"/>
      </w:divBdr>
    </w:div>
    <w:div w:id="486822951">
      <w:bodyDiv w:val="1"/>
      <w:marLeft w:val="0"/>
      <w:marRight w:val="0"/>
      <w:marTop w:val="0"/>
      <w:marBottom w:val="0"/>
      <w:divBdr>
        <w:top w:val="none" w:sz="0" w:space="0" w:color="auto"/>
        <w:left w:val="none" w:sz="0" w:space="0" w:color="auto"/>
        <w:bottom w:val="none" w:sz="0" w:space="0" w:color="auto"/>
        <w:right w:val="none" w:sz="0" w:space="0" w:color="auto"/>
      </w:divBdr>
    </w:div>
    <w:div w:id="491214335">
      <w:bodyDiv w:val="1"/>
      <w:marLeft w:val="0"/>
      <w:marRight w:val="0"/>
      <w:marTop w:val="0"/>
      <w:marBottom w:val="0"/>
      <w:divBdr>
        <w:top w:val="none" w:sz="0" w:space="0" w:color="auto"/>
        <w:left w:val="none" w:sz="0" w:space="0" w:color="auto"/>
        <w:bottom w:val="none" w:sz="0" w:space="0" w:color="auto"/>
        <w:right w:val="none" w:sz="0" w:space="0" w:color="auto"/>
      </w:divBdr>
    </w:div>
    <w:div w:id="493422782">
      <w:bodyDiv w:val="1"/>
      <w:marLeft w:val="0"/>
      <w:marRight w:val="0"/>
      <w:marTop w:val="0"/>
      <w:marBottom w:val="0"/>
      <w:divBdr>
        <w:top w:val="none" w:sz="0" w:space="0" w:color="auto"/>
        <w:left w:val="none" w:sz="0" w:space="0" w:color="auto"/>
        <w:bottom w:val="none" w:sz="0" w:space="0" w:color="auto"/>
        <w:right w:val="none" w:sz="0" w:space="0" w:color="auto"/>
      </w:divBdr>
    </w:div>
    <w:div w:id="508062002">
      <w:bodyDiv w:val="1"/>
      <w:marLeft w:val="0"/>
      <w:marRight w:val="0"/>
      <w:marTop w:val="0"/>
      <w:marBottom w:val="0"/>
      <w:divBdr>
        <w:top w:val="none" w:sz="0" w:space="0" w:color="auto"/>
        <w:left w:val="none" w:sz="0" w:space="0" w:color="auto"/>
        <w:bottom w:val="none" w:sz="0" w:space="0" w:color="auto"/>
        <w:right w:val="none" w:sz="0" w:space="0" w:color="auto"/>
      </w:divBdr>
    </w:div>
    <w:div w:id="514534311">
      <w:bodyDiv w:val="1"/>
      <w:marLeft w:val="0"/>
      <w:marRight w:val="0"/>
      <w:marTop w:val="0"/>
      <w:marBottom w:val="0"/>
      <w:divBdr>
        <w:top w:val="none" w:sz="0" w:space="0" w:color="auto"/>
        <w:left w:val="none" w:sz="0" w:space="0" w:color="auto"/>
        <w:bottom w:val="none" w:sz="0" w:space="0" w:color="auto"/>
        <w:right w:val="none" w:sz="0" w:space="0" w:color="auto"/>
      </w:divBdr>
      <w:divsChild>
        <w:div w:id="1863977999">
          <w:marLeft w:val="0"/>
          <w:marRight w:val="0"/>
          <w:marTop w:val="0"/>
          <w:marBottom w:val="0"/>
          <w:divBdr>
            <w:top w:val="none" w:sz="0" w:space="0" w:color="auto"/>
            <w:left w:val="none" w:sz="0" w:space="0" w:color="auto"/>
            <w:bottom w:val="none" w:sz="0" w:space="0" w:color="auto"/>
            <w:right w:val="none" w:sz="0" w:space="0" w:color="auto"/>
          </w:divBdr>
          <w:divsChild>
            <w:div w:id="879127509">
              <w:marLeft w:val="0"/>
              <w:marRight w:val="0"/>
              <w:marTop w:val="0"/>
              <w:marBottom w:val="0"/>
              <w:divBdr>
                <w:top w:val="none" w:sz="0" w:space="0" w:color="auto"/>
                <w:left w:val="none" w:sz="0" w:space="0" w:color="auto"/>
                <w:bottom w:val="none" w:sz="0" w:space="0" w:color="auto"/>
                <w:right w:val="none" w:sz="0" w:space="0" w:color="auto"/>
              </w:divBdr>
              <w:divsChild>
                <w:div w:id="826824488">
                  <w:marLeft w:val="0"/>
                  <w:marRight w:val="0"/>
                  <w:marTop w:val="0"/>
                  <w:marBottom w:val="0"/>
                  <w:divBdr>
                    <w:top w:val="none" w:sz="0" w:space="0" w:color="auto"/>
                    <w:left w:val="none" w:sz="0" w:space="0" w:color="auto"/>
                    <w:bottom w:val="none" w:sz="0" w:space="0" w:color="auto"/>
                    <w:right w:val="none" w:sz="0" w:space="0" w:color="auto"/>
                  </w:divBdr>
                  <w:divsChild>
                    <w:div w:id="29710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356527">
      <w:bodyDiv w:val="1"/>
      <w:marLeft w:val="0"/>
      <w:marRight w:val="0"/>
      <w:marTop w:val="0"/>
      <w:marBottom w:val="0"/>
      <w:divBdr>
        <w:top w:val="none" w:sz="0" w:space="0" w:color="auto"/>
        <w:left w:val="none" w:sz="0" w:space="0" w:color="auto"/>
        <w:bottom w:val="none" w:sz="0" w:space="0" w:color="auto"/>
        <w:right w:val="none" w:sz="0" w:space="0" w:color="auto"/>
      </w:divBdr>
      <w:divsChild>
        <w:div w:id="588927900">
          <w:marLeft w:val="0"/>
          <w:marRight w:val="0"/>
          <w:marTop w:val="0"/>
          <w:marBottom w:val="0"/>
          <w:divBdr>
            <w:top w:val="none" w:sz="0" w:space="0" w:color="auto"/>
            <w:left w:val="none" w:sz="0" w:space="0" w:color="auto"/>
            <w:bottom w:val="none" w:sz="0" w:space="0" w:color="auto"/>
            <w:right w:val="none" w:sz="0" w:space="0" w:color="auto"/>
          </w:divBdr>
          <w:divsChild>
            <w:div w:id="685443677">
              <w:marLeft w:val="0"/>
              <w:marRight w:val="0"/>
              <w:marTop w:val="0"/>
              <w:marBottom w:val="0"/>
              <w:divBdr>
                <w:top w:val="none" w:sz="0" w:space="0" w:color="auto"/>
                <w:left w:val="none" w:sz="0" w:space="0" w:color="auto"/>
                <w:bottom w:val="none" w:sz="0" w:space="0" w:color="auto"/>
                <w:right w:val="none" w:sz="0" w:space="0" w:color="auto"/>
              </w:divBdr>
              <w:divsChild>
                <w:div w:id="1028213066">
                  <w:marLeft w:val="0"/>
                  <w:marRight w:val="0"/>
                  <w:marTop w:val="0"/>
                  <w:marBottom w:val="0"/>
                  <w:divBdr>
                    <w:top w:val="none" w:sz="0" w:space="0" w:color="auto"/>
                    <w:left w:val="none" w:sz="0" w:space="0" w:color="auto"/>
                    <w:bottom w:val="none" w:sz="0" w:space="0" w:color="auto"/>
                    <w:right w:val="none" w:sz="0" w:space="0" w:color="auto"/>
                  </w:divBdr>
                  <w:divsChild>
                    <w:div w:id="102166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799098">
      <w:bodyDiv w:val="1"/>
      <w:marLeft w:val="0"/>
      <w:marRight w:val="0"/>
      <w:marTop w:val="0"/>
      <w:marBottom w:val="0"/>
      <w:divBdr>
        <w:top w:val="none" w:sz="0" w:space="0" w:color="auto"/>
        <w:left w:val="none" w:sz="0" w:space="0" w:color="auto"/>
        <w:bottom w:val="none" w:sz="0" w:space="0" w:color="auto"/>
        <w:right w:val="none" w:sz="0" w:space="0" w:color="auto"/>
      </w:divBdr>
    </w:div>
    <w:div w:id="536813977">
      <w:bodyDiv w:val="1"/>
      <w:marLeft w:val="0"/>
      <w:marRight w:val="0"/>
      <w:marTop w:val="0"/>
      <w:marBottom w:val="0"/>
      <w:divBdr>
        <w:top w:val="none" w:sz="0" w:space="0" w:color="auto"/>
        <w:left w:val="none" w:sz="0" w:space="0" w:color="auto"/>
        <w:bottom w:val="none" w:sz="0" w:space="0" w:color="auto"/>
        <w:right w:val="none" w:sz="0" w:space="0" w:color="auto"/>
      </w:divBdr>
    </w:div>
    <w:div w:id="545021106">
      <w:bodyDiv w:val="1"/>
      <w:marLeft w:val="0"/>
      <w:marRight w:val="0"/>
      <w:marTop w:val="0"/>
      <w:marBottom w:val="0"/>
      <w:divBdr>
        <w:top w:val="none" w:sz="0" w:space="0" w:color="auto"/>
        <w:left w:val="none" w:sz="0" w:space="0" w:color="auto"/>
        <w:bottom w:val="none" w:sz="0" w:space="0" w:color="auto"/>
        <w:right w:val="none" w:sz="0" w:space="0" w:color="auto"/>
      </w:divBdr>
    </w:div>
    <w:div w:id="546574740">
      <w:bodyDiv w:val="1"/>
      <w:marLeft w:val="0"/>
      <w:marRight w:val="0"/>
      <w:marTop w:val="0"/>
      <w:marBottom w:val="0"/>
      <w:divBdr>
        <w:top w:val="none" w:sz="0" w:space="0" w:color="auto"/>
        <w:left w:val="none" w:sz="0" w:space="0" w:color="auto"/>
        <w:bottom w:val="none" w:sz="0" w:space="0" w:color="auto"/>
        <w:right w:val="none" w:sz="0" w:space="0" w:color="auto"/>
      </w:divBdr>
    </w:div>
    <w:div w:id="562105575">
      <w:bodyDiv w:val="1"/>
      <w:marLeft w:val="0"/>
      <w:marRight w:val="0"/>
      <w:marTop w:val="0"/>
      <w:marBottom w:val="0"/>
      <w:divBdr>
        <w:top w:val="none" w:sz="0" w:space="0" w:color="auto"/>
        <w:left w:val="none" w:sz="0" w:space="0" w:color="auto"/>
        <w:bottom w:val="none" w:sz="0" w:space="0" w:color="auto"/>
        <w:right w:val="none" w:sz="0" w:space="0" w:color="auto"/>
      </w:divBdr>
    </w:div>
    <w:div w:id="577595218">
      <w:bodyDiv w:val="1"/>
      <w:marLeft w:val="0"/>
      <w:marRight w:val="0"/>
      <w:marTop w:val="0"/>
      <w:marBottom w:val="0"/>
      <w:divBdr>
        <w:top w:val="none" w:sz="0" w:space="0" w:color="auto"/>
        <w:left w:val="none" w:sz="0" w:space="0" w:color="auto"/>
        <w:bottom w:val="none" w:sz="0" w:space="0" w:color="auto"/>
        <w:right w:val="none" w:sz="0" w:space="0" w:color="auto"/>
      </w:divBdr>
    </w:div>
    <w:div w:id="600990950">
      <w:bodyDiv w:val="1"/>
      <w:marLeft w:val="0"/>
      <w:marRight w:val="0"/>
      <w:marTop w:val="0"/>
      <w:marBottom w:val="0"/>
      <w:divBdr>
        <w:top w:val="none" w:sz="0" w:space="0" w:color="auto"/>
        <w:left w:val="none" w:sz="0" w:space="0" w:color="auto"/>
        <w:bottom w:val="none" w:sz="0" w:space="0" w:color="auto"/>
        <w:right w:val="none" w:sz="0" w:space="0" w:color="auto"/>
      </w:divBdr>
    </w:div>
    <w:div w:id="608123839">
      <w:bodyDiv w:val="1"/>
      <w:marLeft w:val="0"/>
      <w:marRight w:val="0"/>
      <w:marTop w:val="0"/>
      <w:marBottom w:val="0"/>
      <w:divBdr>
        <w:top w:val="none" w:sz="0" w:space="0" w:color="auto"/>
        <w:left w:val="none" w:sz="0" w:space="0" w:color="auto"/>
        <w:bottom w:val="none" w:sz="0" w:space="0" w:color="auto"/>
        <w:right w:val="none" w:sz="0" w:space="0" w:color="auto"/>
      </w:divBdr>
    </w:div>
    <w:div w:id="614335293">
      <w:bodyDiv w:val="1"/>
      <w:marLeft w:val="0"/>
      <w:marRight w:val="0"/>
      <w:marTop w:val="0"/>
      <w:marBottom w:val="0"/>
      <w:divBdr>
        <w:top w:val="none" w:sz="0" w:space="0" w:color="auto"/>
        <w:left w:val="none" w:sz="0" w:space="0" w:color="auto"/>
        <w:bottom w:val="none" w:sz="0" w:space="0" w:color="auto"/>
        <w:right w:val="none" w:sz="0" w:space="0" w:color="auto"/>
      </w:divBdr>
    </w:div>
    <w:div w:id="616178143">
      <w:bodyDiv w:val="1"/>
      <w:marLeft w:val="0"/>
      <w:marRight w:val="0"/>
      <w:marTop w:val="0"/>
      <w:marBottom w:val="0"/>
      <w:divBdr>
        <w:top w:val="none" w:sz="0" w:space="0" w:color="auto"/>
        <w:left w:val="none" w:sz="0" w:space="0" w:color="auto"/>
        <w:bottom w:val="none" w:sz="0" w:space="0" w:color="auto"/>
        <w:right w:val="none" w:sz="0" w:space="0" w:color="auto"/>
      </w:divBdr>
    </w:div>
    <w:div w:id="618922910">
      <w:bodyDiv w:val="1"/>
      <w:marLeft w:val="0"/>
      <w:marRight w:val="0"/>
      <w:marTop w:val="0"/>
      <w:marBottom w:val="0"/>
      <w:divBdr>
        <w:top w:val="none" w:sz="0" w:space="0" w:color="auto"/>
        <w:left w:val="none" w:sz="0" w:space="0" w:color="auto"/>
        <w:bottom w:val="none" w:sz="0" w:space="0" w:color="auto"/>
        <w:right w:val="none" w:sz="0" w:space="0" w:color="auto"/>
      </w:divBdr>
    </w:div>
    <w:div w:id="631712796">
      <w:bodyDiv w:val="1"/>
      <w:marLeft w:val="0"/>
      <w:marRight w:val="0"/>
      <w:marTop w:val="0"/>
      <w:marBottom w:val="0"/>
      <w:divBdr>
        <w:top w:val="none" w:sz="0" w:space="0" w:color="auto"/>
        <w:left w:val="none" w:sz="0" w:space="0" w:color="auto"/>
        <w:bottom w:val="none" w:sz="0" w:space="0" w:color="auto"/>
        <w:right w:val="none" w:sz="0" w:space="0" w:color="auto"/>
      </w:divBdr>
    </w:div>
    <w:div w:id="640160254">
      <w:bodyDiv w:val="1"/>
      <w:marLeft w:val="0"/>
      <w:marRight w:val="0"/>
      <w:marTop w:val="0"/>
      <w:marBottom w:val="0"/>
      <w:divBdr>
        <w:top w:val="none" w:sz="0" w:space="0" w:color="auto"/>
        <w:left w:val="none" w:sz="0" w:space="0" w:color="auto"/>
        <w:bottom w:val="none" w:sz="0" w:space="0" w:color="auto"/>
        <w:right w:val="none" w:sz="0" w:space="0" w:color="auto"/>
      </w:divBdr>
    </w:div>
    <w:div w:id="645622601">
      <w:bodyDiv w:val="1"/>
      <w:marLeft w:val="0"/>
      <w:marRight w:val="0"/>
      <w:marTop w:val="0"/>
      <w:marBottom w:val="0"/>
      <w:divBdr>
        <w:top w:val="none" w:sz="0" w:space="0" w:color="auto"/>
        <w:left w:val="none" w:sz="0" w:space="0" w:color="auto"/>
        <w:bottom w:val="none" w:sz="0" w:space="0" w:color="auto"/>
        <w:right w:val="none" w:sz="0" w:space="0" w:color="auto"/>
      </w:divBdr>
    </w:div>
    <w:div w:id="651834812">
      <w:bodyDiv w:val="1"/>
      <w:marLeft w:val="0"/>
      <w:marRight w:val="0"/>
      <w:marTop w:val="0"/>
      <w:marBottom w:val="0"/>
      <w:divBdr>
        <w:top w:val="none" w:sz="0" w:space="0" w:color="auto"/>
        <w:left w:val="none" w:sz="0" w:space="0" w:color="auto"/>
        <w:bottom w:val="none" w:sz="0" w:space="0" w:color="auto"/>
        <w:right w:val="none" w:sz="0" w:space="0" w:color="auto"/>
      </w:divBdr>
      <w:divsChild>
        <w:div w:id="119155012">
          <w:marLeft w:val="0"/>
          <w:marRight w:val="0"/>
          <w:marTop w:val="0"/>
          <w:marBottom w:val="0"/>
          <w:divBdr>
            <w:top w:val="none" w:sz="0" w:space="0" w:color="auto"/>
            <w:left w:val="none" w:sz="0" w:space="0" w:color="auto"/>
            <w:bottom w:val="none" w:sz="0" w:space="0" w:color="auto"/>
            <w:right w:val="none" w:sz="0" w:space="0" w:color="auto"/>
          </w:divBdr>
          <w:divsChild>
            <w:div w:id="1291788090">
              <w:marLeft w:val="0"/>
              <w:marRight w:val="0"/>
              <w:marTop w:val="0"/>
              <w:marBottom w:val="0"/>
              <w:divBdr>
                <w:top w:val="none" w:sz="0" w:space="0" w:color="auto"/>
                <w:left w:val="none" w:sz="0" w:space="0" w:color="auto"/>
                <w:bottom w:val="none" w:sz="0" w:space="0" w:color="auto"/>
                <w:right w:val="none" w:sz="0" w:space="0" w:color="auto"/>
              </w:divBdr>
              <w:divsChild>
                <w:div w:id="1854950217">
                  <w:marLeft w:val="0"/>
                  <w:marRight w:val="0"/>
                  <w:marTop w:val="0"/>
                  <w:marBottom w:val="0"/>
                  <w:divBdr>
                    <w:top w:val="none" w:sz="0" w:space="0" w:color="auto"/>
                    <w:left w:val="none" w:sz="0" w:space="0" w:color="auto"/>
                    <w:bottom w:val="none" w:sz="0" w:space="0" w:color="auto"/>
                    <w:right w:val="none" w:sz="0" w:space="0" w:color="auto"/>
                  </w:divBdr>
                  <w:divsChild>
                    <w:div w:id="98104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834973">
      <w:bodyDiv w:val="1"/>
      <w:marLeft w:val="0"/>
      <w:marRight w:val="0"/>
      <w:marTop w:val="0"/>
      <w:marBottom w:val="0"/>
      <w:divBdr>
        <w:top w:val="none" w:sz="0" w:space="0" w:color="auto"/>
        <w:left w:val="none" w:sz="0" w:space="0" w:color="auto"/>
        <w:bottom w:val="none" w:sz="0" w:space="0" w:color="auto"/>
        <w:right w:val="none" w:sz="0" w:space="0" w:color="auto"/>
      </w:divBdr>
    </w:div>
    <w:div w:id="666636498">
      <w:bodyDiv w:val="1"/>
      <w:marLeft w:val="0"/>
      <w:marRight w:val="0"/>
      <w:marTop w:val="0"/>
      <w:marBottom w:val="0"/>
      <w:divBdr>
        <w:top w:val="none" w:sz="0" w:space="0" w:color="auto"/>
        <w:left w:val="none" w:sz="0" w:space="0" w:color="auto"/>
        <w:bottom w:val="none" w:sz="0" w:space="0" w:color="auto"/>
        <w:right w:val="none" w:sz="0" w:space="0" w:color="auto"/>
      </w:divBdr>
    </w:div>
    <w:div w:id="675884803">
      <w:bodyDiv w:val="1"/>
      <w:marLeft w:val="0"/>
      <w:marRight w:val="0"/>
      <w:marTop w:val="0"/>
      <w:marBottom w:val="0"/>
      <w:divBdr>
        <w:top w:val="none" w:sz="0" w:space="0" w:color="auto"/>
        <w:left w:val="none" w:sz="0" w:space="0" w:color="auto"/>
        <w:bottom w:val="none" w:sz="0" w:space="0" w:color="auto"/>
        <w:right w:val="none" w:sz="0" w:space="0" w:color="auto"/>
      </w:divBdr>
      <w:divsChild>
        <w:div w:id="145099352">
          <w:marLeft w:val="0"/>
          <w:marRight w:val="0"/>
          <w:marTop w:val="0"/>
          <w:marBottom w:val="0"/>
          <w:divBdr>
            <w:top w:val="none" w:sz="0" w:space="0" w:color="auto"/>
            <w:left w:val="none" w:sz="0" w:space="0" w:color="auto"/>
            <w:bottom w:val="none" w:sz="0" w:space="0" w:color="auto"/>
            <w:right w:val="none" w:sz="0" w:space="0" w:color="auto"/>
          </w:divBdr>
        </w:div>
        <w:div w:id="604196561">
          <w:marLeft w:val="0"/>
          <w:marRight w:val="0"/>
          <w:marTop w:val="0"/>
          <w:marBottom w:val="0"/>
          <w:divBdr>
            <w:top w:val="none" w:sz="0" w:space="0" w:color="auto"/>
            <w:left w:val="none" w:sz="0" w:space="0" w:color="auto"/>
            <w:bottom w:val="none" w:sz="0" w:space="0" w:color="auto"/>
            <w:right w:val="none" w:sz="0" w:space="0" w:color="auto"/>
          </w:divBdr>
        </w:div>
        <w:div w:id="911620104">
          <w:marLeft w:val="0"/>
          <w:marRight w:val="0"/>
          <w:marTop w:val="0"/>
          <w:marBottom w:val="0"/>
          <w:divBdr>
            <w:top w:val="none" w:sz="0" w:space="0" w:color="auto"/>
            <w:left w:val="none" w:sz="0" w:space="0" w:color="auto"/>
            <w:bottom w:val="none" w:sz="0" w:space="0" w:color="auto"/>
            <w:right w:val="none" w:sz="0" w:space="0" w:color="auto"/>
          </w:divBdr>
        </w:div>
        <w:div w:id="1340812359">
          <w:marLeft w:val="0"/>
          <w:marRight w:val="0"/>
          <w:marTop w:val="0"/>
          <w:marBottom w:val="0"/>
          <w:divBdr>
            <w:top w:val="none" w:sz="0" w:space="0" w:color="auto"/>
            <w:left w:val="none" w:sz="0" w:space="0" w:color="auto"/>
            <w:bottom w:val="none" w:sz="0" w:space="0" w:color="auto"/>
            <w:right w:val="none" w:sz="0" w:space="0" w:color="auto"/>
          </w:divBdr>
        </w:div>
        <w:div w:id="1771389526">
          <w:marLeft w:val="0"/>
          <w:marRight w:val="0"/>
          <w:marTop w:val="0"/>
          <w:marBottom w:val="0"/>
          <w:divBdr>
            <w:top w:val="none" w:sz="0" w:space="0" w:color="auto"/>
            <w:left w:val="none" w:sz="0" w:space="0" w:color="auto"/>
            <w:bottom w:val="none" w:sz="0" w:space="0" w:color="auto"/>
            <w:right w:val="none" w:sz="0" w:space="0" w:color="auto"/>
          </w:divBdr>
        </w:div>
      </w:divsChild>
    </w:div>
    <w:div w:id="683944022">
      <w:bodyDiv w:val="1"/>
      <w:marLeft w:val="0"/>
      <w:marRight w:val="0"/>
      <w:marTop w:val="0"/>
      <w:marBottom w:val="0"/>
      <w:divBdr>
        <w:top w:val="none" w:sz="0" w:space="0" w:color="auto"/>
        <w:left w:val="none" w:sz="0" w:space="0" w:color="auto"/>
        <w:bottom w:val="none" w:sz="0" w:space="0" w:color="auto"/>
        <w:right w:val="none" w:sz="0" w:space="0" w:color="auto"/>
      </w:divBdr>
    </w:div>
    <w:div w:id="709650299">
      <w:bodyDiv w:val="1"/>
      <w:marLeft w:val="0"/>
      <w:marRight w:val="0"/>
      <w:marTop w:val="0"/>
      <w:marBottom w:val="0"/>
      <w:divBdr>
        <w:top w:val="none" w:sz="0" w:space="0" w:color="auto"/>
        <w:left w:val="none" w:sz="0" w:space="0" w:color="auto"/>
        <w:bottom w:val="none" w:sz="0" w:space="0" w:color="auto"/>
        <w:right w:val="none" w:sz="0" w:space="0" w:color="auto"/>
      </w:divBdr>
      <w:divsChild>
        <w:div w:id="232130578">
          <w:marLeft w:val="0"/>
          <w:marRight w:val="0"/>
          <w:marTop w:val="0"/>
          <w:marBottom w:val="0"/>
          <w:divBdr>
            <w:top w:val="none" w:sz="0" w:space="0" w:color="auto"/>
            <w:left w:val="none" w:sz="0" w:space="0" w:color="auto"/>
            <w:bottom w:val="none" w:sz="0" w:space="0" w:color="auto"/>
            <w:right w:val="none" w:sz="0" w:space="0" w:color="auto"/>
          </w:divBdr>
        </w:div>
      </w:divsChild>
    </w:div>
    <w:div w:id="712660537">
      <w:bodyDiv w:val="1"/>
      <w:marLeft w:val="0"/>
      <w:marRight w:val="0"/>
      <w:marTop w:val="0"/>
      <w:marBottom w:val="0"/>
      <w:divBdr>
        <w:top w:val="none" w:sz="0" w:space="0" w:color="auto"/>
        <w:left w:val="none" w:sz="0" w:space="0" w:color="auto"/>
        <w:bottom w:val="none" w:sz="0" w:space="0" w:color="auto"/>
        <w:right w:val="none" w:sz="0" w:space="0" w:color="auto"/>
      </w:divBdr>
      <w:divsChild>
        <w:div w:id="128477607">
          <w:marLeft w:val="0"/>
          <w:marRight w:val="0"/>
          <w:marTop w:val="0"/>
          <w:marBottom w:val="0"/>
          <w:divBdr>
            <w:top w:val="none" w:sz="0" w:space="0" w:color="auto"/>
            <w:left w:val="none" w:sz="0" w:space="0" w:color="auto"/>
            <w:bottom w:val="none" w:sz="0" w:space="0" w:color="auto"/>
            <w:right w:val="none" w:sz="0" w:space="0" w:color="auto"/>
          </w:divBdr>
        </w:div>
        <w:div w:id="948699262">
          <w:marLeft w:val="0"/>
          <w:marRight w:val="0"/>
          <w:marTop w:val="0"/>
          <w:marBottom w:val="0"/>
          <w:divBdr>
            <w:top w:val="none" w:sz="0" w:space="0" w:color="auto"/>
            <w:left w:val="none" w:sz="0" w:space="0" w:color="auto"/>
            <w:bottom w:val="none" w:sz="0" w:space="0" w:color="auto"/>
            <w:right w:val="none" w:sz="0" w:space="0" w:color="auto"/>
          </w:divBdr>
        </w:div>
        <w:div w:id="1281496063">
          <w:marLeft w:val="0"/>
          <w:marRight w:val="0"/>
          <w:marTop w:val="0"/>
          <w:marBottom w:val="0"/>
          <w:divBdr>
            <w:top w:val="none" w:sz="0" w:space="0" w:color="auto"/>
            <w:left w:val="none" w:sz="0" w:space="0" w:color="auto"/>
            <w:bottom w:val="none" w:sz="0" w:space="0" w:color="auto"/>
            <w:right w:val="none" w:sz="0" w:space="0" w:color="auto"/>
          </w:divBdr>
        </w:div>
        <w:div w:id="1725762571">
          <w:marLeft w:val="0"/>
          <w:marRight w:val="0"/>
          <w:marTop w:val="0"/>
          <w:marBottom w:val="0"/>
          <w:divBdr>
            <w:top w:val="none" w:sz="0" w:space="0" w:color="auto"/>
            <w:left w:val="none" w:sz="0" w:space="0" w:color="auto"/>
            <w:bottom w:val="none" w:sz="0" w:space="0" w:color="auto"/>
            <w:right w:val="none" w:sz="0" w:space="0" w:color="auto"/>
          </w:divBdr>
        </w:div>
      </w:divsChild>
    </w:div>
    <w:div w:id="729772565">
      <w:bodyDiv w:val="1"/>
      <w:marLeft w:val="0"/>
      <w:marRight w:val="0"/>
      <w:marTop w:val="0"/>
      <w:marBottom w:val="0"/>
      <w:divBdr>
        <w:top w:val="none" w:sz="0" w:space="0" w:color="auto"/>
        <w:left w:val="none" w:sz="0" w:space="0" w:color="auto"/>
        <w:bottom w:val="none" w:sz="0" w:space="0" w:color="auto"/>
        <w:right w:val="none" w:sz="0" w:space="0" w:color="auto"/>
      </w:divBdr>
    </w:div>
    <w:div w:id="731731940">
      <w:bodyDiv w:val="1"/>
      <w:marLeft w:val="0"/>
      <w:marRight w:val="0"/>
      <w:marTop w:val="0"/>
      <w:marBottom w:val="0"/>
      <w:divBdr>
        <w:top w:val="none" w:sz="0" w:space="0" w:color="auto"/>
        <w:left w:val="none" w:sz="0" w:space="0" w:color="auto"/>
        <w:bottom w:val="none" w:sz="0" w:space="0" w:color="auto"/>
        <w:right w:val="none" w:sz="0" w:space="0" w:color="auto"/>
      </w:divBdr>
    </w:div>
    <w:div w:id="731928910">
      <w:bodyDiv w:val="1"/>
      <w:marLeft w:val="0"/>
      <w:marRight w:val="0"/>
      <w:marTop w:val="0"/>
      <w:marBottom w:val="0"/>
      <w:divBdr>
        <w:top w:val="none" w:sz="0" w:space="0" w:color="auto"/>
        <w:left w:val="none" w:sz="0" w:space="0" w:color="auto"/>
        <w:bottom w:val="none" w:sz="0" w:space="0" w:color="auto"/>
        <w:right w:val="none" w:sz="0" w:space="0" w:color="auto"/>
      </w:divBdr>
    </w:div>
    <w:div w:id="733085996">
      <w:bodyDiv w:val="1"/>
      <w:marLeft w:val="0"/>
      <w:marRight w:val="0"/>
      <w:marTop w:val="0"/>
      <w:marBottom w:val="0"/>
      <w:divBdr>
        <w:top w:val="none" w:sz="0" w:space="0" w:color="auto"/>
        <w:left w:val="none" w:sz="0" w:space="0" w:color="auto"/>
        <w:bottom w:val="none" w:sz="0" w:space="0" w:color="auto"/>
        <w:right w:val="none" w:sz="0" w:space="0" w:color="auto"/>
      </w:divBdr>
    </w:div>
    <w:div w:id="733815879">
      <w:bodyDiv w:val="1"/>
      <w:marLeft w:val="0"/>
      <w:marRight w:val="0"/>
      <w:marTop w:val="0"/>
      <w:marBottom w:val="0"/>
      <w:divBdr>
        <w:top w:val="none" w:sz="0" w:space="0" w:color="auto"/>
        <w:left w:val="none" w:sz="0" w:space="0" w:color="auto"/>
        <w:bottom w:val="none" w:sz="0" w:space="0" w:color="auto"/>
        <w:right w:val="none" w:sz="0" w:space="0" w:color="auto"/>
      </w:divBdr>
    </w:div>
    <w:div w:id="736517878">
      <w:bodyDiv w:val="1"/>
      <w:marLeft w:val="0"/>
      <w:marRight w:val="0"/>
      <w:marTop w:val="0"/>
      <w:marBottom w:val="0"/>
      <w:divBdr>
        <w:top w:val="none" w:sz="0" w:space="0" w:color="auto"/>
        <w:left w:val="none" w:sz="0" w:space="0" w:color="auto"/>
        <w:bottom w:val="none" w:sz="0" w:space="0" w:color="auto"/>
        <w:right w:val="none" w:sz="0" w:space="0" w:color="auto"/>
      </w:divBdr>
    </w:div>
    <w:div w:id="748969503">
      <w:bodyDiv w:val="1"/>
      <w:marLeft w:val="0"/>
      <w:marRight w:val="0"/>
      <w:marTop w:val="0"/>
      <w:marBottom w:val="0"/>
      <w:divBdr>
        <w:top w:val="none" w:sz="0" w:space="0" w:color="auto"/>
        <w:left w:val="none" w:sz="0" w:space="0" w:color="auto"/>
        <w:bottom w:val="none" w:sz="0" w:space="0" w:color="auto"/>
        <w:right w:val="none" w:sz="0" w:space="0" w:color="auto"/>
      </w:divBdr>
    </w:div>
    <w:div w:id="833029380">
      <w:bodyDiv w:val="1"/>
      <w:marLeft w:val="0"/>
      <w:marRight w:val="0"/>
      <w:marTop w:val="0"/>
      <w:marBottom w:val="0"/>
      <w:divBdr>
        <w:top w:val="none" w:sz="0" w:space="0" w:color="auto"/>
        <w:left w:val="none" w:sz="0" w:space="0" w:color="auto"/>
        <w:bottom w:val="none" w:sz="0" w:space="0" w:color="auto"/>
        <w:right w:val="none" w:sz="0" w:space="0" w:color="auto"/>
      </w:divBdr>
    </w:div>
    <w:div w:id="834760518">
      <w:bodyDiv w:val="1"/>
      <w:marLeft w:val="0"/>
      <w:marRight w:val="0"/>
      <w:marTop w:val="0"/>
      <w:marBottom w:val="0"/>
      <w:divBdr>
        <w:top w:val="none" w:sz="0" w:space="0" w:color="auto"/>
        <w:left w:val="none" w:sz="0" w:space="0" w:color="auto"/>
        <w:bottom w:val="none" w:sz="0" w:space="0" w:color="auto"/>
        <w:right w:val="none" w:sz="0" w:space="0" w:color="auto"/>
      </w:divBdr>
    </w:div>
    <w:div w:id="851994568">
      <w:bodyDiv w:val="1"/>
      <w:marLeft w:val="0"/>
      <w:marRight w:val="0"/>
      <w:marTop w:val="0"/>
      <w:marBottom w:val="0"/>
      <w:divBdr>
        <w:top w:val="none" w:sz="0" w:space="0" w:color="auto"/>
        <w:left w:val="none" w:sz="0" w:space="0" w:color="auto"/>
        <w:bottom w:val="none" w:sz="0" w:space="0" w:color="auto"/>
        <w:right w:val="none" w:sz="0" w:space="0" w:color="auto"/>
      </w:divBdr>
    </w:div>
    <w:div w:id="855732816">
      <w:bodyDiv w:val="1"/>
      <w:marLeft w:val="0"/>
      <w:marRight w:val="0"/>
      <w:marTop w:val="0"/>
      <w:marBottom w:val="0"/>
      <w:divBdr>
        <w:top w:val="none" w:sz="0" w:space="0" w:color="auto"/>
        <w:left w:val="none" w:sz="0" w:space="0" w:color="auto"/>
        <w:bottom w:val="none" w:sz="0" w:space="0" w:color="auto"/>
        <w:right w:val="none" w:sz="0" w:space="0" w:color="auto"/>
      </w:divBdr>
    </w:div>
    <w:div w:id="866598856">
      <w:bodyDiv w:val="1"/>
      <w:marLeft w:val="0"/>
      <w:marRight w:val="0"/>
      <w:marTop w:val="0"/>
      <w:marBottom w:val="0"/>
      <w:divBdr>
        <w:top w:val="none" w:sz="0" w:space="0" w:color="auto"/>
        <w:left w:val="none" w:sz="0" w:space="0" w:color="auto"/>
        <w:bottom w:val="none" w:sz="0" w:space="0" w:color="auto"/>
        <w:right w:val="none" w:sz="0" w:space="0" w:color="auto"/>
      </w:divBdr>
    </w:div>
    <w:div w:id="881675611">
      <w:bodyDiv w:val="1"/>
      <w:marLeft w:val="0"/>
      <w:marRight w:val="0"/>
      <w:marTop w:val="0"/>
      <w:marBottom w:val="0"/>
      <w:divBdr>
        <w:top w:val="none" w:sz="0" w:space="0" w:color="auto"/>
        <w:left w:val="none" w:sz="0" w:space="0" w:color="auto"/>
        <w:bottom w:val="none" w:sz="0" w:space="0" w:color="auto"/>
        <w:right w:val="none" w:sz="0" w:space="0" w:color="auto"/>
      </w:divBdr>
    </w:div>
    <w:div w:id="890262356">
      <w:bodyDiv w:val="1"/>
      <w:marLeft w:val="0"/>
      <w:marRight w:val="0"/>
      <w:marTop w:val="0"/>
      <w:marBottom w:val="0"/>
      <w:divBdr>
        <w:top w:val="none" w:sz="0" w:space="0" w:color="auto"/>
        <w:left w:val="none" w:sz="0" w:space="0" w:color="auto"/>
        <w:bottom w:val="none" w:sz="0" w:space="0" w:color="auto"/>
        <w:right w:val="none" w:sz="0" w:space="0" w:color="auto"/>
      </w:divBdr>
    </w:div>
    <w:div w:id="890385211">
      <w:bodyDiv w:val="1"/>
      <w:marLeft w:val="0"/>
      <w:marRight w:val="0"/>
      <w:marTop w:val="0"/>
      <w:marBottom w:val="0"/>
      <w:divBdr>
        <w:top w:val="none" w:sz="0" w:space="0" w:color="auto"/>
        <w:left w:val="none" w:sz="0" w:space="0" w:color="auto"/>
        <w:bottom w:val="none" w:sz="0" w:space="0" w:color="auto"/>
        <w:right w:val="none" w:sz="0" w:space="0" w:color="auto"/>
      </w:divBdr>
    </w:div>
    <w:div w:id="890923613">
      <w:bodyDiv w:val="1"/>
      <w:marLeft w:val="0"/>
      <w:marRight w:val="0"/>
      <w:marTop w:val="0"/>
      <w:marBottom w:val="0"/>
      <w:divBdr>
        <w:top w:val="none" w:sz="0" w:space="0" w:color="auto"/>
        <w:left w:val="none" w:sz="0" w:space="0" w:color="auto"/>
        <w:bottom w:val="none" w:sz="0" w:space="0" w:color="auto"/>
        <w:right w:val="none" w:sz="0" w:space="0" w:color="auto"/>
      </w:divBdr>
    </w:div>
    <w:div w:id="911231689">
      <w:bodyDiv w:val="1"/>
      <w:marLeft w:val="0"/>
      <w:marRight w:val="0"/>
      <w:marTop w:val="0"/>
      <w:marBottom w:val="0"/>
      <w:divBdr>
        <w:top w:val="none" w:sz="0" w:space="0" w:color="auto"/>
        <w:left w:val="none" w:sz="0" w:space="0" w:color="auto"/>
        <w:bottom w:val="none" w:sz="0" w:space="0" w:color="auto"/>
        <w:right w:val="none" w:sz="0" w:space="0" w:color="auto"/>
      </w:divBdr>
    </w:div>
    <w:div w:id="914362536">
      <w:bodyDiv w:val="1"/>
      <w:marLeft w:val="0"/>
      <w:marRight w:val="0"/>
      <w:marTop w:val="0"/>
      <w:marBottom w:val="0"/>
      <w:divBdr>
        <w:top w:val="none" w:sz="0" w:space="0" w:color="auto"/>
        <w:left w:val="none" w:sz="0" w:space="0" w:color="auto"/>
        <w:bottom w:val="none" w:sz="0" w:space="0" w:color="auto"/>
        <w:right w:val="none" w:sz="0" w:space="0" w:color="auto"/>
      </w:divBdr>
    </w:div>
    <w:div w:id="917591040">
      <w:bodyDiv w:val="1"/>
      <w:marLeft w:val="0"/>
      <w:marRight w:val="0"/>
      <w:marTop w:val="0"/>
      <w:marBottom w:val="0"/>
      <w:divBdr>
        <w:top w:val="none" w:sz="0" w:space="0" w:color="auto"/>
        <w:left w:val="none" w:sz="0" w:space="0" w:color="auto"/>
        <w:bottom w:val="none" w:sz="0" w:space="0" w:color="auto"/>
        <w:right w:val="none" w:sz="0" w:space="0" w:color="auto"/>
      </w:divBdr>
    </w:div>
    <w:div w:id="918754210">
      <w:bodyDiv w:val="1"/>
      <w:marLeft w:val="0"/>
      <w:marRight w:val="0"/>
      <w:marTop w:val="0"/>
      <w:marBottom w:val="0"/>
      <w:divBdr>
        <w:top w:val="none" w:sz="0" w:space="0" w:color="auto"/>
        <w:left w:val="none" w:sz="0" w:space="0" w:color="auto"/>
        <w:bottom w:val="none" w:sz="0" w:space="0" w:color="auto"/>
        <w:right w:val="none" w:sz="0" w:space="0" w:color="auto"/>
      </w:divBdr>
    </w:div>
    <w:div w:id="943342064">
      <w:bodyDiv w:val="1"/>
      <w:marLeft w:val="0"/>
      <w:marRight w:val="0"/>
      <w:marTop w:val="0"/>
      <w:marBottom w:val="0"/>
      <w:divBdr>
        <w:top w:val="none" w:sz="0" w:space="0" w:color="auto"/>
        <w:left w:val="none" w:sz="0" w:space="0" w:color="auto"/>
        <w:bottom w:val="none" w:sz="0" w:space="0" w:color="auto"/>
        <w:right w:val="none" w:sz="0" w:space="0" w:color="auto"/>
      </w:divBdr>
    </w:div>
    <w:div w:id="958949757">
      <w:bodyDiv w:val="1"/>
      <w:marLeft w:val="0"/>
      <w:marRight w:val="0"/>
      <w:marTop w:val="0"/>
      <w:marBottom w:val="0"/>
      <w:divBdr>
        <w:top w:val="none" w:sz="0" w:space="0" w:color="auto"/>
        <w:left w:val="none" w:sz="0" w:space="0" w:color="auto"/>
        <w:bottom w:val="none" w:sz="0" w:space="0" w:color="auto"/>
        <w:right w:val="none" w:sz="0" w:space="0" w:color="auto"/>
      </w:divBdr>
    </w:div>
    <w:div w:id="977878176">
      <w:bodyDiv w:val="1"/>
      <w:marLeft w:val="0"/>
      <w:marRight w:val="0"/>
      <w:marTop w:val="0"/>
      <w:marBottom w:val="0"/>
      <w:divBdr>
        <w:top w:val="none" w:sz="0" w:space="0" w:color="auto"/>
        <w:left w:val="none" w:sz="0" w:space="0" w:color="auto"/>
        <w:bottom w:val="none" w:sz="0" w:space="0" w:color="auto"/>
        <w:right w:val="none" w:sz="0" w:space="0" w:color="auto"/>
      </w:divBdr>
      <w:divsChild>
        <w:div w:id="308631580">
          <w:marLeft w:val="0"/>
          <w:marRight w:val="0"/>
          <w:marTop w:val="0"/>
          <w:marBottom w:val="0"/>
          <w:divBdr>
            <w:top w:val="none" w:sz="0" w:space="0" w:color="auto"/>
            <w:left w:val="none" w:sz="0" w:space="0" w:color="auto"/>
            <w:bottom w:val="none" w:sz="0" w:space="0" w:color="auto"/>
            <w:right w:val="none" w:sz="0" w:space="0" w:color="auto"/>
          </w:divBdr>
          <w:divsChild>
            <w:div w:id="2136487380">
              <w:marLeft w:val="0"/>
              <w:marRight w:val="0"/>
              <w:marTop w:val="0"/>
              <w:marBottom w:val="0"/>
              <w:divBdr>
                <w:top w:val="none" w:sz="0" w:space="0" w:color="auto"/>
                <w:left w:val="none" w:sz="0" w:space="0" w:color="auto"/>
                <w:bottom w:val="none" w:sz="0" w:space="0" w:color="auto"/>
                <w:right w:val="none" w:sz="0" w:space="0" w:color="auto"/>
              </w:divBdr>
              <w:divsChild>
                <w:div w:id="975528486">
                  <w:marLeft w:val="0"/>
                  <w:marRight w:val="0"/>
                  <w:marTop w:val="0"/>
                  <w:marBottom w:val="0"/>
                  <w:divBdr>
                    <w:top w:val="none" w:sz="0" w:space="0" w:color="auto"/>
                    <w:left w:val="none" w:sz="0" w:space="0" w:color="auto"/>
                    <w:bottom w:val="none" w:sz="0" w:space="0" w:color="auto"/>
                    <w:right w:val="none" w:sz="0" w:space="0" w:color="auto"/>
                  </w:divBdr>
                  <w:divsChild>
                    <w:div w:id="180323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925159">
      <w:bodyDiv w:val="1"/>
      <w:marLeft w:val="0"/>
      <w:marRight w:val="0"/>
      <w:marTop w:val="0"/>
      <w:marBottom w:val="0"/>
      <w:divBdr>
        <w:top w:val="none" w:sz="0" w:space="0" w:color="auto"/>
        <w:left w:val="none" w:sz="0" w:space="0" w:color="auto"/>
        <w:bottom w:val="none" w:sz="0" w:space="0" w:color="auto"/>
        <w:right w:val="none" w:sz="0" w:space="0" w:color="auto"/>
      </w:divBdr>
    </w:div>
    <w:div w:id="993486499">
      <w:bodyDiv w:val="1"/>
      <w:marLeft w:val="0"/>
      <w:marRight w:val="0"/>
      <w:marTop w:val="0"/>
      <w:marBottom w:val="0"/>
      <w:divBdr>
        <w:top w:val="none" w:sz="0" w:space="0" w:color="auto"/>
        <w:left w:val="none" w:sz="0" w:space="0" w:color="auto"/>
        <w:bottom w:val="none" w:sz="0" w:space="0" w:color="auto"/>
        <w:right w:val="none" w:sz="0" w:space="0" w:color="auto"/>
      </w:divBdr>
    </w:div>
    <w:div w:id="1005287410">
      <w:bodyDiv w:val="1"/>
      <w:marLeft w:val="0"/>
      <w:marRight w:val="0"/>
      <w:marTop w:val="0"/>
      <w:marBottom w:val="0"/>
      <w:divBdr>
        <w:top w:val="none" w:sz="0" w:space="0" w:color="auto"/>
        <w:left w:val="none" w:sz="0" w:space="0" w:color="auto"/>
        <w:bottom w:val="none" w:sz="0" w:space="0" w:color="auto"/>
        <w:right w:val="none" w:sz="0" w:space="0" w:color="auto"/>
      </w:divBdr>
    </w:div>
    <w:div w:id="1005327245">
      <w:bodyDiv w:val="1"/>
      <w:marLeft w:val="0"/>
      <w:marRight w:val="0"/>
      <w:marTop w:val="0"/>
      <w:marBottom w:val="0"/>
      <w:divBdr>
        <w:top w:val="none" w:sz="0" w:space="0" w:color="auto"/>
        <w:left w:val="none" w:sz="0" w:space="0" w:color="auto"/>
        <w:bottom w:val="none" w:sz="0" w:space="0" w:color="auto"/>
        <w:right w:val="none" w:sz="0" w:space="0" w:color="auto"/>
      </w:divBdr>
    </w:div>
    <w:div w:id="1029528195">
      <w:bodyDiv w:val="1"/>
      <w:marLeft w:val="0"/>
      <w:marRight w:val="0"/>
      <w:marTop w:val="0"/>
      <w:marBottom w:val="0"/>
      <w:divBdr>
        <w:top w:val="none" w:sz="0" w:space="0" w:color="auto"/>
        <w:left w:val="none" w:sz="0" w:space="0" w:color="auto"/>
        <w:bottom w:val="none" w:sz="0" w:space="0" w:color="auto"/>
        <w:right w:val="none" w:sz="0" w:space="0" w:color="auto"/>
      </w:divBdr>
    </w:div>
    <w:div w:id="1051226569">
      <w:bodyDiv w:val="1"/>
      <w:marLeft w:val="0"/>
      <w:marRight w:val="0"/>
      <w:marTop w:val="0"/>
      <w:marBottom w:val="0"/>
      <w:divBdr>
        <w:top w:val="none" w:sz="0" w:space="0" w:color="auto"/>
        <w:left w:val="none" w:sz="0" w:space="0" w:color="auto"/>
        <w:bottom w:val="none" w:sz="0" w:space="0" w:color="auto"/>
        <w:right w:val="none" w:sz="0" w:space="0" w:color="auto"/>
      </w:divBdr>
    </w:div>
    <w:div w:id="1056124946">
      <w:bodyDiv w:val="1"/>
      <w:marLeft w:val="0"/>
      <w:marRight w:val="0"/>
      <w:marTop w:val="0"/>
      <w:marBottom w:val="0"/>
      <w:divBdr>
        <w:top w:val="none" w:sz="0" w:space="0" w:color="auto"/>
        <w:left w:val="none" w:sz="0" w:space="0" w:color="auto"/>
        <w:bottom w:val="none" w:sz="0" w:space="0" w:color="auto"/>
        <w:right w:val="none" w:sz="0" w:space="0" w:color="auto"/>
      </w:divBdr>
    </w:div>
    <w:div w:id="1081027935">
      <w:bodyDiv w:val="1"/>
      <w:marLeft w:val="0"/>
      <w:marRight w:val="0"/>
      <w:marTop w:val="0"/>
      <w:marBottom w:val="0"/>
      <w:divBdr>
        <w:top w:val="none" w:sz="0" w:space="0" w:color="auto"/>
        <w:left w:val="none" w:sz="0" w:space="0" w:color="auto"/>
        <w:bottom w:val="none" w:sz="0" w:space="0" w:color="auto"/>
        <w:right w:val="none" w:sz="0" w:space="0" w:color="auto"/>
      </w:divBdr>
    </w:div>
    <w:div w:id="1081487744">
      <w:bodyDiv w:val="1"/>
      <w:marLeft w:val="0"/>
      <w:marRight w:val="0"/>
      <w:marTop w:val="0"/>
      <w:marBottom w:val="0"/>
      <w:divBdr>
        <w:top w:val="none" w:sz="0" w:space="0" w:color="auto"/>
        <w:left w:val="none" w:sz="0" w:space="0" w:color="auto"/>
        <w:bottom w:val="none" w:sz="0" w:space="0" w:color="auto"/>
        <w:right w:val="none" w:sz="0" w:space="0" w:color="auto"/>
      </w:divBdr>
    </w:div>
    <w:div w:id="1082675734">
      <w:bodyDiv w:val="1"/>
      <w:marLeft w:val="0"/>
      <w:marRight w:val="0"/>
      <w:marTop w:val="0"/>
      <w:marBottom w:val="0"/>
      <w:divBdr>
        <w:top w:val="none" w:sz="0" w:space="0" w:color="auto"/>
        <w:left w:val="none" w:sz="0" w:space="0" w:color="auto"/>
        <w:bottom w:val="none" w:sz="0" w:space="0" w:color="auto"/>
        <w:right w:val="none" w:sz="0" w:space="0" w:color="auto"/>
      </w:divBdr>
    </w:div>
    <w:div w:id="1113213780">
      <w:bodyDiv w:val="1"/>
      <w:marLeft w:val="0"/>
      <w:marRight w:val="0"/>
      <w:marTop w:val="0"/>
      <w:marBottom w:val="0"/>
      <w:divBdr>
        <w:top w:val="none" w:sz="0" w:space="0" w:color="auto"/>
        <w:left w:val="none" w:sz="0" w:space="0" w:color="auto"/>
        <w:bottom w:val="none" w:sz="0" w:space="0" w:color="auto"/>
        <w:right w:val="none" w:sz="0" w:space="0" w:color="auto"/>
      </w:divBdr>
      <w:divsChild>
        <w:div w:id="522204976">
          <w:marLeft w:val="0"/>
          <w:marRight w:val="0"/>
          <w:marTop w:val="0"/>
          <w:marBottom w:val="0"/>
          <w:divBdr>
            <w:top w:val="none" w:sz="0" w:space="0" w:color="auto"/>
            <w:left w:val="none" w:sz="0" w:space="0" w:color="auto"/>
            <w:bottom w:val="none" w:sz="0" w:space="0" w:color="auto"/>
            <w:right w:val="none" w:sz="0" w:space="0" w:color="auto"/>
          </w:divBdr>
        </w:div>
        <w:div w:id="611983573">
          <w:marLeft w:val="0"/>
          <w:marRight w:val="0"/>
          <w:marTop w:val="0"/>
          <w:marBottom w:val="0"/>
          <w:divBdr>
            <w:top w:val="none" w:sz="0" w:space="0" w:color="auto"/>
            <w:left w:val="none" w:sz="0" w:space="0" w:color="auto"/>
            <w:bottom w:val="none" w:sz="0" w:space="0" w:color="auto"/>
            <w:right w:val="none" w:sz="0" w:space="0" w:color="auto"/>
          </w:divBdr>
        </w:div>
      </w:divsChild>
    </w:div>
    <w:div w:id="1113594198">
      <w:bodyDiv w:val="1"/>
      <w:marLeft w:val="0"/>
      <w:marRight w:val="0"/>
      <w:marTop w:val="0"/>
      <w:marBottom w:val="0"/>
      <w:divBdr>
        <w:top w:val="none" w:sz="0" w:space="0" w:color="auto"/>
        <w:left w:val="none" w:sz="0" w:space="0" w:color="auto"/>
        <w:bottom w:val="none" w:sz="0" w:space="0" w:color="auto"/>
        <w:right w:val="none" w:sz="0" w:space="0" w:color="auto"/>
      </w:divBdr>
      <w:divsChild>
        <w:div w:id="1849446872">
          <w:marLeft w:val="0"/>
          <w:marRight w:val="0"/>
          <w:marTop w:val="0"/>
          <w:marBottom w:val="0"/>
          <w:divBdr>
            <w:top w:val="none" w:sz="0" w:space="0" w:color="auto"/>
            <w:left w:val="none" w:sz="0" w:space="0" w:color="auto"/>
            <w:bottom w:val="none" w:sz="0" w:space="0" w:color="auto"/>
            <w:right w:val="none" w:sz="0" w:space="0" w:color="auto"/>
          </w:divBdr>
        </w:div>
        <w:div w:id="1883858647">
          <w:marLeft w:val="0"/>
          <w:marRight w:val="0"/>
          <w:marTop w:val="0"/>
          <w:marBottom w:val="0"/>
          <w:divBdr>
            <w:top w:val="none" w:sz="0" w:space="0" w:color="auto"/>
            <w:left w:val="none" w:sz="0" w:space="0" w:color="auto"/>
            <w:bottom w:val="none" w:sz="0" w:space="0" w:color="auto"/>
            <w:right w:val="none" w:sz="0" w:space="0" w:color="auto"/>
          </w:divBdr>
        </w:div>
        <w:div w:id="2066174199">
          <w:marLeft w:val="0"/>
          <w:marRight w:val="0"/>
          <w:marTop w:val="0"/>
          <w:marBottom w:val="0"/>
          <w:divBdr>
            <w:top w:val="none" w:sz="0" w:space="0" w:color="auto"/>
            <w:left w:val="none" w:sz="0" w:space="0" w:color="auto"/>
            <w:bottom w:val="none" w:sz="0" w:space="0" w:color="auto"/>
            <w:right w:val="none" w:sz="0" w:space="0" w:color="auto"/>
          </w:divBdr>
        </w:div>
      </w:divsChild>
    </w:div>
    <w:div w:id="1184247880">
      <w:bodyDiv w:val="1"/>
      <w:marLeft w:val="0"/>
      <w:marRight w:val="0"/>
      <w:marTop w:val="0"/>
      <w:marBottom w:val="0"/>
      <w:divBdr>
        <w:top w:val="none" w:sz="0" w:space="0" w:color="auto"/>
        <w:left w:val="none" w:sz="0" w:space="0" w:color="auto"/>
        <w:bottom w:val="none" w:sz="0" w:space="0" w:color="auto"/>
        <w:right w:val="none" w:sz="0" w:space="0" w:color="auto"/>
      </w:divBdr>
    </w:div>
    <w:div w:id="1184319268">
      <w:bodyDiv w:val="1"/>
      <w:marLeft w:val="0"/>
      <w:marRight w:val="0"/>
      <w:marTop w:val="0"/>
      <w:marBottom w:val="0"/>
      <w:divBdr>
        <w:top w:val="none" w:sz="0" w:space="0" w:color="auto"/>
        <w:left w:val="none" w:sz="0" w:space="0" w:color="auto"/>
        <w:bottom w:val="none" w:sz="0" w:space="0" w:color="auto"/>
        <w:right w:val="none" w:sz="0" w:space="0" w:color="auto"/>
      </w:divBdr>
    </w:div>
    <w:div w:id="1184590641">
      <w:bodyDiv w:val="1"/>
      <w:marLeft w:val="0"/>
      <w:marRight w:val="0"/>
      <w:marTop w:val="0"/>
      <w:marBottom w:val="0"/>
      <w:divBdr>
        <w:top w:val="none" w:sz="0" w:space="0" w:color="auto"/>
        <w:left w:val="none" w:sz="0" w:space="0" w:color="auto"/>
        <w:bottom w:val="none" w:sz="0" w:space="0" w:color="auto"/>
        <w:right w:val="none" w:sz="0" w:space="0" w:color="auto"/>
      </w:divBdr>
    </w:div>
    <w:div w:id="1194542500">
      <w:bodyDiv w:val="1"/>
      <w:marLeft w:val="0"/>
      <w:marRight w:val="0"/>
      <w:marTop w:val="0"/>
      <w:marBottom w:val="0"/>
      <w:divBdr>
        <w:top w:val="none" w:sz="0" w:space="0" w:color="auto"/>
        <w:left w:val="none" w:sz="0" w:space="0" w:color="auto"/>
        <w:bottom w:val="none" w:sz="0" w:space="0" w:color="auto"/>
        <w:right w:val="none" w:sz="0" w:space="0" w:color="auto"/>
      </w:divBdr>
    </w:div>
    <w:div w:id="1195195569">
      <w:bodyDiv w:val="1"/>
      <w:marLeft w:val="0"/>
      <w:marRight w:val="0"/>
      <w:marTop w:val="0"/>
      <w:marBottom w:val="0"/>
      <w:divBdr>
        <w:top w:val="none" w:sz="0" w:space="0" w:color="auto"/>
        <w:left w:val="none" w:sz="0" w:space="0" w:color="auto"/>
        <w:bottom w:val="none" w:sz="0" w:space="0" w:color="auto"/>
        <w:right w:val="none" w:sz="0" w:space="0" w:color="auto"/>
      </w:divBdr>
    </w:div>
    <w:div w:id="1217085228">
      <w:bodyDiv w:val="1"/>
      <w:marLeft w:val="0"/>
      <w:marRight w:val="0"/>
      <w:marTop w:val="0"/>
      <w:marBottom w:val="0"/>
      <w:divBdr>
        <w:top w:val="none" w:sz="0" w:space="0" w:color="auto"/>
        <w:left w:val="none" w:sz="0" w:space="0" w:color="auto"/>
        <w:bottom w:val="none" w:sz="0" w:space="0" w:color="auto"/>
        <w:right w:val="none" w:sz="0" w:space="0" w:color="auto"/>
      </w:divBdr>
    </w:div>
    <w:div w:id="1243373021">
      <w:bodyDiv w:val="1"/>
      <w:marLeft w:val="0"/>
      <w:marRight w:val="0"/>
      <w:marTop w:val="0"/>
      <w:marBottom w:val="0"/>
      <w:divBdr>
        <w:top w:val="none" w:sz="0" w:space="0" w:color="auto"/>
        <w:left w:val="none" w:sz="0" w:space="0" w:color="auto"/>
        <w:bottom w:val="none" w:sz="0" w:space="0" w:color="auto"/>
        <w:right w:val="none" w:sz="0" w:space="0" w:color="auto"/>
      </w:divBdr>
    </w:div>
    <w:div w:id="1251038507">
      <w:bodyDiv w:val="1"/>
      <w:marLeft w:val="0"/>
      <w:marRight w:val="0"/>
      <w:marTop w:val="0"/>
      <w:marBottom w:val="0"/>
      <w:divBdr>
        <w:top w:val="none" w:sz="0" w:space="0" w:color="auto"/>
        <w:left w:val="none" w:sz="0" w:space="0" w:color="auto"/>
        <w:bottom w:val="none" w:sz="0" w:space="0" w:color="auto"/>
        <w:right w:val="none" w:sz="0" w:space="0" w:color="auto"/>
      </w:divBdr>
      <w:divsChild>
        <w:div w:id="368843710">
          <w:marLeft w:val="0"/>
          <w:marRight w:val="0"/>
          <w:marTop w:val="0"/>
          <w:marBottom w:val="0"/>
          <w:divBdr>
            <w:top w:val="none" w:sz="0" w:space="0" w:color="auto"/>
            <w:left w:val="none" w:sz="0" w:space="0" w:color="auto"/>
            <w:bottom w:val="none" w:sz="0" w:space="0" w:color="auto"/>
            <w:right w:val="none" w:sz="0" w:space="0" w:color="auto"/>
          </w:divBdr>
        </w:div>
        <w:div w:id="1241646586">
          <w:marLeft w:val="0"/>
          <w:marRight w:val="0"/>
          <w:marTop w:val="0"/>
          <w:marBottom w:val="0"/>
          <w:divBdr>
            <w:top w:val="none" w:sz="0" w:space="0" w:color="auto"/>
            <w:left w:val="none" w:sz="0" w:space="0" w:color="auto"/>
            <w:bottom w:val="none" w:sz="0" w:space="0" w:color="auto"/>
            <w:right w:val="none" w:sz="0" w:space="0" w:color="auto"/>
          </w:divBdr>
        </w:div>
      </w:divsChild>
    </w:div>
    <w:div w:id="1251156163">
      <w:bodyDiv w:val="1"/>
      <w:marLeft w:val="0"/>
      <w:marRight w:val="0"/>
      <w:marTop w:val="0"/>
      <w:marBottom w:val="0"/>
      <w:divBdr>
        <w:top w:val="none" w:sz="0" w:space="0" w:color="auto"/>
        <w:left w:val="none" w:sz="0" w:space="0" w:color="auto"/>
        <w:bottom w:val="none" w:sz="0" w:space="0" w:color="auto"/>
        <w:right w:val="none" w:sz="0" w:space="0" w:color="auto"/>
      </w:divBdr>
    </w:div>
    <w:div w:id="1266034245">
      <w:bodyDiv w:val="1"/>
      <w:marLeft w:val="0"/>
      <w:marRight w:val="0"/>
      <w:marTop w:val="0"/>
      <w:marBottom w:val="0"/>
      <w:divBdr>
        <w:top w:val="none" w:sz="0" w:space="0" w:color="auto"/>
        <w:left w:val="none" w:sz="0" w:space="0" w:color="auto"/>
        <w:bottom w:val="none" w:sz="0" w:space="0" w:color="auto"/>
        <w:right w:val="none" w:sz="0" w:space="0" w:color="auto"/>
      </w:divBdr>
    </w:div>
    <w:div w:id="1281649577">
      <w:bodyDiv w:val="1"/>
      <w:marLeft w:val="0"/>
      <w:marRight w:val="0"/>
      <w:marTop w:val="0"/>
      <w:marBottom w:val="0"/>
      <w:divBdr>
        <w:top w:val="none" w:sz="0" w:space="0" w:color="auto"/>
        <w:left w:val="none" w:sz="0" w:space="0" w:color="auto"/>
        <w:bottom w:val="none" w:sz="0" w:space="0" w:color="auto"/>
        <w:right w:val="none" w:sz="0" w:space="0" w:color="auto"/>
      </w:divBdr>
      <w:divsChild>
        <w:div w:id="213740577">
          <w:marLeft w:val="0"/>
          <w:marRight w:val="0"/>
          <w:marTop w:val="0"/>
          <w:marBottom w:val="0"/>
          <w:divBdr>
            <w:top w:val="none" w:sz="0" w:space="0" w:color="auto"/>
            <w:left w:val="none" w:sz="0" w:space="0" w:color="auto"/>
            <w:bottom w:val="none" w:sz="0" w:space="0" w:color="auto"/>
            <w:right w:val="none" w:sz="0" w:space="0" w:color="auto"/>
          </w:divBdr>
          <w:divsChild>
            <w:div w:id="1169176774">
              <w:marLeft w:val="0"/>
              <w:marRight w:val="0"/>
              <w:marTop w:val="0"/>
              <w:marBottom w:val="0"/>
              <w:divBdr>
                <w:top w:val="none" w:sz="0" w:space="0" w:color="auto"/>
                <w:left w:val="none" w:sz="0" w:space="0" w:color="auto"/>
                <w:bottom w:val="none" w:sz="0" w:space="0" w:color="auto"/>
                <w:right w:val="none" w:sz="0" w:space="0" w:color="auto"/>
              </w:divBdr>
              <w:divsChild>
                <w:div w:id="211717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268912">
      <w:bodyDiv w:val="1"/>
      <w:marLeft w:val="0"/>
      <w:marRight w:val="0"/>
      <w:marTop w:val="0"/>
      <w:marBottom w:val="0"/>
      <w:divBdr>
        <w:top w:val="none" w:sz="0" w:space="0" w:color="auto"/>
        <w:left w:val="none" w:sz="0" w:space="0" w:color="auto"/>
        <w:bottom w:val="none" w:sz="0" w:space="0" w:color="auto"/>
        <w:right w:val="none" w:sz="0" w:space="0" w:color="auto"/>
      </w:divBdr>
    </w:div>
    <w:div w:id="1297837260">
      <w:bodyDiv w:val="1"/>
      <w:marLeft w:val="0"/>
      <w:marRight w:val="0"/>
      <w:marTop w:val="0"/>
      <w:marBottom w:val="0"/>
      <w:divBdr>
        <w:top w:val="none" w:sz="0" w:space="0" w:color="auto"/>
        <w:left w:val="none" w:sz="0" w:space="0" w:color="auto"/>
        <w:bottom w:val="none" w:sz="0" w:space="0" w:color="auto"/>
        <w:right w:val="none" w:sz="0" w:space="0" w:color="auto"/>
      </w:divBdr>
    </w:div>
    <w:div w:id="1309288676">
      <w:bodyDiv w:val="1"/>
      <w:marLeft w:val="0"/>
      <w:marRight w:val="0"/>
      <w:marTop w:val="0"/>
      <w:marBottom w:val="0"/>
      <w:divBdr>
        <w:top w:val="none" w:sz="0" w:space="0" w:color="auto"/>
        <w:left w:val="none" w:sz="0" w:space="0" w:color="auto"/>
        <w:bottom w:val="none" w:sz="0" w:space="0" w:color="auto"/>
        <w:right w:val="none" w:sz="0" w:space="0" w:color="auto"/>
      </w:divBdr>
    </w:div>
    <w:div w:id="1313559405">
      <w:bodyDiv w:val="1"/>
      <w:marLeft w:val="0"/>
      <w:marRight w:val="0"/>
      <w:marTop w:val="0"/>
      <w:marBottom w:val="0"/>
      <w:divBdr>
        <w:top w:val="none" w:sz="0" w:space="0" w:color="auto"/>
        <w:left w:val="none" w:sz="0" w:space="0" w:color="auto"/>
        <w:bottom w:val="none" w:sz="0" w:space="0" w:color="auto"/>
        <w:right w:val="none" w:sz="0" w:space="0" w:color="auto"/>
      </w:divBdr>
    </w:div>
    <w:div w:id="1314217763">
      <w:bodyDiv w:val="1"/>
      <w:marLeft w:val="0"/>
      <w:marRight w:val="0"/>
      <w:marTop w:val="0"/>
      <w:marBottom w:val="0"/>
      <w:divBdr>
        <w:top w:val="none" w:sz="0" w:space="0" w:color="auto"/>
        <w:left w:val="none" w:sz="0" w:space="0" w:color="auto"/>
        <w:bottom w:val="none" w:sz="0" w:space="0" w:color="auto"/>
        <w:right w:val="none" w:sz="0" w:space="0" w:color="auto"/>
      </w:divBdr>
    </w:div>
    <w:div w:id="1333871618">
      <w:bodyDiv w:val="1"/>
      <w:marLeft w:val="0"/>
      <w:marRight w:val="0"/>
      <w:marTop w:val="0"/>
      <w:marBottom w:val="0"/>
      <w:divBdr>
        <w:top w:val="none" w:sz="0" w:space="0" w:color="auto"/>
        <w:left w:val="none" w:sz="0" w:space="0" w:color="auto"/>
        <w:bottom w:val="none" w:sz="0" w:space="0" w:color="auto"/>
        <w:right w:val="none" w:sz="0" w:space="0" w:color="auto"/>
      </w:divBdr>
      <w:divsChild>
        <w:div w:id="1323196852">
          <w:marLeft w:val="0"/>
          <w:marRight w:val="0"/>
          <w:marTop w:val="0"/>
          <w:marBottom w:val="0"/>
          <w:divBdr>
            <w:top w:val="none" w:sz="0" w:space="0" w:color="auto"/>
            <w:left w:val="none" w:sz="0" w:space="0" w:color="auto"/>
            <w:bottom w:val="none" w:sz="0" w:space="0" w:color="auto"/>
            <w:right w:val="none" w:sz="0" w:space="0" w:color="auto"/>
          </w:divBdr>
          <w:divsChild>
            <w:div w:id="1375041736">
              <w:marLeft w:val="0"/>
              <w:marRight w:val="0"/>
              <w:marTop w:val="0"/>
              <w:marBottom w:val="0"/>
              <w:divBdr>
                <w:top w:val="none" w:sz="0" w:space="0" w:color="auto"/>
                <w:left w:val="none" w:sz="0" w:space="0" w:color="auto"/>
                <w:bottom w:val="none" w:sz="0" w:space="0" w:color="auto"/>
                <w:right w:val="none" w:sz="0" w:space="0" w:color="auto"/>
              </w:divBdr>
              <w:divsChild>
                <w:div w:id="11293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914198">
      <w:bodyDiv w:val="1"/>
      <w:marLeft w:val="0"/>
      <w:marRight w:val="0"/>
      <w:marTop w:val="0"/>
      <w:marBottom w:val="0"/>
      <w:divBdr>
        <w:top w:val="none" w:sz="0" w:space="0" w:color="auto"/>
        <w:left w:val="none" w:sz="0" w:space="0" w:color="auto"/>
        <w:bottom w:val="none" w:sz="0" w:space="0" w:color="auto"/>
        <w:right w:val="none" w:sz="0" w:space="0" w:color="auto"/>
      </w:divBdr>
      <w:divsChild>
        <w:div w:id="1943301233">
          <w:marLeft w:val="0"/>
          <w:marRight w:val="0"/>
          <w:marTop w:val="0"/>
          <w:marBottom w:val="0"/>
          <w:divBdr>
            <w:top w:val="none" w:sz="0" w:space="0" w:color="auto"/>
            <w:left w:val="none" w:sz="0" w:space="0" w:color="auto"/>
            <w:bottom w:val="none" w:sz="0" w:space="0" w:color="auto"/>
            <w:right w:val="none" w:sz="0" w:space="0" w:color="auto"/>
          </w:divBdr>
          <w:divsChild>
            <w:div w:id="549615908">
              <w:marLeft w:val="0"/>
              <w:marRight w:val="0"/>
              <w:marTop w:val="0"/>
              <w:marBottom w:val="0"/>
              <w:divBdr>
                <w:top w:val="none" w:sz="0" w:space="0" w:color="auto"/>
                <w:left w:val="none" w:sz="0" w:space="0" w:color="auto"/>
                <w:bottom w:val="none" w:sz="0" w:space="0" w:color="auto"/>
                <w:right w:val="none" w:sz="0" w:space="0" w:color="auto"/>
              </w:divBdr>
              <w:divsChild>
                <w:div w:id="2051876978">
                  <w:marLeft w:val="0"/>
                  <w:marRight w:val="0"/>
                  <w:marTop w:val="0"/>
                  <w:marBottom w:val="0"/>
                  <w:divBdr>
                    <w:top w:val="none" w:sz="0" w:space="0" w:color="auto"/>
                    <w:left w:val="none" w:sz="0" w:space="0" w:color="auto"/>
                    <w:bottom w:val="none" w:sz="0" w:space="0" w:color="auto"/>
                    <w:right w:val="none" w:sz="0" w:space="0" w:color="auto"/>
                  </w:divBdr>
                  <w:divsChild>
                    <w:div w:id="176476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80575">
      <w:bodyDiv w:val="1"/>
      <w:marLeft w:val="0"/>
      <w:marRight w:val="0"/>
      <w:marTop w:val="0"/>
      <w:marBottom w:val="0"/>
      <w:divBdr>
        <w:top w:val="none" w:sz="0" w:space="0" w:color="auto"/>
        <w:left w:val="none" w:sz="0" w:space="0" w:color="auto"/>
        <w:bottom w:val="none" w:sz="0" w:space="0" w:color="auto"/>
        <w:right w:val="none" w:sz="0" w:space="0" w:color="auto"/>
      </w:divBdr>
    </w:div>
    <w:div w:id="1338536687">
      <w:bodyDiv w:val="1"/>
      <w:marLeft w:val="0"/>
      <w:marRight w:val="0"/>
      <w:marTop w:val="0"/>
      <w:marBottom w:val="0"/>
      <w:divBdr>
        <w:top w:val="none" w:sz="0" w:space="0" w:color="auto"/>
        <w:left w:val="none" w:sz="0" w:space="0" w:color="auto"/>
        <w:bottom w:val="none" w:sz="0" w:space="0" w:color="auto"/>
        <w:right w:val="none" w:sz="0" w:space="0" w:color="auto"/>
      </w:divBdr>
    </w:div>
    <w:div w:id="1338733148">
      <w:bodyDiv w:val="1"/>
      <w:marLeft w:val="0"/>
      <w:marRight w:val="0"/>
      <w:marTop w:val="0"/>
      <w:marBottom w:val="0"/>
      <w:divBdr>
        <w:top w:val="none" w:sz="0" w:space="0" w:color="auto"/>
        <w:left w:val="none" w:sz="0" w:space="0" w:color="auto"/>
        <w:bottom w:val="none" w:sz="0" w:space="0" w:color="auto"/>
        <w:right w:val="none" w:sz="0" w:space="0" w:color="auto"/>
      </w:divBdr>
    </w:div>
    <w:div w:id="1342663071">
      <w:bodyDiv w:val="1"/>
      <w:marLeft w:val="0"/>
      <w:marRight w:val="0"/>
      <w:marTop w:val="0"/>
      <w:marBottom w:val="0"/>
      <w:divBdr>
        <w:top w:val="none" w:sz="0" w:space="0" w:color="auto"/>
        <w:left w:val="none" w:sz="0" w:space="0" w:color="auto"/>
        <w:bottom w:val="none" w:sz="0" w:space="0" w:color="auto"/>
        <w:right w:val="none" w:sz="0" w:space="0" w:color="auto"/>
      </w:divBdr>
    </w:div>
    <w:div w:id="1347442870">
      <w:bodyDiv w:val="1"/>
      <w:marLeft w:val="0"/>
      <w:marRight w:val="0"/>
      <w:marTop w:val="0"/>
      <w:marBottom w:val="0"/>
      <w:divBdr>
        <w:top w:val="none" w:sz="0" w:space="0" w:color="auto"/>
        <w:left w:val="none" w:sz="0" w:space="0" w:color="auto"/>
        <w:bottom w:val="none" w:sz="0" w:space="0" w:color="auto"/>
        <w:right w:val="none" w:sz="0" w:space="0" w:color="auto"/>
      </w:divBdr>
    </w:div>
    <w:div w:id="1348361490">
      <w:bodyDiv w:val="1"/>
      <w:marLeft w:val="0"/>
      <w:marRight w:val="0"/>
      <w:marTop w:val="0"/>
      <w:marBottom w:val="0"/>
      <w:divBdr>
        <w:top w:val="none" w:sz="0" w:space="0" w:color="auto"/>
        <w:left w:val="none" w:sz="0" w:space="0" w:color="auto"/>
        <w:bottom w:val="none" w:sz="0" w:space="0" w:color="auto"/>
        <w:right w:val="none" w:sz="0" w:space="0" w:color="auto"/>
      </w:divBdr>
    </w:div>
    <w:div w:id="1349716882">
      <w:bodyDiv w:val="1"/>
      <w:marLeft w:val="0"/>
      <w:marRight w:val="0"/>
      <w:marTop w:val="0"/>
      <w:marBottom w:val="0"/>
      <w:divBdr>
        <w:top w:val="none" w:sz="0" w:space="0" w:color="auto"/>
        <w:left w:val="none" w:sz="0" w:space="0" w:color="auto"/>
        <w:bottom w:val="none" w:sz="0" w:space="0" w:color="auto"/>
        <w:right w:val="none" w:sz="0" w:space="0" w:color="auto"/>
      </w:divBdr>
      <w:divsChild>
        <w:div w:id="792484015">
          <w:marLeft w:val="0"/>
          <w:marRight w:val="0"/>
          <w:marTop w:val="0"/>
          <w:marBottom w:val="0"/>
          <w:divBdr>
            <w:top w:val="none" w:sz="0" w:space="0" w:color="auto"/>
            <w:left w:val="none" w:sz="0" w:space="0" w:color="auto"/>
            <w:bottom w:val="none" w:sz="0" w:space="0" w:color="auto"/>
            <w:right w:val="none" w:sz="0" w:space="0" w:color="auto"/>
          </w:divBdr>
        </w:div>
        <w:div w:id="1722290986">
          <w:marLeft w:val="0"/>
          <w:marRight w:val="0"/>
          <w:marTop w:val="0"/>
          <w:marBottom w:val="0"/>
          <w:divBdr>
            <w:top w:val="none" w:sz="0" w:space="0" w:color="auto"/>
            <w:left w:val="none" w:sz="0" w:space="0" w:color="auto"/>
            <w:bottom w:val="none" w:sz="0" w:space="0" w:color="auto"/>
            <w:right w:val="none" w:sz="0" w:space="0" w:color="auto"/>
          </w:divBdr>
        </w:div>
      </w:divsChild>
    </w:div>
    <w:div w:id="1358505889">
      <w:bodyDiv w:val="1"/>
      <w:marLeft w:val="0"/>
      <w:marRight w:val="0"/>
      <w:marTop w:val="0"/>
      <w:marBottom w:val="0"/>
      <w:divBdr>
        <w:top w:val="none" w:sz="0" w:space="0" w:color="auto"/>
        <w:left w:val="none" w:sz="0" w:space="0" w:color="auto"/>
        <w:bottom w:val="none" w:sz="0" w:space="0" w:color="auto"/>
        <w:right w:val="none" w:sz="0" w:space="0" w:color="auto"/>
      </w:divBdr>
    </w:div>
    <w:div w:id="1361516857">
      <w:bodyDiv w:val="1"/>
      <w:marLeft w:val="0"/>
      <w:marRight w:val="0"/>
      <w:marTop w:val="0"/>
      <w:marBottom w:val="0"/>
      <w:divBdr>
        <w:top w:val="none" w:sz="0" w:space="0" w:color="auto"/>
        <w:left w:val="none" w:sz="0" w:space="0" w:color="auto"/>
        <w:bottom w:val="none" w:sz="0" w:space="0" w:color="auto"/>
        <w:right w:val="none" w:sz="0" w:space="0" w:color="auto"/>
      </w:divBdr>
      <w:divsChild>
        <w:div w:id="720520813">
          <w:marLeft w:val="0"/>
          <w:marRight w:val="0"/>
          <w:marTop w:val="0"/>
          <w:marBottom w:val="0"/>
          <w:divBdr>
            <w:top w:val="none" w:sz="0" w:space="0" w:color="auto"/>
            <w:left w:val="none" w:sz="0" w:space="0" w:color="auto"/>
            <w:bottom w:val="none" w:sz="0" w:space="0" w:color="auto"/>
            <w:right w:val="none" w:sz="0" w:space="0" w:color="auto"/>
          </w:divBdr>
        </w:div>
        <w:div w:id="919410597">
          <w:marLeft w:val="0"/>
          <w:marRight w:val="0"/>
          <w:marTop w:val="0"/>
          <w:marBottom w:val="0"/>
          <w:divBdr>
            <w:top w:val="none" w:sz="0" w:space="0" w:color="auto"/>
            <w:left w:val="none" w:sz="0" w:space="0" w:color="auto"/>
            <w:bottom w:val="none" w:sz="0" w:space="0" w:color="auto"/>
            <w:right w:val="none" w:sz="0" w:space="0" w:color="auto"/>
          </w:divBdr>
          <w:divsChild>
            <w:div w:id="426199557">
              <w:marLeft w:val="0"/>
              <w:marRight w:val="0"/>
              <w:marTop w:val="0"/>
              <w:marBottom w:val="0"/>
              <w:divBdr>
                <w:top w:val="none" w:sz="0" w:space="0" w:color="auto"/>
                <w:left w:val="none" w:sz="0" w:space="0" w:color="auto"/>
                <w:bottom w:val="none" w:sz="0" w:space="0" w:color="auto"/>
                <w:right w:val="none" w:sz="0" w:space="0" w:color="auto"/>
              </w:divBdr>
              <w:divsChild>
                <w:div w:id="1286547873">
                  <w:marLeft w:val="0"/>
                  <w:marRight w:val="0"/>
                  <w:marTop w:val="0"/>
                  <w:marBottom w:val="0"/>
                  <w:divBdr>
                    <w:top w:val="none" w:sz="0" w:space="0" w:color="auto"/>
                    <w:left w:val="none" w:sz="0" w:space="0" w:color="auto"/>
                    <w:bottom w:val="none" w:sz="0" w:space="0" w:color="auto"/>
                    <w:right w:val="none" w:sz="0" w:space="0" w:color="auto"/>
                  </w:divBdr>
                </w:div>
                <w:div w:id="179694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335245">
          <w:marLeft w:val="0"/>
          <w:marRight w:val="0"/>
          <w:marTop w:val="0"/>
          <w:marBottom w:val="0"/>
          <w:divBdr>
            <w:top w:val="none" w:sz="0" w:space="0" w:color="auto"/>
            <w:left w:val="none" w:sz="0" w:space="0" w:color="auto"/>
            <w:bottom w:val="none" w:sz="0" w:space="0" w:color="auto"/>
            <w:right w:val="none" w:sz="0" w:space="0" w:color="auto"/>
          </w:divBdr>
        </w:div>
        <w:div w:id="1693065984">
          <w:marLeft w:val="0"/>
          <w:marRight w:val="0"/>
          <w:marTop w:val="0"/>
          <w:marBottom w:val="0"/>
          <w:divBdr>
            <w:top w:val="none" w:sz="0" w:space="0" w:color="auto"/>
            <w:left w:val="none" w:sz="0" w:space="0" w:color="auto"/>
            <w:bottom w:val="none" w:sz="0" w:space="0" w:color="auto"/>
            <w:right w:val="none" w:sz="0" w:space="0" w:color="auto"/>
          </w:divBdr>
        </w:div>
      </w:divsChild>
    </w:div>
    <w:div w:id="1363938931">
      <w:bodyDiv w:val="1"/>
      <w:marLeft w:val="0"/>
      <w:marRight w:val="0"/>
      <w:marTop w:val="0"/>
      <w:marBottom w:val="0"/>
      <w:divBdr>
        <w:top w:val="none" w:sz="0" w:space="0" w:color="auto"/>
        <w:left w:val="none" w:sz="0" w:space="0" w:color="auto"/>
        <w:bottom w:val="none" w:sz="0" w:space="0" w:color="auto"/>
        <w:right w:val="none" w:sz="0" w:space="0" w:color="auto"/>
      </w:divBdr>
    </w:div>
    <w:div w:id="1365130412">
      <w:bodyDiv w:val="1"/>
      <w:marLeft w:val="0"/>
      <w:marRight w:val="0"/>
      <w:marTop w:val="0"/>
      <w:marBottom w:val="0"/>
      <w:divBdr>
        <w:top w:val="none" w:sz="0" w:space="0" w:color="auto"/>
        <w:left w:val="none" w:sz="0" w:space="0" w:color="auto"/>
        <w:bottom w:val="none" w:sz="0" w:space="0" w:color="auto"/>
        <w:right w:val="none" w:sz="0" w:space="0" w:color="auto"/>
      </w:divBdr>
    </w:div>
    <w:div w:id="1367874792">
      <w:bodyDiv w:val="1"/>
      <w:marLeft w:val="0"/>
      <w:marRight w:val="0"/>
      <w:marTop w:val="0"/>
      <w:marBottom w:val="0"/>
      <w:divBdr>
        <w:top w:val="none" w:sz="0" w:space="0" w:color="auto"/>
        <w:left w:val="none" w:sz="0" w:space="0" w:color="auto"/>
        <w:bottom w:val="none" w:sz="0" w:space="0" w:color="auto"/>
        <w:right w:val="none" w:sz="0" w:space="0" w:color="auto"/>
      </w:divBdr>
    </w:div>
    <w:div w:id="1395737130">
      <w:bodyDiv w:val="1"/>
      <w:marLeft w:val="0"/>
      <w:marRight w:val="0"/>
      <w:marTop w:val="0"/>
      <w:marBottom w:val="0"/>
      <w:divBdr>
        <w:top w:val="none" w:sz="0" w:space="0" w:color="auto"/>
        <w:left w:val="none" w:sz="0" w:space="0" w:color="auto"/>
        <w:bottom w:val="none" w:sz="0" w:space="0" w:color="auto"/>
        <w:right w:val="none" w:sz="0" w:space="0" w:color="auto"/>
      </w:divBdr>
    </w:div>
    <w:div w:id="1412237169">
      <w:bodyDiv w:val="1"/>
      <w:marLeft w:val="0"/>
      <w:marRight w:val="0"/>
      <w:marTop w:val="0"/>
      <w:marBottom w:val="0"/>
      <w:divBdr>
        <w:top w:val="none" w:sz="0" w:space="0" w:color="auto"/>
        <w:left w:val="none" w:sz="0" w:space="0" w:color="auto"/>
        <w:bottom w:val="none" w:sz="0" w:space="0" w:color="auto"/>
        <w:right w:val="none" w:sz="0" w:space="0" w:color="auto"/>
      </w:divBdr>
    </w:div>
    <w:div w:id="1416780069">
      <w:bodyDiv w:val="1"/>
      <w:marLeft w:val="0"/>
      <w:marRight w:val="0"/>
      <w:marTop w:val="0"/>
      <w:marBottom w:val="0"/>
      <w:divBdr>
        <w:top w:val="none" w:sz="0" w:space="0" w:color="auto"/>
        <w:left w:val="none" w:sz="0" w:space="0" w:color="auto"/>
        <w:bottom w:val="none" w:sz="0" w:space="0" w:color="auto"/>
        <w:right w:val="none" w:sz="0" w:space="0" w:color="auto"/>
      </w:divBdr>
      <w:divsChild>
        <w:div w:id="1275139809">
          <w:marLeft w:val="0"/>
          <w:marRight w:val="0"/>
          <w:marTop w:val="0"/>
          <w:marBottom w:val="0"/>
          <w:divBdr>
            <w:top w:val="none" w:sz="0" w:space="0" w:color="auto"/>
            <w:left w:val="none" w:sz="0" w:space="0" w:color="auto"/>
            <w:bottom w:val="none" w:sz="0" w:space="0" w:color="auto"/>
            <w:right w:val="none" w:sz="0" w:space="0" w:color="auto"/>
          </w:divBdr>
          <w:divsChild>
            <w:div w:id="1964920933">
              <w:marLeft w:val="0"/>
              <w:marRight w:val="0"/>
              <w:marTop w:val="0"/>
              <w:marBottom w:val="0"/>
              <w:divBdr>
                <w:top w:val="none" w:sz="0" w:space="0" w:color="auto"/>
                <w:left w:val="none" w:sz="0" w:space="0" w:color="auto"/>
                <w:bottom w:val="none" w:sz="0" w:space="0" w:color="auto"/>
                <w:right w:val="none" w:sz="0" w:space="0" w:color="auto"/>
              </w:divBdr>
              <w:divsChild>
                <w:div w:id="877276716">
                  <w:marLeft w:val="0"/>
                  <w:marRight w:val="0"/>
                  <w:marTop w:val="0"/>
                  <w:marBottom w:val="0"/>
                  <w:divBdr>
                    <w:top w:val="none" w:sz="0" w:space="0" w:color="auto"/>
                    <w:left w:val="none" w:sz="0" w:space="0" w:color="auto"/>
                    <w:bottom w:val="none" w:sz="0" w:space="0" w:color="auto"/>
                    <w:right w:val="none" w:sz="0" w:space="0" w:color="auto"/>
                  </w:divBdr>
                  <w:divsChild>
                    <w:div w:id="9789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91703">
      <w:bodyDiv w:val="1"/>
      <w:marLeft w:val="0"/>
      <w:marRight w:val="0"/>
      <w:marTop w:val="0"/>
      <w:marBottom w:val="0"/>
      <w:divBdr>
        <w:top w:val="none" w:sz="0" w:space="0" w:color="auto"/>
        <w:left w:val="none" w:sz="0" w:space="0" w:color="auto"/>
        <w:bottom w:val="none" w:sz="0" w:space="0" w:color="auto"/>
        <w:right w:val="none" w:sz="0" w:space="0" w:color="auto"/>
      </w:divBdr>
      <w:divsChild>
        <w:div w:id="216356278">
          <w:marLeft w:val="0"/>
          <w:marRight w:val="0"/>
          <w:marTop w:val="0"/>
          <w:marBottom w:val="0"/>
          <w:divBdr>
            <w:top w:val="none" w:sz="0" w:space="0" w:color="auto"/>
            <w:left w:val="none" w:sz="0" w:space="0" w:color="auto"/>
            <w:bottom w:val="none" w:sz="0" w:space="0" w:color="auto"/>
            <w:right w:val="none" w:sz="0" w:space="0" w:color="auto"/>
          </w:divBdr>
          <w:divsChild>
            <w:div w:id="1186558197">
              <w:marLeft w:val="0"/>
              <w:marRight w:val="0"/>
              <w:marTop w:val="0"/>
              <w:marBottom w:val="0"/>
              <w:divBdr>
                <w:top w:val="none" w:sz="0" w:space="0" w:color="auto"/>
                <w:left w:val="none" w:sz="0" w:space="0" w:color="auto"/>
                <w:bottom w:val="none" w:sz="0" w:space="0" w:color="auto"/>
                <w:right w:val="none" w:sz="0" w:space="0" w:color="auto"/>
              </w:divBdr>
              <w:divsChild>
                <w:div w:id="120317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237520">
      <w:bodyDiv w:val="1"/>
      <w:marLeft w:val="0"/>
      <w:marRight w:val="0"/>
      <w:marTop w:val="0"/>
      <w:marBottom w:val="0"/>
      <w:divBdr>
        <w:top w:val="none" w:sz="0" w:space="0" w:color="auto"/>
        <w:left w:val="none" w:sz="0" w:space="0" w:color="auto"/>
        <w:bottom w:val="none" w:sz="0" w:space="0" w:color="auto"/>
        <w:right w:val="none" w:sz="0" w:space="0" w:color="auto"/>
      </w:divBdr>
    </w:div>
    <w:div w:id="1457212382">
      <w:bodyDiv w:val="1"/>
      <w:marLeft w:val="0"/>
      <w:marRight w:val="0"/>
      <w:marTop w:val="0"/>
      <w:marBottom w:val="0"/>
      <w:divBdr>
        <w:top w:val="none" w:sz="0" w:space="0" w:color="auto"/>
        <w:left w:val="none" w:sz="0" w:space="0" w:color="auto"/>
        <w:bottom w:val="none" w:sz="0" w:space="0" w:color="auto"/>
        <w:right w:val="none" w:sz="0" w:space="0" w:color="auto"/>
      </w:divBdr>
    </w:div>
    <w:div w:id="1482621659">
      <w:bodyDiv w:val="1"/>
      <w:marLeft w:val="0"/>
      <w:marRight w:val="0"/>
      <w:marTop w:val="0"/>
      <w:marBottom w:val="0"/>
      <w:divBdr>
        <w:top w:val="none" w:sz="0" w:space="0" w:color="auto"/>
        <w:left w:val="none" w:sz="0" w:space="0" w:color="auto"/>
        <w:bottom w:val="none" w:sz="0" w:space="0" w:color="auto"/>
        <w:right w:val="none" w:sz="0" w:space="0" w:color="auto"/>
      </w:divBdr>
    </w:div>
    <w:div w:id="1490093135">
      <w:bodyDiv w:val="1"/>
      <w:marLeft w:val="0"/>
      <w:marRight w:val="0"/>
      <w:marTop w:val="0"/>
      <w:marBottom w:val="0"/>
      <w:divBdr>
        <w:top w:val="none" w:sz="0" w:space="0" w:color="auto"/>
        <w:left w:val="none" w:sz="0" w:space="0" w:color="auto"/>
        <w:bottom w:val="none" w:sz="0" w:space="0" w:color="auto"/>
        <w:right w:val="none" w:sz="0" w:space="0" w:color="auto"/>
      </w:divBdr>
      <w:divsChild>
        <w:div w:id="1892031816">
          <w:marLeft w:val="0"/>
          <w:marRight w:val="0"/>
          <w:marTop w:val="0"/>
          <w:marBottom w:val="0"/>
          <w:divBdr>
            <w:top w:val="none" w:sz="0" w:space="0" w:color="auto"/>
            <w:left w:val="none" w:sz="0" w:space="0" w:color="auto"/>
            <w:bottom w:val="none" w:sz="0" w:space="0" w:color="auto"/>
            <w:right w:val="none" w:sz="0" w:space="0" w:color="auto"/>
          </w:divBdr>
        </w:div>
      </w:divsChild>
    </w:div>
    <w:div w:id="1497379930">
      <w:bodyDiv w:val="1"/>
      <w:marLeft w:val="0"/>
      <w:marRight w:val="0"/>
      <w:marTop w:val="0"/>
      <w:marBottom w:val="0"/>
      <w:divBdr>
        <w:top w:val="none" w:sz="0" w:space="0" w:color="auto"/>
        <w:left w:val="none" w:sz="0" w:space="0" w:color="auto"/>
        <w:bottom w:val="none" w:sz="0" w:space="0" w:color="auto"/>
        <w:right w:val="none" w:sz="0" w:space="0" w:color="auto"/>
      </w:divBdr>
    </w:div>
    <w:div w:id="1499152850">
      <w:bodyDiv w:val="1"/>
      <w:marLeft w:val="0"/>
      <w:marRight w:val="0"/>
      <w:marTop w:val="0"/>
      <w:marBottom w:val="0"/>
      <w:divBdr>
        <w:top w:val="none" w:sz="0" w:space="0" w:color="auto"/>
        <w:left w:val="none" w:sz="0" w:space="0" w:color="auto"/>
        <w:bottom w:val="none" w:sz="0" w:space="0" w:color="auto"/>
        <w:right w:val="none" w:sz="0" w:space="0" w:color="auto"/>
      </w:divBdr>
    </w:div>
    <w:div w:id="1501045999">
      <w:bodyDiv w:val="1"/>
      <w:marLeft w:val="0"/>
      <w:marRight w:val="0"/>
      <w:marTop w:val="0"/>
      <w:marBottom w:val="0"/>
      <w:divBdr>
        <w:top w:val="none" w:sz="0" w:space="0" w:color="auto"/>
        <w:left w:val="none" w:sz="0" w:space="0" w:color="auto"/>
        <w:bottom w:val="none" w:sz="0" w:space="0" w:color="auto"/>
        <w:right w:val="none" w:sz="0" w:space="0" w:color="auto"/>
      </w:divBdr>
    </w:div>
    <w:div w:id="1503860699">
      <w:bodyDiv w:val="1"/>
      <w:marLeft w:val="0"/>
      <w:marRight w:val="0"/>
      <w:marTop w:val="0"/>
      <w:marBottom w:val="0"/>
      <w:divBdr>
        <w:top w:val="none" w:sz="0" w:space="0" w:color="auto"/>
        <w:left w:val="none" w:sz="0" w:space="0" w:color="auto"/>
        <w:bottom w:val="none" w:sz="0" w:space="0" w:color="auto"/>
        <w:right w:val="none" w:sz="0" w:space="0" w:color="auto"/>
      </w:divBdr>
    </w:div>
    <w:div w:id="1512261880">
      <w:bodyDiv w:val="1"/>
      <w:marLeft w:val="0"/>
      <w:marRight w:val="0"/>
      <w:marTop w:val="0"/>
      <w:marBottom w:val="0"/>
      <w:divBdr>
        <w:top w:val="none" w:sz="0" w:space="0" w:color="auto"/>
        <w:left w:val="none" w:sz="0" w:space="0" w:color="auto"/>
        <w:bottom w:val="none" w:sz="0" w:space="0" w:color="auto"/>
        <w:right w:val="none" w:sz="0" w:space="0" w:color="auto"/>
      </w:divBdr>
    </w:div>
    <w:div w:id="1514152771">
      <w:bodyDiv w:val="1"/>
      <w:marLeft w:val="0"/>
      <w:marRight w:val="0"/>
      <w:marTop w:val="0"/>
      <w:marBottom w:val="0"/>
      <w:divBdr>
        <w:top w:val="none" w:sz="0" w:space="0" w:color="auto"/>
        <w:left w:val="none" w:sz="0" w:space="0" w:color="auto"/>
        <w:bottom w:val="none" w:sz="0" w:space="0" w:color="auto"/>
        <w:right w:val="none" w:sz="0" w:space="0" w:color="auto"/>
      </w:divBdr>
    </w:div>
    <w:div w:id="1525358815">
      <w:bodyDiv w:val="1"/>
      <w:marLeft w:val="0"/>
      <w:marRight w:val="0"/>
      <w:marTop w:val="0"/>
      <w:marBottom w:val="0"/>
      <w:divBdr>
        <w:top w:val="none" w:sz="0" w:space="0" w:color="auto"/>
        <w:left w:val="none" w:sz="0" w:space="0" w:color="auto"/>
        <w:bottom w:val="none" w:sz="0" w:space="0" w:color="auto"/>
        <w:right w:val="none" w:sz="0" w:space="0" w:color="auto"/>
      </w:divBdr>
    </w:div>
    <w:div w:id="1529560765">
      <w:bodyDiv w:val="1"/>
      <w:marLeft w:val="0"/>
      <w:marRight w:val="0"/>
      <w:marTop w:val="0"/>
      <w:marBottom w:val="0"/>
      <w:divBdr>
        <w:top w:val="none" w:sz="0" w:space="0" w:color="auto"/>
        <w:left w:val="none" w:sz="0" w:space="0" w:color="auto"/>
        <w:bottom w:val="none" w:sz="0" w:space="0" w:color="auto"/>
        <w:right w:val="none" w:sz="0" w:space="0" w:color="auto"/>
      </w:divBdr>
    </w:div>
    <w:div w:id="1536309197">
      <w:bodyDiv w:val="1"/>
      <w:marLeft w:val="0"/>
      <w:marRight w:val="0"/>
      <w:marTop w:val="0"/>
      <w:marBottom w:val="0"/>
      <w:divBdr>
        <w:top w:val="none" w:sz="0" w:space="0" w:color="auto"/>
        <w:left w:val="none" w:sz="0" w:space="0" w:color="auto"/>
        <w:bottom w:val="none" w:sz="0" w:space="0" w:color="auto"/>
        <w:right w:val="none" w:sz="0" w:space="0" w:color="auto"/>
      </w:divBdr>
    </w:div>
    <w:div w:id="1537692335">
      <w:bodyDiv w:val="1"/>
      <w:marLeft w:val="0"/>
      <w:marRight w:val="0"/>
      <w:marTop w:val="0"/>
      <w:marBottom w:val="0"/>
      <w:divBdr>
        <w:top w:val="none" w:sz="0" w:space="0" w:color="auto"/>
        <w:left w:val="none" w:sz="0" w:space="0" w:color="auto"/>
        <w:bottom w:val="none" w:sz="0" w:space="0" w:color="auto"/>
        <w:right w:val="none" w:sz="0" w:space="0" w:color="auto"/>
      </w:divBdr>
    </w:div>
    <w:div w:id="1547792164">
      <w:bodyDiv w:val="1"/>
      <w:marLeft w:val="0"/>
      <w:marRight w:val="0"/>
      <w:marTop w:val="0"/>
      <w:marBottom w:val="0"/>
      <w:divBdr>
        <w:top w:val="none" w:sz="0" w:space="0" w:color="auto"/>
        <w:left w:val="none" w:sz="0" w:space="0" w:color="auto"/>
        <w:bottom w:val="none" w:sz="0" w:space="0" w:color="auto"/>
        <w:right w:val="none" w:sz="0" w:space="0" w:color="auto"/>
      </w:divBdr>
    </w:div>
    <w:div w:id="1556893917">
      <w:bodyDiv w:val="1"/>
      <w:marLeft w:val="0"/>
      <w:marRight w:val="0"/>
      <w:marTop w:val="0"/>
      <w:marBottom w:val="0"/>
      <w:divBdr>
        <w:top w:val="none" w:sz="0" w:space="0" w:color="auto"/>
        <w:left w:val="none" w:sz="0" w:space="0" w:color="auto"/>
        <w:bottom w:val="none" w:sz="0" w:space="0" w:color="auto"/>
        <w:right w:val="none" w:sz="0" w:space="0" w:color="auto"/>
      </w:divBdr>
    </w:div>
    <w:div w:id="1557663610">
      <w:bodyDiv w:val="1"/>
      <w:marLeft w:val="0"/>
      <w:marRight w:val="0"/>
      <w:marTop w:val="0"/>
      <w:marBottom w:val="0"/>
      <w:divBdr>
        <w:top w:val="none" w:sz="0" w:space="0" w:color="auto"/>
        <w:left w:val="none" w:sz="0" w:space="0" w:color="auto"/>
        <w:bottom w:val="none" w:sz="0" w:space="0" w:color="auto"/>
        <w:right w:val="none" w:sz="0" w:space="0" w:color="auto"/>
      </w:divBdr>
      <w:divsChild>
        <w:div w:id="1754693323">
          <w:marLeft w:val="0"/>
          <w:marRight w:val="0"/>
          <w:marTop w:val="0"/>
          <w:marBottom w:val="0"/>
          <w:divBdr>
            <w:top w:val="none" w:sz="0" w:space="0" w:color="auto"/>
            <w:left w:val="none" w:sz="0" w:space="0" w:color="auto"/>
            <w:bottom w:val="none" w:sz="0" w:space="0" w:color="auto"/>
            <w:right w:val="none" w:sz="0" w:space="0" w:color="auto"/>
          </w:divBdr>
          <w:divsChild>
            <w:div w:id="201987393">
              <w:marLeft w:val="0"/>
              <w:marRight w:val="0"/>
              <w:marTop w:val="0"/>
              <w:marBottom w:val="0"/>
              <w:divBdr>
                <w:top w:val="none" w:sz="0" w:space="0" w:color="auto"/>
                <w:left w:val="none" w:sz="0" w:space="0" w:color="auto"/>
                <w:bottom w:val="none" w:sz="0" w:space="0" w:color="auto"/>
                <w:right w:val="none" w:sz="0" w:space="0" w:color="auto"/>
              </w:divBdr>
              <w:divsChild>
                <w:div w:id="19869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245819">
      <w:bodyDiv w:val="1"/>
      <w:marLeft w:val="0"/>
      <w:marRight w:val="0"/>
      <w:marTop w:val="0"/>
      <w:marBottom w:val="0"/>
      <w:divBdr>
        <w:top w:val="none" w:sz="0" w:space="0" w:color="auto"/>
        <w:left w:val="none" w:sz="0" w:space="0" w:color="auto"/>
        <w:bottom w:val="none" w:sz="0" w:space="0" w:color="auto"/>
        <w:right w:val="none" w:sz="0" w:space="0" w:color="auto"/>
      </w:divBdr>
      <w:divsChild>
        <w:div w:id="1451820505">
          <w:marLeft w:val="0"/>
          <w:marRight w:val="0"/>
          <w:marTop w:val="0"/>
          <w:marBottom w:val="0"/>
          <w:divBdr>
            <w:top w:val="none" w:sz="0" w:space="0" w:color="auto"/>
            <w:left w:val="none" w:sz="0" w:space="0" w:color="auto"/>
            <w:bottom w:val="none" w:sz="0" w:space="0" w:color="auto"/>
            <w:right w:val="none" w:sz="0" w:space="0" w:color="auto"/>
          </w:divBdr>
          <w:divsChild>
            <w:div w:id="701635571">
              <w:marLeft w:val="0"/>
              <w:marRight w:val="0"/>
              <w:marTop w:val="0"/>
              <w:marBottom w:val="0"/>
              <w:divBdr>
                <w:top w:val="none" w:sz="0" w:space="0" w:color="auto"/>
                <w:left w:val="none" w:sz="0" w:space="0" w:color="auto"/>
                <w:bottom w:val="none" w:sz="0" w:space="0" w:color="auto"/>
                <w:right w:val="none" w:sz="0" w:space="0" w:color="auto"/>
              </w:divBdr>
              <w:divsChild>
                <w:div w:id="6010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950868">
      <w:bodyDiv w:val="1"/>
      <w:marLeft w:val="0"/>
      <w:marRight w:val="0"/>
      <w:marTop w:val="0"/>
      <w:marBottom w:val="0"/>
      <w:divBdr>
        <w:top w:val="none" w:sz="0" w:space="0" w:color="auto"/>
        <w:left w:val="none" w:sz="0" w:space="0" w:color="auto"/>
        <w:bottom w:val="none" w:sz="0" w:space="0" w:color="auto"/>
        <w:right w:val="none" w:sz="0" w:space="0" w:color="auto"/>
      </w:divBdr>
      <w:divsChild>
        <w:div w:id="757557558">
          <w:marLeft w:val="0"/>
          <w:marRight w:val="0"/>
          <w:marTop w:val="0"/>
          <w:marBottom w:val="0"/>
          <w:divBdr>
            <w:top w:val="none" w:sz="0" w:space="0" w:color="auto"/>
            <w:left w:val="none" w:sz="0" w:space="0" w:color="auto"/>
            <w:bottom w:val="none" w:sz="0" w:space="0" w:color="auto"/>
            <w:right w:val="none" w:sz="0" w:space="0" w:color="auto"/>
          </w:divBdr>
        </w:div>
        <w:div w:id="1050687536">
          <w:marLeft w:val="0"/>
          <w:marRight w:val="0"/>
          <w:marTop w:val="0"/>
          <w:marBottom w:val="0"/>
          <w:divBdr>
            <w:top w:val="none" w:sz="0" w:space="0" w:color="auto"/>
            <w:left w:val="none" w:sz="0" w:space="0" w:color="auto"/>
            <w:bottom w:val="none" w:sz="0" w:space="0" w:color="auto"/>
            <w:right w:val="none" w:sz="0" w:space="0" w:color="auto"/>
          </w:divBdr>
        </w:div>
      </w:divsChild>
    </w:div>
    <w:div w:id="1592396319">
      <w:bodyDiv w:val="1"/>
      <w:marLeft w:val="0"/>
      <w:marRight w:val="0"/>
      <w:marTop w:val="0"/>
      <w:marBottom w:val="0"/>
      <w:divBdr>
        <w:top w:val="none" w:sz="0" w:space="0" w:color="auto"/>
        <w:left w:val="none" w:sz="0" w:space="0" w:color="auto"/>
        <w:bottom w:val="none" w:sz="0" w:space="0" w:color="auto"/>
        <w:right w:val="none" w:sz="0" w:space="0" w:color="auto"/>
      </w:divBdr>
      <w:divsChild>
        <w:div w:id="194511821">
          <w:marLeft w:val="0"/>
          <w:marRight w:val="0"/>
          <w:marTop w:val="0"/>
          <w:marBottom w:val="0"/>
          <w:divBdr>
            <w:top w:val="none" w:sz="0" w:space="0" w:color="auto"/>
            <w:left w:val="none" w:sz="0" w:space="0" w:color="auto"/>
            <w:bottom w:val="none" w:sz="0" w:space="0" w:color="auto"/>
            <w:right w:val="none" w:sz="0" w:space="0" w:color="auto"/>
          </w:divBdr>
          <w:divsChild>
            <w:div w:id="1885822165">
              <w:marLeft w:val="0"/>
              <w:marRight w:val="0"/>
              <w:marTop w:val="0"/>
              <w:marBottom w:val="0"/>
              <w:divBdr>
                <w:top w:val="none" w:sz="0" w:space="0" w:color="auto"/>
                <w:left w:val="none" w:sz="0" w:space="0" w:color="auto"/>
                <w:bottom w:val="none" w:sz="0" w:space="0" w:color="auto"/>
                <w:right w:val="none" w:sz="0" w:space="0" w:color="auto"/>
              </w:divBdr>
              <w:divsChild>
                <w:div w:id="863402032">
                  <w:marLeft w:val="0"/>
                  <w:marRight w:val="0"/>
                  <w:marTop w:val="0"/>
                  <w:marBottom w:val="0"/>
                  <w:divBdr>
                    <w:top w:val="none" w:sz="0" w:space="0" w:color="auto"/>
                    <w:left w:val="none" w:sz="0" w:space="0" w:color="auto"/>
                    <w:bottom w:val="none" w:sz="0" w:space="0" w:color="auto"/>
                    <w:right w:val="none" w:sz="0" w:space="0" w:color="auto"/>
                  </w:divBdr>
                  <w:divsChild>
                    <w:div w:id="13333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439424">
      <w:bodyDiv w:val="1"/>
      <w:marLeft w:val="0"/>
      <w:marRight w:val="0"/>
      <w:marTop w:val="0"/>
      <w:marBottom w:val="0"/>
      <w:divBdr>
        <w:top w:val="none" w:sz="0" w:space="0" w:color="auto"/>
        <w:left w:val="none" w:sz="0" w:space="0" w:color="auto"/>
        <w:bottom w:val="none" w:sz="0" w:space="0" w:color="auto"/>
        <w:right w:val="none" w:sz="0" w:space="0" w:color="auto"/>
      </w:divBdr>
      <w:divsChild>
        <w:div w:id="1748529920">
          <w:marLeft w:val="0"/>
          <w:marRight w:val="0"/>
          <w:marTop w:val="0"/>
          <w:marBottom w:val="0"/>
          <w:divBdr>
            <w:top w:val="none" w:sz="0" w:space="0" w:color="auto"/>
            <w:left w:val="none" w:sz="0" w:space="0" w:color="auto"/>
            <w:bottom w:val="none" w:sz="0" w:space="0" w:color="auto"/>
            <w:right w:val="none" w:sz="0" w:space="0" w:color="auto"/>
          </w:divBdr>
        </w:div>
      </w:divsChild>
    </w:div>
    <w:div w:id="1621956646">
      <w:bodyDiv w:val="1"/>
      <w:marLeft w:val="0"/>
      <w:marRight w:val="0"/>
      <w:marTop w:val="0"/>
      <w:marBottom w:val="0"/>
      <w:divBdr>
        <w:top w:val="none" w:sz="0" w:space="0" w:color="auto"/>
        <w:left w:val="none" w:sz="0" w:space="0" w:color="auto"/>
        <w:bottom w:val="none" w:sz="0" w:space="0" w:color="auto"/>
        <w:right w:val="none" w:sz="0" w:space="0" w:color="auto"/>
      </w:divBdr>
    </w:div>
    <w:div w:id="1623538288">
      <w:bodyDiv w:val="1"/>
      <w:marLeft w:val="0"/>
      <w:marRight w:val="0"/>
      <w:marTop w:val="0"/>
      <w:marBottom w:val="0"/>
      <w:divBdr>
        <w:top w:val="none" w:sz="0" w:space="0" w:color="auto"/>
        <w:left w:val="none" w:sz="0" w:space="0" w:color="auto"/>
        <w:bottom w:val="none" w:sz="0" w:space="0" w:color="auto"/>
        <w:right w:val="none" w:sz="0" w:space="0" w:color="auto"/>
      </w:divBdr>
    </w:div>
    <w:div w:id="1624077800">
      <w:bodyDiv w:val="1"/>
      <w:marLeft w:val="0"/>
      <w:marRight w:val="0"/>
      <w:marTop w:val="0"/>
      <w:marBottom w:val="0"/>
      <w:divBdr>
        <w:top w:val="none" w:sz="0" w:space="0" w:color="auto"/>
        <w:left w:val="none" w:sz="0" w:space="0" w:color="auto"/>
        <w:bottom w:val="none" w:sz="0" w:space="0" w:color="auto"/>
        <w:right w:val="none" w:sz="0" w:space="0" w:color="auto"/>
      </w:divBdr>
    </w:div>
    <w:div w:id="1639065313">
      <w:bodyDiv w:val="1"/>
      <w:marLeft w:val="0"/>
      <w:marRight w:val="0"/>
      <w:marTop w:val="0"/>
      <w:marBottom w:val="0"/>
      <w:divBdr>
        <w:top w:val="none" w:sz="0" w:space="0" w:color="auto"/>
        <w:left w:val="none" w:sz="0" w:space="0" w:color="auto"/>
        <w:bottom w:val="none" w:sz="0" w:space="0" w:color="auto"/>
        <w:right w:val="none" w:sz="0" w:space="0" w:color="auto"/>
      </w:divBdr>
    </w:div>
    <w:div w:id="1642227376">
      <w:bodyDiv w:val="1"/>
      <w:marLeft w:val="0"/>
      <w:marRight w:val="0"/>
      <w:marTop w:val="0"/>
      <w:marBottom w:val="0"/>
      <w:divBdr>
        <w:top w:val="none" w:sz="0" w:space="0" w:color="auto"/>
        <w:left w:val="none" w:sz="0" w:space="0" w:color="auto"/>
        <w:bottom w:val="none" w:sz="0" w:space="0" w:color="auto"/>
        <w:right w:val="none" w:sz="0" w:space="0" w:color="auto"/>
      </w:divBdr>
    </w:div>
    <w:div w:id="1669097880">
      <w:bodyDiv w:val="1"/>
      <w:marLeft w:val="0"/>
      <w:marRight w:val="0"/>
      <w:marTop w:val="0"/>
      <w:marBottom w:val="0"/>
      <w:divBdr>
        <w:top w:val="none" w:sz="0" w:space="0" w:color="auto"/>
        <w:left w:val="none" w:sz="0" w:space="0" w:color="auto"/>
        <w:bottom w:val="none" w:sz="0" w:space="0" w:color="auto"/>
        <w:right w:val="none" w:sz="0" w:space="0" w:color="auto"/>
      </w:divBdr>
    </w:div>
    <w:div w:id="1698386255">
      <w:bodyDiv w:val="1"/>
      <w:marLeft w:val="0"/>
      <w:marRight w:val="0"/>
      <w:marTop w:val="0"/>
      <w:marBottom w:val="0"/>
      <w:divBdr>
        <w:top w:val="none" w:sz="0" w:space="0" w:color="auto"/>
        <w:left w:val="none" w:sz="0" w:space="0" w:color="auto"/>
        <w:bottom w:val="none" w:sz="0" w:space="0" w:color="auto"/>
        <w:right w:val="none" w:sz="0" w:space="0" w:color="auto"/>
      </w:divBdr>
      <w:divsChild>
        <w:div w:id="117992752">
          <w:marLeft w:val="0"/>
          <w:marRight w:val="0"/>
          <w:marTop w:val="0"/>
          <w:marBottom w:val="0"/>
          <w:divBdr>
            <w:top w:val="none" w:sz="0" w:space="0" w:color="auto"/>
            <w:left w:val="none" w:sz="0" w:space="0" w:color="auto"/>
            <w:bottom w:val="none" w:sz="0" w:space="0" w:color="auto"/>
            <w:right w:val="none" w:sz="0" w:space="0" w:color="auto"/>
          </w:divBdr>
          <w:divsChild>
            <w:div w:id="468010226">
              <w:marLeft w:val="0"/>
              <w:marRight w:val="0"/>
              <w:marTop w:val="0"/>
              <w:marBottom w:val="0"/>
              <w:divBdr>
                <w:top w:val="none" w:sz="0" w:space="0" w:color="auto"/>
                <w:left w:val="none" w:sz="0" w:space="0" w:color="auto"/>
                <w:bottom w:val="none" w:sz="0" w:space="0" w:color="auto"/>
                <w:right w:val="none" w:sz="0" w:space="0" w:color="auto"/>
              </w:divBdr>
              <w:divsChild>
                <w:div w:id="666832224">
                  <w:marLeft w:val="0"/>
                  <w:marRight w:val="0"/>
                  <w:marTop w:val="0"/>
                  <w:marBottom w:val="0"/>
                  <w:divBdr>
                    <w:top w:val="none" w:sz="0" w:space="0" w:color="auto"/>
                    <w:left w:val="none" w:sz="0" w:space="0" w:color="auto"/>
                    <w:bottom w:val="none" w:sz="0" w:space="0" w:color="auto"/>
                    <w:right w:val="none" w:sz="0" w:space="0" w:color="auto"/>
                  </w:divBdr>
                  <w:divsChild>
                    <w:div w:id="44161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785934">
      <w:bodyDiv w:val="1"/>
      <w:marLeft w:val="0"/>
      <w:marRight w:val="0"/>
      <w:marTop w:val="0"/>
      <w:marBottom w:val="0"/>
      <w:divBdr>
        <w:top w:val="none" w:sz="0" w:space="0" w:color="auto"/>
        <w:left w:val="none" w:sz="0" w:space="0" w:color="auto"/>
        <w:bottom w:val="none" w:sz="0" w:space="0" w:color="auto"/>
        <w:right w:val="none" w:sz="0" w:space="0" w:color="auto"/>
      </w:divBdr>
      <w:divsChild>
        <w:div w:id="1239291978">
          <w:marLeft w:val="0"/>
          <w:marRight w:val="0"/>
          <w:marTop w:val="0"/>
          <w:marBottom w:val="0"/>
          <w:divBdr>
            <w:top w:val="none" w:sz="0" w:space="0" w:color="auto"/>
            <w:left w:val="none" w:sz="0" w:space="0" w:color="auto"/>
            <w:bottom w:val="none" w:sz="0" w:space="0" w:color="auto"/>
            <w:right w:val="none" w:sz="0" w:space="0" w:color="auto"/>
          </w:divBdr>
          <w:divsChild>
            <w:div w:id="897279619">
              <w:marLeft w:val="0"/>
              <w:marRight w:val="0"/>
              <w:marTop w:val="0"/>
              <w:marBottom w:val="0"/>
              <w:divBdr>
                <w:top w:val="none" w:sz="0" w:space="0" w:color="auto"/>
                <w:left w:val="none" w:sz="0" w:space="0" w:color="auto"/>
                <w:bottom w:val="none" w:sz="0" w:space="0" w:color="auto"/>
                <w:right w:val="none" w:sz="0" w:space="0" w:color="auto"/>
              </w:divBdr>
              <w:divsChild>
                <w:div w:id="59638916">
                  <w:marLeft w:val="0"/>
                  <w:marRight w:val="0"/>
                  <w:marTop w:val="0"/>
                  <w:marBottom w:val="0"/>
                  <w:divBdr>
                    <w:top w:val="none" w:sz="0" w:space="0" w:color="auto"/>
                    <w:left w:val="none" w:sz="0" w:space="0" w:color="auto"/>
                    <w:bottom w:val="none" w:sz="0" w:space="0" w:color="auto"/>
                    <w:right w:val="none" w:sz="0" w:space="0" w:color="auto"/>
                  </w:divBdr>
                  <w:divsChild>
                    <w:div w:id="65518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250778">
      <w:bodyDiv w:val="1"/>
      <w:marLeft w:val="0"/>
      <w:marRight w:val="0"/>
      <w:marTop w:val="0"/>
      <w:marBottom w:val="0"/>
      <w:divBdr>
        <w:top w:val="none" w:sz="0" w:space="0" w:color="auto"/>
        <w:left w:val="none" w:sz="0" w:space="0" w:color="auto"/>
        <w:bottom w:val="none" w:sz="0" w:space="0" w:color="auto"/>
        <w:right w:val="none" w:sz="0" w:space="0" w:color="auto"/>
      </w:divBdr>
    </w:div>
    <w:div w:id="1732994188">
      <w:bodyDiv w:val="1"/>
      <w:marLeft w:val="0"/>
      <w:marRight w:val="0"/>
      <w:marTop w:val="0"/>
      <w:marBottom w:val="0"/>
      <w:divBdr>
        <w:top w:val="none" w:sz="0" w:space="0" w:color="auto"/>
        <w:left w:val="none" w:sz="0" w:space="0" w:color="auto"/>
        <w:bottom w:val="none" w:sz="0" w:space="0" w:color="auto"/>
        <w:right w:val="none" w:sz="0" w:space="0" w:color="auto"/>
      </w:divBdr>
    </w:div>
    <w:div w:id="1750225241">
      <w:bodyDiv w:val="1"/>
      <w:marLeft w:val="0"/>
      <w:marRight w:val="0"/>
      <w:marTop w:val="0"/>
      <w:marBottom w:val="0"/>
      <w:divBdr>
        <w:top w:val="none" w:sz="0" w:space="0" w:color="auto"/>
        <w:left w:val="none" w:sz="0" w:space="0" w:color="auto"/>
        <w:bottom w:val="none" w:sz="0" w:space="0" w:color="auto"/>
        <w:right w:val="none" w:sz="0" w:space="0" w:color="auto"/>
      </w:divBdr>
      <w:divsChild>
        <w:div w:id="1276903580">
          <w:marLeft w:val="0"/>
          <w:marRight w:val="0"/>
          <w:marTop w:val="0"/>
          <w:marBottom w:val="0"/>
          <w:divBdr>
            <w:top w:val="none" w:sz="0" w:space="0" w:color="auto"/>
            <w:left w:val="none" w:sz="0" w:space="0" w:color="auto"/>
            <w:bottom w:val="none" w:sz="0" w:space="0" w:color="auto"/>
            <w:right w:val="none" w:sz="0" w:space="0" w:color="auto"/>
          </w:divBdr>
          <w:divsChild>
            <w:div w:id="1057044522">
              <w:marLeft w:val="0"/>
              <w:marRight w:val="0"/>
              <w:marTop w:val="0"/>
              <w:marBottom w:val="0"/>
              <w:divBdr>
                <w:top w:val="none" w:sz="0" w:space="0" w:color="auto"/>
                <w:left w:val="none" w:sz="0" w:space="0" w:color="auto"/>
                <w:bottom w:val="none" w:sz="0" w:space="0" w:color="auto"/>
                <w:right w:val="none" w:sz="0" w:space="0" w:color="auto"/>
              </w:divBdr>
              <w:divsChild>
                <w:div w:id="142418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346413">
      <w:bodyDiv w:val="1"/>
      <w:marLeft w:val="0"/>
      <w:marRight w:val="0"/>
      <w:marTop w:val="0"/>
      <w:marBottom w:val="0"/>
      <w:divBdr>
        <w:top w:val="none" w:sz="0" w:space="0" w:color="auto"/>
        <w:left w:val="none" w:sz="0" w:space="0" w:color="auto"/>
        <w:bottom w:val="none" w:sz="0" w:space="0" w:color="auto"/>
        <w:right w:val="none" w:sz="0" w:space="0" w:color="auto"/>
      </w:divBdr>
    </w:div>
    <w:div w:id="1779253945">
      <w:bodyDiv w:val="1"/>
      <w:marLeft w:val="0"/>
      <w:marRight w:val="0"/>
      <w:marTop w:val="0"/>
      <w:marBottom w:val="0"/>
      <w:divBdr>
        <w:top w:val="none" w:sz="0" w:space="0" w:color="auto"/>
        <w:left w:val="none" w:sz="0" w:space="0" w:color="auto"/>
        <w:bottom w:val="none" w:sz="0" w:space="0" w:color="auto"/>
        <w:right w:val="none" w:sz="0" w:space="0" w:color="auto"/>
      </w:divBdr>
    </w:div>
    <w:div w:id="1786727467">
      <w:bodyDiv w:val="1"/>
      <w:marLeft w:val="0"/>
      <w:marRight w:val="0"/>
      <w:marTop w:val="0"/>
      <w:marBottom w:val="0"/>
      <w:divBdr>
        <w:top w:val="none" w:sz="0" w:space="0" w:color="auto"/>
        <w:left w:val="none" w:sz="0" w:space="0" w:color="auto"/>
        <w:bottom w:val="none" w:sz="0" w:space="0" w:color="auto"/>
        <w:right w:val="none" w:sz="0" w:space="0" w:color="auto"/>
      </w:divBdr>
    </w:div>
    <w:div w:id="1790856149">
      <w:bodyDiv w:val="1"/>
      <w:marLeft w:val="0"/>
      <w:marRight w:val="0"/>
      <w:marTop w:val="0"/>
      <w:marBottom w:val="0"/>
      <w:divBdr>
        <w:top w:val="none" w:sz="0" w:space="0" w:color="auto"/>
        <w:left w:val="none" w:sz="0" w:space="0" w:color="auto"/>
        <w:bottom w:val="none" w:sz="0" w:space="0" w:color="auto"/>
        <w:right w:val="none" w:sz="0" w:space="0" w:color="auto"/>
      </w:divBdr>
    </w:div>
    <w:div w:id="1802377757">
      <w:bodyDiv w:val="1"/>
      <w:marLeft w:val="0"/>
      <w:marRight w:val="0"/>
      <w:marTop w:val="0"/>
      <w:marBottom w:val="0"/>
      <w:divBdr>
        <w:top w:val="none" w:sz="0" w:space="0" w:color="auto"/>
        <w:left w:val="none" w:sz="0" w:space="0" w:color="auto"/>
        <w:bottom w:val="none" w:sz="0" w:space="0" w:color="auto"/>
        <w:right w:val="none" w:sz="0" w:space="0" w:color="auto"/>
      </w:divBdr>
    </w:div>
    <w:div w:id="1805266531">
      <w:bodyDiv w:val="1"/>
      <w:marLeft w:val="0"/>
      <w:marRight w:val="0"/>
      <w:marTop w:val="0"/>
      <w:marBottom w:val="0"/>
      <w:divBdr>
        <w:top w:val="none" w:sz="0" w:space="0" w:color="auto"/>
        <w:left w:val="none" w:sz="0" w:space="0" w:color="auto"/>
        <w:bottom w:val="none" w:sz="0" w:space="0" w:color="auto"/>
        <w:right w:val="none" w:sz="0" w:space="0" w:color="auto"/>
      </w:divBdr>
    </w:div>
    <w:div w:id="1807157859">
      <w:bodyDiv w:val="1"/>
      <w:marLeft w:val="0"/>
      <w:marRight w:val="0"/>
      <w:marTop w:val="0"/>
      <w:marBottom w:val="0"/>
      <w:divBdr>
        <w:top w:val="none" w:sz="0" w:space="0" w:color="auto"/>
        <w:left w:val="none" w:sz="0" w:space="0" w:color="auto"/>
        <w:bottom w:val="none" w:sz="0" w:space="0" w:color="auto"/>
        <w:right w:val="none" w:sz="0" w:space="0" w:color="auto"/>
      </w:divBdr>
    </w:div>
    <w:div w:id="1807577165">
      <w:bodyDiv w:val="1"/>
      <w:marLeft w:val="0"/>
      <w:marRight w:val="0"/>
      <w:marTop w:val="0"/>
      <w:marBottom w:val="0"/>
      <w:divBdr>
        <w:top w:val="none" w:sz="0" w:space="0" w:color="auto"/>
        <w:left w:val="none" w:sz="0" w:space="0" w:color="auto"/>
        <w:bottom w:val="none" w:sz="0" w:space="0" w:color="auto"/>
        <w:right w:val="none" w:sz="0" w:space="0" w:color="auto"/>
      </w:divBdr>
      <w:divsChild>
        <w:div w:id="226959555">
          <w:marLeft w:val="0"/>
          <w:marRight w:val="0"/>
          <w:marTop w:val="0"/>
          <w:marBottom w:val="0"/>
          <w:divBdr>
            <w:top w:val="none" w:sz="0" w:space="0" w:color="auto"/>
            <w:left w:val="none" w:sz="0" w:space="0" w:color="auto"/>
            <w:bottom w:val="none" w:sz="0" w:space="0" w:color="auto"/>
            <w:right w:val="none" w:sz="0" w:space="0" w:color="auto"/>
          </w:divBdr>
        </w:div>
      </w:divsChild>
    </w:div>
    <w:div w:id="1823035410">
      <w:bodyDiv w:val="1"/>
      <w:marLeft w:val="0"/>
      <w:marRight w:val="0"/>
      <w:marTop w:val="0"/>
      <w:marBottom w:val="0"/>
      <w:divBdr>
        <w:top w:val="none" w:sz="0" w:space="0" w:color="auto"/>
        <w:left w:val="none" w:sz="0" w:space="0" w:color="auto"/>
        <w:bottom w:val="none" w:sz="0" w:space="0" w:color="auto"/>
        <w:right w:val="none" w:sz="0" w:space="0" w:color="auto"/>
      </w:divBdr>
    </w:div>
    <w:div w:id="1823085386">
      <w:bodyDiv w:val="1"/>
      <w:marLeft w:val="0"/>
      <w:marRight w:val="0"/>
      <w:marTop w:val="0"/>
      <w:marBottom w:val="0"/>
      <w:divBdr>
        <w:top w:val="none" w:sz="0" w:space="0" w:color="auto"/>
        <w:left w:val="none" w:sz="0" w:space="0" w:color="auto"/>
        <w:bottom w:val="none" w:sz="0" w:space="0" w:color="auto"/>
        <w:right w:val="none" w:sz="0" w:space="0" w:color="auto"/>
      </w:divBdr>
    </w:div>
    <w:div w:id="1823544534">
      <w:bodyDiv w:val="1"/>
      <w:marLeft w:val="0"/>
      <w:marRight w:val="0"/>
      <w:marTop w:val="0"/>
      <w:marBottom w:val="0"/>
      <w:divBdr>
        <w:top w:val="none" w:sz="0" w:space="0" w:color="auto"/>
        <w:left w:val="none" w:sz="0" w:space="0" w:color="auto"/>
        <w:bottom w:val="none" w:sz="0" w:space="0" w:color="auto"/>
        <w:right w:val="none" w:sz="0" w:space="0" w:color="auto"/>
      </w:divBdr>
    </w:div>
    <w:div w:id="1824227141">
      <w:bodyDiv w:val="1"/>
      <w:marLeft w:val="0"/>
      <w:marRight w:val="0"/>
      <w:marTop w:val="0"/>
      <w:marBottom w:val="0"/>
      <w:divBdr>
        <w:top w:val="none" w:sz="0" w:space="0" w:color="auto"/>
        <w:left w:val="none" w:sz="0" w:space="0" w:color="auto"/>
        <w:bottom w:val="none" w:sz="0" w:space="0" w:color="auto"/>
        <w:right w:val="none" w:sz="0" w:space="0" w:color="auto"/>
      </w:divBdr>
    </w:div>
    <w:div w:id="1836147180">
      <w:bodyDiv w:val="1"/>
      <w:marLeft w:val="0"/>
      <w:marRight w:val="0"/>
      <w:marTop w:val="0"/>
      <w:marBottom w:val="0"/>
      <w:divBdr>
        <w:top w:val="none" w:sz="0" w:space="0" w:color="auto"/>
        <w:left w:val="none" w:sz="0" w:space="0" w:color="auto"/>
        <w:bottom w:val="none" w:sz="0" w:space="0" w:color="auto"/>
        <w:right w:val="none" w:sz="0" w:space="0" w:color="auto"/>
      </w:divBdr>
    </w:div>
    <w:div w:id="1856309867">
      <w:bodyDiv w:val="1"/>
      <w:marLeft w:val="0"/>
      <w:marRight w:val="0"/>
      <w:marTop w:val="0"/>
      <w:marBottom w:val="0"/>
      <w:divBdr>
        <w:top w:val="none" w:sz="0" w:space="0" w:color="auto"/>
        <w:left w:val="none" w:sz="0" w:space="0" w:color="auto"/>
        <w:bottom w:val="none" w:sz="0" w:space="0" w:color="auto"/>
        <w:right w:val="none" w:sz="0" w:space="0" w:color="auto"/>
      </w:divBdr>
    </w:div>
    <w:div w:id="1870143767">
      <w:bodyDiv w:val="1"/>
      <w:marLeft w:val="0"/>
      <w:marRight w:val="0"/>
      <w:marTop w:val="0"/>
      <w:marBottom w:val="0"/>
      <w:divBdr>
        <w:top w:val="none" w:sz="0" w:space="0" w:color="auto"/>
        <w:left w:val="none" w:sz="0" w:space="0" w:color="auto"/>
        <w:bottom w:val="none" w:sz="0" w:space="0" w:color="auto"/>
        <w:right w:val="none" w:sz="0" w:space="0" w:color="auto"/>
      </w:divBdr>
    </w:div>
    <w:div w:id="1888684189">
      <w:bodyDiv w:val="1"/>
      <w:marLeft w:val="0"/>
      <w:marRight w:val="0"/>
      <w:marTop w:val="0"/>
      <w:marBottom w:val="0"/>
      <w:divBdr>
        <w:top w:val="none" w:sz="0" w:space="0" w:color="auto"/>
        <w:left w:val="none" w:sz="0" w:space="0" w:color="auto"/>
        <w:bottom w:val="none" w:sz="0" w:space="0" w:color="auto"/>
        <w:right w:val="none" w:sz="0" w:space="0" w:color="auto"/>
      </w:divBdr>
    </w:div>
    <w:div w:id="1891070373">
      <w:bodyDiv w:val="1"/>
      <w:marLeft w:val="0"/>
      <w:marRight w:val="0"/>
      <w:marTop w:val="0"/>
      <w:marBottom w:val="0"/>
      <w:divBdr>
        <w:top w:val="none" w:sz="0" w:space="0" w:color="auto"/>
        <w:left w:val="none" w:sz="0" w:space="0" w:color="auto"/>
        <w:bottom w:val="none" w:sz="0" w:space="0" w:color="auto"/>
        <w:right w:val="none" w:sz="0" w:space="0" w:color="auto"/>
      </w:divBdr>
    </w:div>
    <w:div w:id="1901090167">
      <w:bodyDiv w:val="1"/>
      <w:marLeft w:val="0"/>
      <w:marRight w:val="0"/>
      <w:marTop w:val="0"/>
      <w:marBottom w:val="0"/>
      <w:divBdr>
        <w:top w:val="none" w:sz="0" w:space="0" w:color="auto"/>
        <w:left w:val="none" w:sz="0" w:space="0" w:color="auto"/>
        <w:bottom w:val="none" w:sz="0" w:space="0" w:color="auto"/>
        <w:right w:val="none" w:sz="0" w:space="0" w:color="auto"/>
      </w:divBdr>
    </w:div>
    <w:div w:id="1905794532">
      <w:bodyDiv w:val="1"/>
      <w:marLeft w:val="0"/>
      <w:marRight w:val="0"/>
      <w:marTop w:val="0"/>
      <w:marBottom w:val="0"/>
      <w:divBdr>
        <w:top w:val="none" w:sz="0" w:space="0" w:color="auto"/>
        <w:left w:val="none" w:sz="0" w:space="0" w:color="auto"/>
        <w:bottom w:val="none" w:sz="0" w:space="0" w:color="auto"/>
        <w:right w:val="none" w:sz="0" w:space="0" w:color="auto"/>
      </w:divBdr>
    </w:div>
    <w:div w:id="1913807449">
      <w:bodyDiv w:val="1"/>
      <w:marLeft w:val="0"/>
      <w:marRight w:val="0"/>
      <w:marTop w:val="0"/>
      <w:marBottom w:val="0"/>
      <w:divBdr>
        <w:top w:val="none" w:sz="0" w:space="0" w:color="auto"/>
        <w:left w:val="none" w:sz="0" w:space="0" w:color="auto"/>
        <w:bottom w:val="none" w:sz="0" w:space="0" w:color="auto"/>
        <w:right w:val="none" w:sz="0" w:space="0" w:color="auto"/>
      </w:divBdr>
    </w:div>
    <w:div w:id="1917322654">
      <w:bodyDiv w:val="1"/>
      <w:marLeft w:val="0"/>
      <w:marRight w:val="0"/>
      <w:marTop w:val="0"/>
      <w:marBottom w:val="0"/>
      <w:divBdr>
        <w:top w:val="none" w:sz="0" w:space="0" w:color="auto"/>
        <w:left w:val="none" w:sz="0" w:space="0" w:color="auto"/>
        <w:bottom w:val="none" w:sz="0" w:space="0" w:color="auto"/>
        <w:right w:val="none" w:sz="0" w:space="0" w:color="auto"/>
      </w:divBdr>
      <w:divsChild>
        <w:div w:id="60712725">
          <w:marLeft w:val="0"/>
          <w:marRight w:val="0"/>
          <w:marTop w:val="0"/>
          <w:marBottom w:val="0"/>
          <w:divBdr>
            <w:top w:val="none" w:sz="0" w:space="0" w:color="auto"/>
            <w:left w:val="none" w:sz="0" w:space="0" w:color="auto"/>
            <w:bottom w:val="none" w:sz="0" w:space="0" w:color="auto"/>
            <w:right w:val="none" w:sz="0" w:space="0" w:color="auto"/>
          </w:divBdr>
        </w:div>
        <w:div w:id="128547845">
          <w:marLeft w:val="0"/>
          <w:marRight w:val="0"/>
          <w:marTop w:val="0"/>
          <w:marBottom w:val="0"/>
          <w:divBdr>
            <w:top w:val="none" w:sz="0" w:space="0" w:color="auto"/>
            <w:left w:val="none" w:sz="0" w:space="0" w:color="auto"/>
            <w:bottom w:val="none" w:sz="0" w:space="0" w:color="auto"/>
            <w:right w:val="none" w:sz="0" w:space="0" w:color="auto"/>
          </w:divBdr>
        </w:div>
        <w:div w:id="860049394">
          <w:marLeft w:val="0"/>
          <w:marRight w:val="0"/>
          <w:marTop w:val="0"/>
          <w:marBottom w:val="0"/>
          <w:divBdr>
            <w:top w:val="none" w:sz="0" w:space="0" w:color="auto"/>
            <w:left w:val="none" w:sz="0" w:space="0" w:color="auto"/>
            <w:bottom w:val="none" w:sz="0" w:space="0" w:color="auto"/>
            <w:right w:val="none" w:sz="0" w:space="0" w:color="auto"/>
          </w:divBdr>
        </w:div>
        <w:div w:id="1272470378">
          <w:marLeft w:val="0"/>
          <w:marRight w:val="0"/>
          <w:marTop w:val="0"/>
          <w:marBottom w:val="0"/>
          <w:divBdr>
            <w:top w:val="none" w:sz="0" w:space="0" w:color="auto"/>
            <w:left w:val="none" w:sz="0" w:space="0" w:color="auto"/>
            <w:bottom w:val="none" w:sz="0" w:space="0" w:color="auto"/>
            <w:right w:val="none" w:sz="0" w:space="0" w:color="auto"/>
          </w:divBdr>
        </w:div>
      </w:divsChild>
    </w:div>
    <w:div w:id="1926064780">
      <w:bodyDiv w:val="1"/>
      <w:marLeft w:val="0"/>
      <w:marRight w:val="0"/>
      <w:marTop w:val="0"/>
      <w:marBottom w:val="0"/>
      <w:divBdr>
        <w:top w:val="none" w:sz="0" w:space="0" w:color="auto"/>
        <w:left w:val="none" w:sz="0" w:space="0" w:color="auto"/>
        <w:bottom w:val="none" w:sz="0" w:space="0" w:color="auto"/>
        <w:right w:val="none" w:sz="0" w:space="0" w:color="auto"/>
      </w:divBdr>
    </w:div>
    <w:div w:id="1930696885">
      <w:bodyDiv w:val="1"/>
      <w:marLeft w:val="0"/>
      <w:marRight w:val="0"/>
      <w:marTop w:val="0"/>
      <w:marBottom w:val="0"/>
      <w:divBdr>
        <w:top w:val="none" w:sz="0" w:space="0" w:color="auto"/>
        <w:left w:val="none" w:sz="0" w:space="0" w:color="auto"/>
        <w:bottom w:val="none" w:sz="0" w:space="0" w:color="auto"/>
        <w:right w:val="none" w:sz="0" w:space="0" w:color="auto"/>
      </w:divBdr>
    </w:div>
    <w:div w:id="1950624314">
      <w:bodyDiv w:val="1"/>
      <w:marLeft w:val="0"/>
      <w:marRight w:val="0"/>
      <w:marTop w:val="0"/>
      <w:marBottom w:val="0"/>
      <w:divBdr>
        <w:top w:val="none" w:sz="0" w:space="0" w:color="auto"/>
        <w:left w:val="none" w:sz="0" w:space="0" w:color="auto"/>
        <w:bottom w:val="none" w:sz="0" w:space="0" w:color="auto"/>
        <w:right w:val="none" w:sz="0" w:space="0" w:color="auto"/>
      </w:divBdr>
    </w:div>
    <w:div w:id="1973095227">
      <w:bodyDiv w:val="1"/>
      <w:marLeft w:val="0"/>
      <w:marRight w:val="0"/>
      <w:marTop w:val="0"/>
      <w:marBottom w:val="0"/>
      <w:divBdr>
        <w:top w:val="none" w:sz="0" w:space="0" w:color="auto"/>
        <w:left w:val="none" w:sz="0" w:space="0" w:color="auto"/>
        <w:bottom w:val="none" w:sz="0" w:space="0" w:color="auto"/>
        <w:right w:val="none" w:sz="0" w:space="0" w:color="auto"/>
      </w:divBdr>
    </w:div>
    <w:div w:id="1985771462">
      <w:bodyDiv w:val="1"/>
      <w:marLeft w:val="0"/>
      <w:marRight w:val="0"/>
      <w:marTop w:val="0"/>
      <w:marBottom w:val="0"/>
      <w:divBdr>
        <w:top w:val="none" w:sz="0" w:space="0" w:color="auto"/>
        <w:left w:val="none" w:sz="0" w:space="0" w:color="auto"/>
        <w:bottom w:val="none" w:sz="0" w:space="0" w:color="auto"/>
        <w:right w:val="none" w:sz="0" w:space="0" w:color="auto"/>
      </w:divBdr>
    </w:div>
    <w:div w:id="1990211286">
      <w:bodyDiv w:val="1"/>
      <w:marLeft w:val="0"/>
      <w:marRight w:val="0"/>
      <w:marTop w:val="0"/>
      <w:marBottom w:val="0"/>
      <w:divBdr>
        <w:top w:val="none" w:sz="0" w:space="0" w:color="auto"/>
        <w:left w:val="none" w:sz="0" w:space="0" w:color="auto"/>
        <w:bottom w:val="none" w:sz="0" w:space="0" w:color="auto"/>
        <w:right w:val="none" w:sz="0" w:space="0" w:color="auto"/>
      </w:divBdr>
    </w:div>
    <w:div w:id="2003200001">
      <w:bodyDiv w:val="1"/>
      <w:marLeft w:val="0"/>
      <w:marRight w:val="0"/>
      <w:marTop w:val="0"/>
      <w:marBottom w:val="0"/>
      <w:divBdr>
        <w:top w:val="none" w:sz="0" w:space="0" w:color="auto"/>
        <w:left w:val="none" w:sz="0" w:space="0" w:color="auto"/>
        <w:bottom w:val="none" w:sz="0" w:space="0" w:color="auto"/>
        <w:right w:val="none" w:sz="0" w:space="0" w:color="auto"/>
      </w:divBdr>
    </w:div>
    <w:div w:id="2012176672">
      <w:bodyDiv w:val="1"/>
      <w:marLeft w:val="0"/>
      <w:marRight w:val="0"/>
      <w:marTop w:val="0"/>
      <w:marBottom w:val="0"/>
      <w:divBdr>
        <w:top w:val="none" w:sz="0" w:space="0" w:color="auto"/>
        <w:left w:val="none" w:sz="0" w:space="0" w:color="auto"/>
        <w:bottom w:val="none" w:sz="0" w:space="0" w:color="auto"/>
        <w:right w:val="none" w:sz="0" w:space="0" w:color="auto"/>
      </w:divBdr>
      <w:divsChild>
        <w:div w:id="362173202">
          <w:marLeft w:val="0"/>
          <w:marRight w:val="0"/>
          <w:marTop w:val="0"/>
          <w:marBottom w:val="0"/>
          <w:divBdr>
            <w:top w:val="none" w:sz="0" w:space="0" w:color="auto"/>
            <w:left w:val="none" w:sz="0" w:space="0" w:color="auto"/>
            <w:bottom w:val="none" w:sz="0" w:space="0" w:color="auto"/>
            <w:right w:val="none" w:sz="0" w:space="0" w:color="auto"/>
          </w:divBdr>
        </w:div>
        <w:div w:id="1555265845">
          <w:marLeft w:val="0"/>
          <w:marRight w:val="0"/>
          <w:marTop w:val="0"/>
          <w:marBottom w:val="0"/>
          <w:divBdr>
            <w:top w:val="none" w:sz="0" w:space="0" w:color="auto"/>
            <w:left w:val="none" w:sz="0" w:space="0" w:color="auto"/>
            <w:bottom w:val="none" w:sz="0" w:space="0" w:color="auto"/>
            <w:right w:val="none" w:sz="0" w:space="0" w:color="auto"/>
          </w:divBdr>
        </w:div>
      </w:divsChild>
    </w:div>
    <w:div w:id="2018341310">
      <w:bodyDiv w:val="1"/>
      <w:marLeft w:val="0"/>
      <w:marRight w:val="0"/>
      <w:marTop w:val="0"/>
      <w:marBottom w:val="0"/>
      <w:divBdr>
        <w:top w:val="none" w:sz="0" w:space="0" w:color="auto"/>
        <w:left w:val="none" w:sz="0" w:space="0" w:color="auto"/>
        <w:bottom w:val="none" w:sz="0" w:space="0" w:color="auto"/>
        <w:right w:val="none" w:sz="0" w:space="0" w:color="auto"/>
      </w:divBdr>
    </w:div>
    <w:div w:id="2042590925">
      <w:bodyDiv w:val="1"/>
      <w:marLeft w:val="0"/>
      <w:marRight w:val="0"/>
      <w:marTop w:val="0"/>
      <w:marBottom w:val="0"/>
      <w:divBdr>
        <w:top w:val="none" w:sz="0" w:space="0" w:color="auto"/>
        <w:left w:val="none" w:sz="0" w:space="0" w:color="auto"/>
        <w:bottom w:val="none" w:sz="0" w:space="0" w:color="auto"/>
        <w:right w:val="none" w:sz="0" w:space="0" w:color="auto"/>
      </w:divBdr>
      <w:divsChild>
        <w:div w:id="194660320">
          <w:marLeft w:val="0"/>
          <w:marRight w:val="0"/>
          <w:marTop w:val="0"/>
          <w:marBottom w:val="0"/>
          <w:divBdr>
            <w:top w:val="none" w:sz="0" w:space="0" w:color="auto"/>
            <w:left w:val="none" w:sz="0" w:space="0" w:color="auto"/>
            <w:bottom w:val="none" w:sz="0" w:space="0" w:color="auto"/>
            <w:right w:val="none" w:sz="0" w:space="0" w:color="auto"/>
          </w:divBdr>
          <w:divsChild>
            <w:div w:id="81800601">
              <w:marLeft w:val="0"/>
              <w:marRight w:val="0"/>
              <w:marTop w:val="0"/>
              <w:marBottom w:val="0"/>
              <w:divBdr>
                <w:top w:val="none" w:sz="0" w:space="0" w:color="auto"/>
                <w:left w:val="none" w:sz="0" w:space="0" w:color="auto"/>
                <w:bottom w:val="none" w:sz="0" w:space="0" w:color="auto"/>
                <w:right w:val="none" w:sz="0" w:space="0" w:color="auto"/>
              </w:divBdr>
              <w:divsChild>
                <w:div w:id="1570723823">
                  <w:marLeft w:val="0"/>
                  <w:marRight w:val="0"/>
                  <w:marTop w:val="0"/>
                  <w:marBottom w:val="0"/>
                  <w:divBdr>
                    <w:top w:val="none" w:sz="0" w:space="0" w:color="auto"/>
                    <w:left w:val="none" w:sz="0" w:space="0" w:color="auto"/>
                    <w:bottom w:val="none" w:sz="0" w:space="0" w:color="auto"/>
                    <w:right w:val="none" w:sz="0" w:space="0" w:color="auto"/>
                  </w:divBdr>
                  <w:divsChild>
                    <w:div w:id="397829530">
                      <w:marLeft w:val="0"/>
                      <w:marRight w:val="0"/>
                      <w:marTop w:val="0"/>
                      <w:marBottom w:val="0"/>
                      <w:divBdr>
                        <w:top w:val="none" w:sz="0" w:space="0" w:color="auto"/>
                        <w:left w:val="none" w:sz="0" w:space="0" w:color="auto"/>
                        <w:bottom w:val="none" w:sz="0" w:space="0" w:color="auto"/>
                        <w:right w:val="none" w:sz="0" w:space="0" w:color="auto"/>
                      </w:divBdr>
                    </w:div>
                  </w:divsChild>
                </w:div>
                <w:div w:id="2042658629">
                  <w:marLeft w:val="0"/>
                  <w:marRight w:val="0"/>
                  <w:marTop w:val="0"/>
                  <w:marBottom w:val="0"/>
                  <w:divBdr>
                    <w:top w:val="none" w:sz="0" w:space="0" w:color="auto"/>
                    <w:left w:val="none" w:sz="0" w:space="0" w:color="auto"/>
                    <w:bottom w:val="none" w:sz="0" w:space="0" w:color="auto"/>
                    <w:right w:val="none" w:sz="0" w:space="0" w:color="auto"/>
                  </w:divBdr>
                  <w:divsChild>
                    <w:div w:id="1300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9190">
              <w:marLeft w:val="0"/>
              <w:marRight w:val="0"/>
              <w:marTop w:val="0"/>
              <w:marBottom w:val="0"/>
              <w:divBdr>
                <w:top w:val="none" w:sz="0" w:space="0" w:color="auto"/>
                <w:left w:val="none" w:sz="0" w:space="0" w:color="auto"/>
                <w:bottom w:val="none" w:sz="0" w:space="0" w:color="auto"/>
                <w:right w:val="none" w:sz="0" w:space="0" w:color="auto"/>
              </w:divBdr>
              <w:divsChild>
                <w:div w:id="1112869222">
                  <w:marLeft w:val="0"/>
                  <w:marRight w:val="0"/>
                  <w:marTop w:val="0"/>
                  <w:marBottom w:val="0"/>
                  <w:divBdr>
                    <w:top w:val="none" w:sz="0" w:space="0" w:color="auto"/>
                    <w:left w:val="none" w:sz="0" w:space="0" w:color="auto"/>
                    <w:bottom w:val="none" w:sz="0" w:space="0" w:color="auto"/>
                    <w:right w:val="none" w:sz="0" w:space="0" w:color="auto"/>
                  </w:divBdr>
                  <w:divsChild>
                    <w:div w:id="154455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44496">
          <w:marLeft w:val="0"/>
          <w:marRight w:val="0"/>
          <w:marTop w:val="0"/>
          <w:marBottom w:val="0"/>
          <w:divBdr>
            <w:top w:val="none" w:sz="0" w:space="0" w:color="auto"/>
            <w:left w:val="none" w:sz="0" w:space="0" w:color="auto"/>
            <w:bottom w:val="none" w:sz="0" w:space="0" w:color="auto"/>
            <w:right w:val="none" w:sz="0" w:space="0" w:color="auto"/>
          </w:divBdr>
          <w:divsChild>
            <w:div w:id="149954881">
              <w:marLeft w:val="0"/>
              <w:marRight w:val="0"/>
              <w:marTop w:val="0"/>
              <w:marBottom w:val="0"/>
              <w:divBdr>
                <w:top w:val="none" w:sz="0" w:space="0" w:color="auto"/>
                <w:left w:val="none" w:sz="0" w:space="0" w:color="auto"/>
                <w:bottom w:val="none" w:sz="0" w:space="0" w:color="auto"/>
                <w:right w:val="none" w:sz="0" w:space="0" w:color="auto"/>
              </w:divBdr>
              <w:divsChild>
                <w:div w:id="453863953">
                  <w:marLeft w:val="0"/>
                  <w:marRight w:val="0"/>
                  <w:marTop w:val="0"/>
                  <w:marBottom w:val="0"/>
                  <w:divBdr>
                    <w:top w:val="none" w:sz="0" w:space="0" w:color="auto"/>
                    <w:left w:val="none" w:sz="0" w:space="0" w:color="auto"/>
                    <w:bottom w:val="none" w:sz="0" w:space="0" w:color="auto"/>
                    <w:right w:val="none" w:sz="0" w:space="0" w:color="auto"/>
                  </w:divBdr>
                  <w:divsChild>
                    <w:div w:id="1750299336">
                      <w:marLeft w:val="0"/>
                      <w:marRight w:val="0"/>
                      <w:marTop w:val="0"/>
                      <w:marBottom w:val="0"/>
                      <w:divBdr>
                        <w:top w:val="none" w:sz="0" w:space="0" w:color="auto"/>
                        <w:left w:val="none" w:sz="0" w:space="0" w:color="auto"/>
                        <w:bottom w:val="none" w:sz="0" w:space="0" w:color="auto"/>
                        <w:right w:val="none" w:sz="0" w:space="0" w:color="auto"/>
                      </w:divBdr>
                    </w:div>
                  </w:divsChild>
                </w:div>
                <w:div w:id="1171065623">
                  <w:marLeft w:val="0"/>
                  <w:marRight w:val="0"/>
                  <w:marTop w:val="0"/>
                  <w:marBottom w:val="0"/>
                  <w:divBdr>
                    <w:top w:val="none" w:sz="0" w:space="0" w:color="auto"/>
                    <w:left w:val="none" w:sz="0" w:space="0" w:color="auto"/>
                    <w:bottom w:val="none" w:sz="0" w:space="0" w:color="auto"/>
                    <w:right w:val="none" w:sz="0" w:space="0" w:color="auto"/>
                  </w:divBdr>
                  <w:divsChild>
                    <w:div w:id="66821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381140">
      <w:bodyDiv w:val="1"/>
      <w:marLeft w:val="0"/>
      <w:marRight w:val="0"/>
      <w:marTop w:val="0"/>
      <w:marBottom w:val="0"/>
      <w:divBdr>
        <w:top w:val="none" w:sz="0" w:space="0" w:color="auto"/>
        <w:left w:val="none" w:sz="0" w:space="0" w:color="auto"/>
        <w:bottom w:val="none" w:sz="0" w:space="0" w:color="auto"/>
        <w:right w:val="none" w:sz="0" w:space="0" w:color="auto"/>
      </w:divBdr>
    </w:div>
    <w:div w:id="2068870986">
      <w:bodyDiv w:val="1"/>
      <w:marLeft w:val="0"/>
      <w:marRight w:val="0"/>
      <w:marTop w:val="0"/>
      <w:marBottom w:val="0"/>
      <w:divBdr>
        <w:top w:val="none" w:sz="0" w:space="0" w:color="auto"/>
        <w:left w:val="none" w:sz="0" w:space="0" w:color="auto"/>
        <w:bottom w:val="none" w:sz="0" w:space="0" w:color="auto"/>
        <w:right w:val="none" w:sz="0" w:space="0" w:color="auto"/>
      </w:divBdr>
    </w:div>
    <w:div w:id="21372098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nitrc.org" TargetMode="External"/><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emf"/><Relationship Id="rId7" Type="http://schemas.openxmlformats.org/officeDocument/2006/relationships/settings" Target="settings.xml"/><Relationship Id="rId12" Type="http://schemas.openxmlformats.org/officeDocument/2006/relationships/hyperlink" Target="https://www.nitrc.org/projects/artifact_detect" TargetMode="External"/><Relationship Id="rId17" Type="http://schemas.openxmlformats.org/officeDocument/2006/relationships/image" Target="media/image5.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7256F31-323D-483D-8D0C-E1EF6EB1A49D}">
  <ds:schemaRefs>
    <ds:schemaRef ds:uri="http://schemas.openxmlformats.org/officeDocument/2006/bibliography"/>
  </ds:schemaRefs>
</ds:datastoreItem>
</file>

<file path=customXml/itemProps2.xml><?xml version="1.0" encoding="utf-8"?>
<ds:datastoreItem xmlns:ds="http://schemas.openxmlformats.org/officeDocument/2006/customXml" ds:itemID="{BAE68386-48C2-40A9-95BF-72F39B9D29A8}">
  <ds:schemaRefs>
    <ds:schemaRef ds:uri="http://schemas.openxmlformats.org/officeDocument/2006/bibliography"/>
  </ds:schemaRefs>
</ds:datastoreItem>
</file>

<file path=customXml/itemProps3.xml><?xml version="1.0" encoding="utf-8"?>
<ds:datastoreItem xmlns:ds="http://schemas.openxmlformats.org/officeDocument/2006/customXml" ds:itemID="{DA6BC423-EA5B-4BCC-8B58-12C8F4312F4A}">
  <ds:schemaRefs>
    <ds:schemaRef ds:uri="http://schemas.openxmlformats.org/officeDocument/2006/bibliography"/>
  </ds:schemaRefs>
</ds:datastoreItem>
</file>

<file path=customXml/itemProps4.xml><?xml version="1.0" encoding="utf-8"?>
<ds:datastoreItem xmlns:ds="http://schemas.openxmlformats.org/officeDocument/2006/customXml" ds:itemID="{F2AD4DED-70E7-4578-850E-48B0169EFD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Pages>
  <Words>45925</Words>
  <Characters>261775</Characters>
  <Application>Microsoft Office Word</Application>
  <DocSecurity>0</DocSecurity>
  <Lines>2181</Lines>
  <Paragraphs>614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SISSA</Company>
  <LinksUpToDate>false</LinksUpToDate>
  <CharactersWithSpaces>307086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Sofia Osimo</dc:creator>
  <cp:lastModifiedBy>Ionta Silvio</cp:lastModifiedBy>
  <cp:revision>2</cp:revision>
  <cp:lastPrinted>2018-11-13T08:02:00Z</cp:lastPrinted>
  <dcterms:created xsi:type="dcterms:W3CDTF">2021-01-25T10:35:00Z</dcterms:created>
  <dcterms:modified xsi:type="dcterms:W3CDTF">2021-01-25T10:35:00Z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zotero-version="5.0.93"&gt;&lt;session id="mbmyzpUK"/&gt;&lt;style id="http://www.zotero.org/styles/neuroimage" hasBibliography="1" bibliographyStyleHasBeenSet="1"/&gt;&lt;prefs&gt;&lt;pref name="fieldType" value="Field"/&gt;&lt;pref name="storeReferences" value</vt:lpwstr>
  </property>
  <property fmtid="{D5CDD505-2E9C-101B-9397-08002B2CF9AE}" pid="3" name="ZOTERO_PREF_2">
    <vt:lpwstr>="true"/&gt;&lt;pref name="automaticJournalAbbreviations" value="true"/&gt;&lt;pref name="delayCitationUpdates" value="true"/&gt;&lt;pref name="dontAskDelayCitationUpdates" value="true"/&gt;&lt;/prefs&gt;&lt;/data&gt;</vt:lpwstr>
  </property>
</Properties>
</file>